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7E5D" w14:textId="77777777" w:rsidR="007B5DE5" w:rsidRPr="00F60C09" w:rsidRDefault="007B5DE5" w:rsidP="00121931">
      <w:pPr>
        <w:pStyle w:val="Heading2"/>
        <w:rPr>
          <w:rFonts w:ascii="Calibri" w:hAnsi="Calibri" w:cs="Calibri"/>
          <w:b/>
          <w:bCs/>
          <w:sz w:val="20"/>
          <w:szCs w:val="20"/>
        </w:rPr>
      </w:pPr>
    </w:p>
    <w:p w14:paraId="3432637E" w14:textId="77777777" w:rsidR="007B5DE5" w:rsidRPr="00F60C09" w:rsidRDefault="007B5DE5" w:rsidP="00121931">
      <w:pPr>
        <w:pStyle w:val="Heading2"/>
        <w:rPr>
          <w:rFonts w:ascii="Calibri" w:hAnsi="Calibri" w:cs="Calibri"/>
          <w:b/>
          <w:bCs/>
          <w:sz w:val="20"/>
          <w:szCs w:val="20"/>
        </w:rPr>
      </w:pPr>
    </w:p>
    <w:p w14:paraId="0C1FAAF9" w14:textId="05E386F4" w:rsidR="007B5DE5" w:rsidRPr="00A16838" w:rsidRDefault="00F60C09" w:rsidP="001B7180">
      <w:pPr>
        <w:jc w:val="center"/>
        <w:rPr>
          <w:rFonts w:ascii="Calibri" w:hAnsi="Calibri" w:cs="Calibri"/>
          <w:sz w:val="22"/>
        </w:rPr>
      </w:pPr>
      <w:r>
        <w:rPr>
          <w:rFonts w:ascii="Calibri" w:hAnsi="Calibri" w:cs="Calibri"/>
          <w:noProof/>
          <w:sz w:val="22"/>
        </w:rPr>
        <w:drawing>
          <wp:inline distT="0" distB="0" distL="0" distR="0" wp14:anchorId="04BCE1B6" wp14:editId="0BED13CC">
            <wp:extent cx="5153410" cy="2333801"/>
            <wp:effectExtent l="0" t="0" r="3175" b="3175"/>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a:extLst>
                        <a:ext uri="{28A0092B-C50C-407E-A947-70E740481C1C}">
                          <a14:useLocalDpi xmlns:a14="http://schemas.microsoft.com/office/drawing/2010/main" val="0"/>
                        </a:ext>
                      </a:extLst>
                    </a:blip>
                    <a:stretch>
                      <a:fillRect/>
                    </a:stretch>
                  </pic:blipFill>
                  <pic:spPr>
                    <a:xfrm>
                      <a:off x="0" y="0"/>
                      <a:ext cx="5180868" cy="2346236"/>
                    </a:xfrm>
                    <a:prstGeom prst="rect">
                      <a:avLst/>
                    </a:prstGeom>
                  </pic:spPr>
                </pic:pic>
              </a:graphicData>
            </a:graphic>
          </wp:inline>
        </w:drawing>
      </w:r>
    </w:p>
    <w:p w14:paraId="35EECFE6" w14:textId="77777777" w:rsidR="007B5DE5" w:rsidRPr="001C5E14" w:rsidRDefault="007B5DE5" w:rsidP="00121931">
      <w:pPr>
        <w:rPr>
          <w:rFonts w:ascii="Avenir Book" w:hAnsi="Avenir Book" w:cs="Calibri"/>
          <w:sz w:val="22"/>
        </w:rPr>
      </w:pPr>
    </w:p>
    <w:p w14:paraId="79C54B52" w14:textId="77777777" w:rsidR="00104730" w:rsidRPr="001C5E14" w:rsidRDefault="00104730" w:rsidP="00121931">
      <w:pPr>
        <w:rPr>
          <w:rFonts w:ascii="Avenir Book" w:hAnsi="Avenir Book" w:cs="Calibri"/>
          <w:sz w:val="22"/>
        </w:rPr>
      </w:pPr>
    </w:p>
    <w:p w14:paraId="19556BFD" w14:textId="77777777" w:rsidR="007B5DE5" w:rsidRPr="001C5E14" w:rsidRDefault="007B5DE5" w:rsidP="001B7180">
      <w:pPr>
        <w:pStyle w:val="Heading1"/>
        <w:jc w:val="center"/>
        <w:rPr>
          <w:rFonts w:ascii="Avenir Book" w:hAnsi="Avenir Book" w:cs="Calibri"/>
          <w:color w:val="004479"/>
          <w:sz w:val="40"/>
          <w:szCs w:val="40"/>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bookmarkStart w:id="9" w:name="_Toc43736619"/>
      <w:bookmarkStart w:id="10" w:name="_Toc43797509"/>
      <w:bookmarkStart w:id="11" w:name="_Toc43808355"/>
      <w:bookmarkStart w:id="12" w:name="_Toc43894973"/>
      <w:bookmarkStart w:id="13" w:name="_Toc43902808"/>
      <w:bookmarkStart w:id="14" w:name="_Toc43909791"/>
      <w:bookmarkStart w:id="15" w:name="_Toc43919138"/>
      <w:r w:rsidRPr="001C5E14">
        <w:rPr>
          <w:rFonts w:ascii="Avenir Book" w:hAnsi="Avenir Book" w:cs="Calibri"/>
          <w:color w:val="004479"/>
          <w:sz w:val="40"/>
          <w:szCs w:val="40"/>
        </w:rPr>
        <w:t>Women With Disabilities Australia (WWDA)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D1C7C3C" w14:textId="77777777" w:rsidR="007B5DE5" w:rsidRPr="001C5E14" w:rsidRDefault="007B5DE5" w:rsidP="001B7180">
      <w:pPr>
        <w:pStyle w:val="Heading1"/>
        <w:jc w:val="center"/>
        <w:rPr>
          <w:rFonts w:ascii="Avenir Book" w:hAnsi="Avenir Book" w:cs="Calibri"/>
          <w:b/>
          <w:color w:val="17365D"/>
        </w:rPr>
      </w:pPr>
    </w:p>
    <w:p w14:paraId="48D6F3E5" w14:textId="77777777" w:rsidR="00C8338C" w:rsidRPr="001C5E14" w:rsidRDefault="00C8338C" w:rsidP="001B7180">
      <w:pPr>
        <w:pStyle w:val="Heading1"/>
        <w:pBdr>
          <w:top w:val="single" w:sz="4" w:space="1" w:color="auto"/>
        </w:pBdr>
        <w:jc w:val="center"/>
        <w:rPr>
          <w:rFonts w:ascii="Avenir Book" w:hAnsi="Avenir Book" w:cs="Calibri"/>
          <w:b/>
          <w:color w:val="17365D"/>
          <w:sz w:val="20"/>
          <w:szCs w:val="20"/>
        </w:rPr>
      </w:pPr>
      <w:bookmarkStart w:id="16" w:name="_Toc509920821"/>
    </w:p>
    <w:bookmarkEnd w:id="16"/>
    <w:p w14:paraId="0B517ED8" w14:textId="2FA35FA5" w:rsidR="000E657D" w:rsidRPr="001C5E14" w:rsidRDefault="000E657D" w:rsidP="000E657D">
      <w:pPr>
        <w:jc w:val="center"/>
        <w:rPr>
          <w:rFonts w:ascii="Avenir Book" w:hAnsi="Avenir Book" w:cs="Calibri"/>
          <w:color w:val="004479"/>
          <w:sz w:val="36"/>
          <w:szCs w:val="36"/>
        </w:rPr>
      </w:pPr>
      <w:r w:rsidRPr="001C5E14">
        <w:rPr>
          <w:rFonts w:ascii="Avenir Book" w:hAnsi="Avenir Book" w:cs="Calibri"/>
          <w:color w:val="004479"/>
          <w:sz w:val="36"/>
          <w:szCs w:val="36"/>
        </w:rPr>
        <w:t>Royal Commission into Violence, Abuse, Neglect and Exploitation of People with Disability</w:t>
      </w:r>
    </w:p>
    <w:p w14:paraId="299903D3" w14:textId="26807A00" w:rsidR="00E5691A" w:rsidRDefault="00E5691A" w:rsidP="000E657D">
      <w:pPr>
        <w:jc w:val="center"/>
        <w:rPr>
          <w:rFonts w:ascii="Avenir Book" w:hAnsi="Avenir Book" w:cs="Calibri"/>
        </w:rPr>
      </w:pPr>
    </w:p>
    <w:p w14:paraId="29D52639" w14:textId="77777777" w:rsidR="001C5E14" w:rsidRPr="001C5E14" w:rsidRDefault="001C5E14" w:rsidP="000E657D">
      <w:pPr>
        <w:jc w:val="center"/>
        <w:rPr>
          <w:rFonts w:ascii="Avenir Book" w:hAnsi="Avenir Book" w:cs="Calibri"/>
        </w:rPr>
      </w:pPr>
    </w:p>
    <w:p w14:paraId="2463AA35" w14:textId="6DE26DE7" w:rsidR="00E5691A" w:rsidRPr="00387713" w:rsidRDefault="00E5691A" w:rsidP="00E5691A">
      <w:pPr>
        <w:pStyle w:val="Heading1"/>
        <w:jc w:val="center"/>
        <w:rPr>
          <w:rFonts w:ascii="Avenir Book" w:hAnsi="Avenir Book" w:cs="Calibri"/>
          <w:bCs/>
          <w:color w:val="AC1F79"/>
        </w:rPr>
      </w:pPr>
      <w:bookmarkStart w:id="17" w:name="_Toc510523708"/>
      <w:bookmarkStart w:id="18" w:name="_Toc512603438"/>
      <w:bookmarkStart w:id="19" w:name="_Toc512604444"/>
      <w:bookmarkStart w:id="20" w:name="_Toc32420642"/>
      <w:bookmarkStart w:id="21" w:name="_Toc32738097"/>
      <w:bookmarkStart w:id="22" w:name="_Toc32738159"/>
      <w:bookmarkStart w:id="23" w:name="_Toc32757936"/>
      <w:bookmarkStart w:id="24" w:name="_Toc32759977"/>
      <w:bookmarkStart w:id="25" w:name="_Toc43730465"/>
      <w:bookmarkStart w:id="26" w:name="_Toc43736620"/>
      <w:bookmarkStart w:id="27" w:name="_Toc43797510"/>
      <w:bookmarkStart w:id="28" w:name="_Toc43808356"/>
      <w:bookmarkStart w:id="29" w:name="_Toc43894974"/>
      <w:bookmarkStart w:id="30" w:name="_Toc43902809"/>
      <w:bookmarkStart w:id="31" w:name="_Toc43909792"/>
      <w:bookmarkStart w:id="32" w:name="_Toc43919139"/>
      <w:r w:rsidRPr="00387713">
        <w:rPr>
          <w:rFonts w:ascii="Avenir Book" w:hAnsi="Avenir Book" w:cs="Calibri"/>
          <w:bCs/>
          <w:color w:val="AC1F79"/>
        </w:rPr>
        <w:t xml:space="preserve">WWDA Response to </w:t>
      </w:r>
      <w:bookmarkEnd w:id="17"/>
      <w:bookmarkEnd w:id="18"/>
      <w:bookmarkEnd w:id="19"/>
      <w:r w:rsidR="00DC3DE7">
        <w:rPr>
          <w:rFonts w:ascii="Avenir Book" w:hAnsi="Avenir Book" w:cs="Calibri"/>
          <w:bCs/>
          <w:color w:val="AC1F79"/>
        </w:rPr>
        <w:t>Group Homes</w:t>
      </w:r>
      <w:r w:rsidRPr="00387713">
        <w:rPr>
          <w:rFonts w:ascii="Avenir Book" w:hAnsi="Avenir Book" w:cs="Calibri"/>
          <w:bCs/>
          <w:color w:val="AC1F79"/>
        </w:rPr>
        <w:t xml:space="preserve"> Issues Paper</w:t>
      </w:r>
      <w:bookmarkEnd w:id="20"/>
      <w:bookmarkEnd w:id="21"/>
      <w:bookmarkEnd w:id="22"/>
      <w:bookmarkEnd w:id="23"/>
      <w:bookmarkEnd w:id="24"/>
      <w:bookmarkEnd w:id="25"/>
      <w:bookmarkEnd w:id="26"/>
      <w:bookmarkEnd w:id="27"/>
      <w:bookmarkEnd w:id="28"/>
      <w:bookmarkEnd w:id="29"/>
      <w:bookmarkEnd w:id="30"/>
      <w:bookmarkEnd w:id="31"/>
      <w:bookmarkEnd w:id="32"/>
    </w:p>
    <w:p w14:paraId="707A7191" w14:textId="77777777" w:rsidR="00E5691A" w:rsidRPr="001C5E14" w:rsidRDefault="00E5691A" w:rsidP="000E657D">
      <w:pPr>
        <w:jc w:val="center"/>
        <w:rPr>
          <w:rFonts w:ascii="Avenir Book" w:hAnsi="Avenir Book" w:cs="Calibri"/>
        </w:rPr>
      </w:pPr>
    </w:p>
    <w:p w14:paraId="2BE96121" w14:textId="0F0EC899" w:rsidR="00C8338C" w:rsidRPr="001C5E14" w:rsidRDefault="00C8338C" w:rsidP="001B7180">
      <w:pPr>
        <w:pStyle w:val="Heading1"/>
        <w:pBdr>
          <w:bottom w:val="single" w:sz="4" w:space="1" w:color="auto"/>
        </w:pBdr>
        <w:jc w:val="center"/>
        <w:rPr>
          <w:rFonts w:ascii="Avenir Book" w:hAnsi="Avenir Book" w:cs="Calibri"/>
          <w:b/>
          <w:color w:val="17365D"/>
          <w:sz w:val="20"/>
          <w:szCs w:val="20"/>
        </w:rPr>
      </w:pPr>
    </w:p>
    <w:p w14:paraId="45325F89" w14:textId="77777777" w:rsidR="00E5691A" w:rsidRPr="00E5691A" w:rsidRDefault="00E5691A" w:rsidP="00E5691A"/>
    <w:p w14:paraId="334001EF" w14:textId="77777777" w:rsidR="007B5DE5" w:rsidRPr="001C5E14" w:rsidRDefault="007B5DE5" w:rsidP="001B7180">
      <w:pPr>
        <w:pStyle w:val="Heading1"/>
        <w:jc w:val="center"/>
        <w:rPr>
          <w:rFonts w:ascii="Avenir Book" w:hAnsi="Avenir Book" w:cs="Calibri"/>
          <w:b/>
          <w:color w:val="17365D"/>
        </w:rPr>
      </w:pPr>
    </w:p>
    <w:p w14:paraId="39970A96" w14:textId="358F9D70" w:rsidR="007B5DE5" w:rsidRDefault="00BF58C8" w:rsidP="001B7180">
      <w:pPr>
        <w:pStyle w:val="Heading1"/>
        <w:jc w:val="center"/>
        <w:rPr>
          <w:rFonts w:ascii="Avenir Book" w:hAnsi="Avenir Book" w:cs="Calibri"/>
          <w:b/>
          <w:color w:val="17365D"/>
        </w:rPr>
      </w:pPr>
      <w:bookmarkStart w:id="33" w:name="_Toc32420643"/>
      <w:bookmarkStart w:id="34" w:name="_Toc32738098"/>
      <w:bookmarkStart w:id="35" w:name="_Toc32738160"/>
      <w:bookmarkStart w:id="36" w:name="_Toc32757937"/>
      <w:bookmarkStart w:id="37" w:name="_Toc32759978"/>
      <w:bookmarkStart w:id="38" w:name="_Toc43730466"/>
      <w:bookmarkStart w:id="39" w:name="_Toc43736621"/>
      <w:bookmarkStart w:id="40" w:name="_Toc43797511"/>
      <w:bookmarkStart w:id="41" w:name="_Toc43808357"/>
      <w:bookmarkStart w:id="42" w:name="_Toc43894975"/>
      <w:bookmarkStart w:id="43" w:name="_Toc43902810"/>
      <w:bookmarkStart w:id="44" w:name="_Toc43909793"/>
      <w:bookmarkStart w:id="45" w:name="_Toc43919140"/>
      <w:bookmarkStart w:id="46" w:name="_Toc509911746"/>
      <w:r>
        <w:rPr>
          <w:rFonts w:ascii="Avenir Book" w:hAnsi="Avenir Book" w:cs="Calibri"/>
          <w:b/>
          <w:color w:val="17365D"/>
        </w:rPr>
        <w:t>June</w:t>
      </w:r>
      <w:r w:rsidR="00DC3DE7">
        <w:rPr>
          <w:rFonts w:ascii="Avenir Book" w:hAnsi="Avenir Book" w:cs="Calibri"/>
          <w:b/>
          <w:color w:val="17365D"/>
        </w:rPr>
        <w:t xml:space="preserve"> </w:t>
      </w:r>
      <w:r w:rsidR="000E657D" w:rsidRPr="001C5E14">
        <w:rPr>
          <w:rFonts w:ascii="Avenir Book" w:hAnsi="Avenir Book" w:cs="Calibri"/>
          <w:b/>
          <w:color w:val="17365D"/>
        </w:rPr>
        <w:t>2020</w:t>
      </w:r>
      <w:bookmarkEnd w:id="33"/>
      <w:bookmarkEnd w:id="34"/>
      <w:bookmarkEnd w:id="35"/>
      <w:bookmarkEnd w:id="36"/>
      <w:bookmarkEnd w:id="37"/>
      <w:bookmarkEnd w:id="38"/>
      <w:bookmarkEnd w:id="39"/>
      <w:bookmarkEnd w:id="40"/>
      <w:bookmarkEnd w:id="41"/>
      <w:bookmarkEnd w:id="42"/>
      <w:bookmarkEnd w:id="43"/>
      <w:bookmarkEnd w:id="44"/>
      <w:bookmarkEnd w:id="45"/>
    </w:p>
    <w:p w14:paraId="727DF162" w14:textId="77777777" w:rsidR="007B5DE5" w:rsidRPr="00A16838" w:rsidRDefault="007B5DE5" w:rsidP="00121931">
      <w:pPr>
        <w:rPr>
          <w:rFonts w:ascii="Calibri" w:hAnsi="Calibri" w:cs="Calibri"/>
          <w:sz w:val="22"/>
        </w:rPr>
      </w:pPr>
      <w:r w:rsidRPr="00A16838">
        <w:rPr>
          <w:rFonts w:ascii="Calibri" w:hAnsi="Calibri" w:cs="Calibri"/>
          <w:sz w:val="22"/>
        </w:rPr>
        <w:br w:type="page"/>
      </w:r>
    </w:p>
    <w:p w14:paraId="64A23516" w14:textId="77777777" w:rsidR="0040289D" w:rsidRPr="00363830" w:rsidRDefault="0040289D" w:rsidP="000709B9">
      <w:pPr>
        <w:pStyle w:val="Heading2"/>
        <w:spacing w:line="240" w:lineRule="auto"/>
        <w:rPr>
          <w:rFonts w:ascii="Avenir Book" w:hAnsi="Avenir Book" w:cs="Calibri"/>
          <w:color w:val="AC1F79"/>
        </w:rPr>
      </w:pPr>
      <w:bookmarkStart w:id="47" w:name="_Toc509920823"/>
      <w:bookmarkStart w:id="48" w:name="_Toc510523710"/>
      <w:bookmarkStart w:id="49" w:name="_Toc512603440"/>
      <w:bookmarkStart w:id="50" w:name="_Toc512604446"/>
      <w:bookmarkStart w:id="51" w:name="_Toc32738099"/>
      <w:bookmarkStart w:id="52" w:name="_Toc43919141"/>
      <w:r w:rsidRPr="00363830">
        <w:rPr>
          <w:rFonts w:ascii="Avenir Book" w:hAnsi="Avenir Book" w:cs="Calibri"/>
          <w:color w:val="AC1F79"/>
        </w:rPr>
        <w:lastRenderedPageBreak/>
        <w:t>Publishing Information</w:t>
      </w:r>
      <w:bookmarkEnd w:id="46"/>
      <w:bookmarkEnd w:id="47"/>
      <w:bookmarkEnd w:id="48"/>
      <w:bookmarkEnd w:id="49"/>
      <w:bookmarkEnd w:id="50"/>
      <w:bookmarkEnd w:id="51"/>
      <w:bookmarkEnd w:id="52"/>
    </w:p>
    <w:p w14:paraId="3DDB69D4" w14:textId="77777777" w:rsidR="007B5DE5" w:rsidRPr="00363830" w:rsidRDefault="007B5DE5" w:rsidP="000709B9">
      <w:pPr>
        <w:spacing w:line="240" w:lineRule="auto"/>
        <w:rPr>
          <w:rFonts w:ascii="Avenir Book" w:hAnsi="Avenir Book" w:cs="Calibri"/>
          <w:bCs/>
          <w:color w:val="CC0099"/>
          <w:sz w:val="22"/>
          <w:szCs w:val="22"/>
        </w:rPr>
      </w:pPr>
    </w:p>
    <w:p w14:paraId="7EEF16BC" w14:textId="5F80BC21" w:rsidR="00AC3A5E" w:rsidRPr="00363830" w:rsidRDefault="009D2DCA" w:rsidP="000709B9">
      <w:pPr>
        <w:spacing w:line="240" w:lineRule="auto"/>
        <w:rPr>
          <w:rFonts w:ascii="Avenir Book" w:hAnsi="Avenir Book" w:cs="Calibri"/>
          <w:b/>
          <w:sz w:val="22"/>
          <w:szCs w:val="22"/>
        </w:rPr>
      </w:pPr>
      <w:bookmarkStart w:id="53" w:name="_Toc468803767"/>
      <w:bookmarkStart w:id="54" w:name="_Toc350082565"/>
      <w:bookmarkStart w:id="55" w:name="_Toc501535864"/>
      <w:bookmarkStart w:id="56" w:name="_Toc501535946"/>
      <w:bookmarkStart w:id="57" w:name="_Toc501537209"/>
      <w:bookmarkStart w:id="58" w:name="_Toc501537273"/>
      <w:bookmarkStart w:id="59" w:name="_Toc501542224"/>
      <w:bookmarkStart w:id="60" w:name="_Toc501542266"/>
      <w:r w:rsidRPr="00363830">
        <w:rPr>
          <w:rFonts w:ascii="Avenir Book" w:hAnsi="Avenir Book" w:cs="Calibri"/>
          <w:b/>
          <w:sz w:val="22"/>
          <w:szCs w:val="22"/>
        </w:rPr>
        <w:t>Women with Disabilities Australia (WWDA) (20</w:t>
      </w:r>
      <w:r w:rsidR="000E657D" w:rsidRPr="00363830">
        <w:rPr>
          <w:rFonts w:ascii="Avenir Book" w:hAnsi="Avenir Book" w:cs="Calibri"/>
          <w:b/>
          <w:sz w:val="22"/>
          <w:szCs w:val="22"/>
        </w:rPr>
        <w:t>20</w:t>
      </w:r>
      <w:r w:rsidRPr="00363830">
        <w:rPr>
          <w:rFonts w:ascii="Avenir Book" w:hAnsi="Avenir Book" w:cs="Calibri"/>
          <w:b/>
          <w:sz w:val="22"/>
          <w:szCs w:val="22"/>
        </w:rPr>
        <w:t xml:space="preserve">). </w:t>
      </w:r>
      <w:r w:rsidR="00310AC4" w:rsidRPr="00363830">
        <w:rPr>
          <w:rFonts w:ascii="Avenir Book" w:hAnsi="Avenir Book" w:cs="Calibri"/>
          <w:b/>
          <w:i/>
          <w:iCs/>
          <w:sz w:val="22"/>
          <w:szCs w:val="22"/>
        </w:rPr>
        <w:t>‘</w:t>
      </w:r>
      <w:r w:rsidR="00D7106F" w:rsidRPr="00363830">
        <w:rPr>
          <w:rFonts w:ascii="Avenir Book" w:hAnsi="Avenir Book" w:cs="Calibri"/>
          <w:b/>
          <w:i/>
          <w:iCs/>
          <w:sz w:val="22"/>
          <w:szCs w:val="22"/>
        </w:rPr>
        <w:t xml:space="preserve">Response to </w:t>
      </w:r>
      <w:r w:rsidR="000E657D" w:rsidRPr="00363830">
        <w:rPr>
          <w:rFonts w:ascii="Avenir Book" w:hAnsi="Avenir Book" w:cs="Calibri"/>
          <w:b/>
          <w:i/>
          <w:iCs/>
          <w:sz w:val="22"/>
          <w:szCs w:val="22"/>
        </w:rPr>
        <w:t xml:space="preserve">the </w:t>
      </w:r>
      <w:r w:rsidR="00DC3DE7">
        <w:rPr>
          <w:rFonts w:ascii="Avenir Book" w:hAnsi="Avenir Book" w:cs="Calibri"/>
          <w:b/>
          <w:i/>
          <w:iCs/>
          <w:sz w:val="22"/>
          <w:szCs w:val="22"/>
        </w:rPr>
        <w:t>Group Homes</w:t>
      </w:r>
      <w:r w:rsidR="000E657D" w:rsidRPr="00363830">
        <w:rPr>
          <w:rFonts w:ascii="Avenir Book" w:hAnsi="Avenir Book" w:cs="Calibri"/>
          <w:b/>
          <w:i/>
          <w:iCs/>
          <w:sz w:val="22"/>
          <w:szCs w:val="22"/>
        </w:rPr>
        <w:t xml:space="preserve"> Issues Paper of the Royal Commission into Violence, Abuse, Neglect and Exploitation of People with Disability’</w:t>
      </w:r>
      <w:r w:rsidR="000E657D" w:rsidRPr="00363830">
        <w:rPr>
          <w:rFonts w:ascii="Avenir Book" w:hAnsi="Avenir Book" w:cs="Calibri"/>
          <w:b/>
          <w:sz w:val="22"/>
          <w:szCs w:val="22"/>
        </w:rPr>
        <w:t xml:space="preserve">. </w:t>
      </w:r>
      <w:r w:rsidR="00DC3DE7">
        <w:rPr>
          <w:rFonts w:ascii="Avenir Book" w:hAnsi="Avenir Book" w:cs="Calibri"/>
          <w:b/>
          <w:sz w:val="22"/>
          <w:szCs w:val="22"/>
        </w:rPr>
        <w:t>April</w:t>
      </w:r>
      <w:r w:rsidR="000E657D" w:rsidRPr="00363830">
        <w:rPr>
          <w:rFonts w:ascii="Avenir Book" w:hAnsi="Avenir Book" w:cs="Calibri"/>
          <w:b/>
          <w:sz w:val="22"/>
          <w:szCs w:val="22"/>
        </w:rPr>
        <w:t xml:space="preserve"> 2020. </w:t>
      </w:r>
      <w:r w:rsidR="00310AC4" w:rsidRPr="00363830">
        <w:rPr>
          <w:rFonts w:ascii="Avenir Book" w:hAnsi="Avenir Book" w:cs="Calibri"/>
          <w:b/>
          <w:sz w:val="22"/>
          <w:szCs w:val="22"/>
        </w:rPr>
        <w:t>WWDA: Hobart, Tasmania.</w:t>
      </w:r>
    </w:p>
    <w:p w14:paraId="35482DDF" w14:textId="77777777" w:rsidR="009D2DCA" w:rsidRPr="00363830" w:rsidRDefault="009D2DCA" w:rsidP="000709B9">
      <w:pPr>
        <w:spacing w:line="240" w:lineRule="auto"/>
        <w:rPr>
          <w:rFonts w:ascii="Avenir Book" w:hAnsi="Avenir Book" w:cs="Calibri"/>
          <w:sz w:val="22"/>
          <w:szCs w:val="22"/>
        </w:rPr>
      </w:pPr>
    </w:p>
    <w:p w14:paraId="2D149C5B" w14:textId="77777777" w:rsidR="007B5DE5" w:rsidRPr="00363830" w:rsidRDefault="009D2DCA" w:rsidP="000709B9">
      <w:pPr>
        <w:pStyle w:val="Heading3"/>
        <w:spacing w:line="240" w:lineRule="auto"/>
        <w:rPr>
          <w:rFonts w:ascii="Avenir Book" w:hAnsi="Avenir Book" w:cs="Calibri"/>
          <w:color w:val="AC1F79"/>
        </w:rPr>
      </w:pPr>
      <w:bookmarkStart w:id="61" w:name="_Toc509920824"/>
      <w:bookmarkStart w:id="62" w:name="_Toc510523711"/>
      <w:bookmarkStart w:id="63" w:name="_Toc512603441"/>
      <w:bookmarkStart w:id="64" w:name="_Toc512604447"/>
      <w:bookmarkStart w:id="65" w:name="_Toc32738100"/>
      <w:bookmarkStart w:id="66" w:name="_Toc32757939"/>
      <w:bookmarkStart w:id="67" w:name="_Toc32759980"/>
      <w:bookmarkStart w:id="68" w:name="_Toc43919142"/>
      <w:r w:rsidRPr="00363830">
        <w:rPr>
          <w:rFonts w:ascii="Avenir Book" w:hAnsi="Avenir Book" w:cs="Calibri"/>
          <w:color w:val="AC1F79"/>
        </w:rPr>
        <w:t>Acknowledg</w:t>
      </w:r>
      <w:r w:rsidR="007B5DE5" w:rsidRPr="00363830">
        <w:rPr>
          <w:rFonts w:ascii="Avenir Book" w:hAnsi="Avenir Book" w:cs="Calibri"/>
          <w:color w:val="AC1F79"/>
        </w:rPr>
        <w:t>ments</w:t>
      </w:r>
      <w:bookmarkEnd w:id="61"/>
      <w:bookmarkEnd w:id="62"/>
      <w:bookmarkEnd w:id="63"/>
      <w:bookmarkEnd w:id="64"/>
      <w:bookmarkEnd w:id="65"/>
      <w:bookmarkEnd w:id="66"/>
      <w:bookmarkEnd w:id="67"/>
      <w:bookmarkEnd w:id="68"/>
    </w:p>
    <w:p w14:paraId="639E5CCD" w14:textId="3DD1F889" w:rsidR="00310AC4" w:rsidRPr="00363830" w:rsidRDefault="00310AC4" w:rsidP="000709B9">
      <w:pPr>
        <w:spacing w:line="240" w:lineRule="auto"/>
        <w:rPr>
          <w:rFonts w:ascii="Avenir Book" w:hAnsi="Avenir Book" w:cs="Calibri"/>
        </w:rPr>
      </w:pPr>
    </w:p>
    <w:p w14:paraId="398CF5B2" w14:textId="1EC9E679" w:rsidR="00310AC4" w:rsidRPr="00363830" w:rsidRDefault="00310AC4" w:rsidP="000709B9">
      <w:pPr>
        <w:spacing w:line="240" w:lineRule="auto"/>
        <w:rPr>
          <w:rFonts w:ascii="Avenir Book" w:hAnsi="Avenir Book" w:cs="Calibri"/>
        </w:rPr>
      </w:pPr>
      <w:r w:rsidRPr="00363830">
        <w:rPr>
          <w:rFonts w:ascii="Avenir Book" w:hAnsi="Avenir Book" w:cs="Calibri"/>
        </w:rPr>
        <w:t>WWDA acknowledges the traditional owners of the land on which this publication was produced. We acknowledge Aboriginal and Torres Strait Islander people’s deep spiritual connection to this land. We extend our respects to community members and Elders past, present and becoming.</w:t>
      </w:r>
    </w:p>
    <w:p w14:paraId="6493B2FC" w14:textId="429B68FA" w:rsidR="0071331C" w:rsidRPr="000709B9" w:rsidRDefault="0071331C" w:rsidP="000709B9">
      <w:pPr>
        <w:spacing w:line="240" w:lineRule="auto"/>
        <w:rPr>
          <w:rFonts w:ascii="Avenir Book" w:eastAsiaTheme="minorHAnsi" w:hAnsi="Avenir Book" w:cs="Calibri"/>
        </w:rPr>
      </w:pPr>
      <w:r w:rsidRPr="00363830">
        <w:rPr>
          <w:rFonts w:ascii="Avenir Book" w:hAnsi="Avenir Book" w:cs="Calibri"/>
        </w:rPr>
        <w:t xml:space="preserve">This </w:t>
      </w:r>
      <w:r w:rsidR="00BF58C8">
        <w:rPr>
          <w:rFonts w:ascii="Avenir Book" w:hAnsi="Avenir Book" w:cs="Calibri"/>
        </w:rPr>
        <w:t>submission</w:t>
      </w:r>
      <w:r w:rsidRPr="00363830">
        <w:rPr>
          <w:rFonts w:ascii="Avenir Book" w:hAnsi="Avenir Book" w:cs="Calibri"/>
        </w:rPr>
        <w:t xml:space="preserve"> was </w:t>
      </w:r>
      <w:r w:rsidR="00944977">
        <w:rPr>
          <w:rFonts w:ascii="Avenir Book" w:hAnsi="Avenir Book" w:cs="Calibri"/>
        </w:rPr>
        <w:t>written</w:t>
      </w:r>
      <w:r w:rsidRPr="00363830">
        <w:rPr>
          <w:rFonts w:ascii="Avenir Book" w:hAnsi="Avenir Book" w:cs="Calibri"/>
        </w:rPr>
        <w:t xml:space="preserve"> by Therese Sands for and on behalf of Women with Disabilities Australia (WWDA). </w:t>
      </w:r>
    </w:p>
    <w:p w14:paraId="0CBA0693" w14:textId="156A2DF0" w:rsidR="00AC3A5E" w:rsidRDefault="009D2DCA" w:rsidP="000709B9">
      <w:pPr>
        <w:spacing w:line="240" w:lineRule="auto"/>
        <w:rPr>
          <w:rFonts w:ascii="Avenir Book" w:hAnsi="Avenir Book" w:cs="Calibri"/>
        </w:rPr>
      </w:pPr>
      <w:r w:rsidRPr="00363830">
        <w:rPr>
          <w:rFonts w:ascii="Avenir Book" w:hAnsi="Avenir Book" w:cs="Calibri"/>
        </w:rPr>
        <w:t xml:space="preserve">Women with Disabilities Australia (WWDA) receives </w:t>
      </w:r>
      <w:r w:rsidR="00D7106F" w:rsidRPr="00363830">
        <w:rPr>
          <w:rFonts w:ascii="Avenir Book" w:hAnsi="Avenir Book" w:cs="Calibri"/>
        </w:rPr>
        <w:t xml:space="preserve">part of its </w:t>
      </w:r>
      <w:r w:rsidRPr="00363830">
        <w:rPr>
          <w:rFonts w:ascii="Avenir Book" w:hAnsi="Avenir Book" w:cs="Calibri"/>
        </w:rPr>
        <w:t>funding from the Australian Government</w:t>
      </w:r>
      <w:r w:rsidR="00E528DD" w:rsidRPr="00363830">
        <w:rPr>
          <w:rFonts w:ascii="Avenir Book" w:hAnsi="Avenir Book" w:cs="Calibri"/>
        </w:rPr>
        <w:t>, Department of Social Services.</w:t>
      </w:r>
    </w:p>
    <w:p w14:paraId="257113C6" w14:textId="77777777" w:rsidR="000709B9" w:rsidRPr="00363830" w:rsidRDefault="000709B9" w:rsidP="000709B9">
      <w:pPr>
        <w:spacing w:line="240" w:lineRule="auto"/>
        <w:rPr>
          <w:rFonts w:ascii="Avenir Book" w:hAnsi="Avenir Book" w:cs="Calibri"/>
        </w:rPr>
      </w:pPr>
    </w:p>
    <w:p w14:paraId="6B5B0320" w14:textId="7E10669F" w:rsidR="000233A0" w:rsidRPr="000709B9" w:rsidRDefault="007B5DE5" w:rsidP="000709B9">
      <w:pPr>
        <w:pStyle w:val="Heading3"/>
        <w:spacing w:line="240" w:lineRule="auto"/>
        <w:rPr>
          <w:rFonts w:ascii="Avenir Book" w:hAnsi="Avenir Book" w:cs="Calibri"/>
          <w:color w:val="AC1F79"/>
        </w:rPr>
      </w:pPr>
      <w:bookmarkStart w:id="69" w:name="_Toc468803765"/>
      <w:bookmarkStart w:id="70" w:name="_Toc350082564"/>
      <w:bookmarkStart w:id="71" w:name="_Toc501535863"/>
      <w:bookmarkStart w:id="72" w:name="_Toc501535945"/>
      <w:bookmarkStart w:id="73" w:name="_Toc501537208"/>
      <w:bookmarkStart w:id="74" w:name="_Toc501537272"/>
      <w:bookmarkStart w:id="75" w:name="_Toc501542223"/>
      <w:bookmarkStart w:id="76" w:name="_Toc501542265"/>
      <w:bookmarkStart w:id="77" w:name="_Toc509920825"/>
      <w:bookmarkStart w:id="78" w:name="_Toc510523712"/>
      <w:bookmarkStart w:id="79" w:name="_Toc512603442"/>
      <w:bookmarkStart w:id="80" w:name="_Toc512604448"/>
      <w:bookmarkStart w:id="81" w:name="_Toc32738101"/>
      <w:bookmarkStart w:id="82" w:name="_Toc32738163"/>
      <w:bookmarkStart w:id="83" w:name="_Toc32757940"/>
      <w:bookmarkStart w:id="84" w:name="_Toc32759981"/>
      <w:bookmarkStart w:id="85" w:name="_Toc43919143"/>
      <w:r w:rsidRPr="00363830">
        <w:rPr>
          <w:rFonts w:ascii="Avenir Book" w:hAnsi="Avenir Book" w:cs="Calibri"/>
          <w:color w:val="AC1F79"/>
        </w:rPr>
        <w:t>Contact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363830">
        <w:rPr>
          <w:rFonts w:ascii="Avenir Book" w:hAnsi="Avenir Book" w:cs="Calibri"/>
          <w:color w:val="AC1F79"/>
        </w:rPr>
        <w:t xml:space="preserve"> </w:t>
      </w:r>
    </w:p>
    <w:p w14:paraId="1D93D784" w14:textId="77777777" w:rsidR="00310AC4" w:rsidRPr="00363830" w:rsidRDefault="00310AC4" w:rsidP="000709B9">
      <w:pPr>
        <w:spacing w:after="0" w:line="240" w:lineRule="auto"/>
        <w:rPr>
          <w:rFonts w:ascii="Avenir Book" w:hAnsi="Avenir Book" w:cs="Calibri"/>
          <w:sz w:val="18"/>
          <w:szCs w:val="18"/>
        </w:rPr>
      </w:pPr>
      <w:r w:rsidRPr="00363830">
        <w:rPr>
          <w:rFonts w:ascii="Avenir Book" w:hAnsi="Avenir Book" w:cs="Calibri"/>
          <w:sz w:val="18"/>
          <w:szCs w:val="18"/>
        </w:rPr>
        <w:t>Women with Disabilities Australia (WWDA)</w:t>
      </w:r>
    </w:p>
    <w:p w14:paraId="4BBFA437" w14:textId="77777777" w:rsidR="00F42993" w:rsidRPr="00363830" w:rsidRDefault="00F42993" w:rsidP="000709B9">
      <w:pPr>
        <w:spacing w:after="0" w:line="240" w:lineRule="auto"/>
        <w:rPr>
          <w:rFonts w:ascii="Avenir Book" w:hAnsi="Avenir Book" w:cs="Calibri"/>
          <w:sz w:val="18"/>
          <w:szCs w:val="18"/>
        </w:rPr>
      </w:pPr>
      <w:r w:rsidRPr="00363830">
        <w:rPr>
          <w:rFonts w:ascii="Avenir Book" w:hAnsi="Avenir Book" w:cs="Calibri"/>
          <w:sz w:val="18"/>
          <w:szCs w:val="18"/>
        </w:rPr>
        <w:t>Contact: Carolyn Frohmader, Executive Director</w:t>
      </w:r>
    </w:p>
    <w:p w14:paraId="120BB3D7" w14:textId="77777777" w:rsidR="00310AC4" w:rsidRPr="00363830" w:rsidRDefault="00310AC4" w:rsidP="000709B9">
      <w:pPr>
        <w:spacing w:after="0" w:line="240" w:lineRule="auto"/>
        <w:rPr>
          <w:rFonts w:ascii="Avenir Book" w:hAnsi="Avenir Book" w:cs="Calibri"/>
          <w:iCs/>
          <w:sz w:val="18"/>
          <w:szCs w:val="18"/>
        </w:rPr>
      </w:pPr>
      <w:r w:rsidRPr="00363830">
        <w:rPr>
          <w:rFonts w:ascii="Avenir Book" w:hAnsi="Avenir Book" w:cs="Calibri"/>
          <w:iCs/>
          <w:sz w:val="18"/>
          <w:szCs w:val="18"/>
        </w:rPr>
        <w:t>PO Box 407, Lenah Valley, 7008 Tasmania</w:t>
      </w:r>
      <w:r w:rsidR="00F22E4B" w:rsidRPr="00363830">
        <w:rPr>
          <w:rFonts w:ascii="Avenir Book" w:hAnsi="Avenir Book" w:cs="Calibri"/>
          <w:iCs/>
          <w:sz w:val="18"/>
          <w:szCs w:val="18"/>
        </w:rPr>
        <w:t>, Australia</w:t>
      </w:r>
    </w:p>
    <w:p w14:paraId="65FEFB1F" w14:textId="77777777" w:rsidR="00310AC4" w:rsidRPr="00363830" w:rsidRDefault="00310AC4" w:rsidP="000709B9">
      <w:pPr>
        <w:spacing w:after="0" w:line="240" w:lineRule="auto"/>
        <w:rPr>
          <w:rFonts w:ascii="Avenir Book" w:hAnsi="Avenir Book" w:cs="Calibri"/>
          <w:iCs/>
          <w:sz w:val="18"/>
          <w:szCs w:val="18"/>
        </w:rPr>
      </w:pPr>
      <w:r w:rsidRPr="00363830">
        <w:rPr>
          <w:rFonts w:ascii="Avenir Book" w:hAnsi="Avenir Book" w:cs="Calibri"/>
          <w:iCs/>
          <w:sz w:val="18"/>
          <w:szCs w:val="18"/>
        </w:rPr>
        <w:t>Phone: +61 438 535 123</w:t>
      </w:r>
    </w:p>
    <w:p w14:paraId="01F4C110" w14:textId="77777777" w:rsidR="00310AC4" w:rsidRPr="00363830" w:rsidRDefault="00310AC4" w:rsidP="000709B9">
      <w:pPr>
        <w:spacing w:after="0" w:line="240" w:lineRule="auto"/>
        <w:rPr>
          <w:rFonts w:ascii="Avenir Book" w:hAnsi="Avenir Book" w:cs="Calibri"/>
          <w:sz w:val="18"/>
          <w:szCs w:val="18"/>
        </w:rPr>
      </w:pPr>
      <w:r w:rsidRPr="00363830">
        <w:rPr>
          <w:rFonts w:ascii="Avenir Book" w:hAnsi="Avenir Book" w:cs="Calibri"/>
          <w:iCs/>
          <w:sz w:val="18"/>
          <w:szCs w:val="18"/>
        </w:rPr>
        <w:t xml:space="preserve">Email: </w:t>
      </w:r>
      <w:hyperlink r:id="rId9" w:history="1">
        <w:r w:rsidRPr="00363830">
          <w:rPr>
            <w:rStyle w:val="Hyperlink"/>
            <w:rFonts w:ascii="Avenir Book" w:hAnsi="Avenir Book" w:cs="Calibri"/>
            <w:sz w:val="18"/>
            <w:szCs w:val="18"/>
          </w:rPr>
          <w:t>carolyn@wwda.org.au</w:t>
        </w:r>
      </w:hyperlink>
    </w:p>
    <w:p w14:paraId="259F2C66" w14:textId="77777777" w:rsidR="00310AC4" w:rsidRPr="00363830" w:rsidRDefault="00310AC4" w:rsidP="000709B9">
      <w:pPr>
        <w:spacing w:after="0" w:line="240" w:lineRule="auto"/>
        <w:rPr>
          <w:rFonts w:ascii="Avenir Book" w:hAnsi="Avenir Book" w:cs="Calibri"/>
          <w:sz w:val="18"/>
          <w:szCs w:val="18"/>
          <w:u w:val="single"/>
        </w:rPr>
      </w:pPr>
      <w:r w:rsidRPr="00363830">
        <w:rPr>
          <w:rFonts w:ascii="Avenir Book" w:hAnsi="Avenir Book" w:cs="Calibri"/>
          <w:iCs/>
          <w:sz w:val="18"/>
          <w:szCs w:val="18"/>
        </w:rPr>
        <w:t xml:space="preserve">Web: </w:t>
      </w:r>
      <w:hyperlink r:id="rId10" w:history="1">
        <w:r w:rsidRPr="00363830">
          <w:rPr>
            <w:rStyle w:val="Hyperlink"/>
            <w:rFonts w:ascii="Avenir Book" w:hAnsi="Avenir Book" w:cs="Calibri"/>
            <w:sz w:val="18"/>
            <w:szCs w:val="18"/>
          </w:rPr>
          <w:t>www.wwda.org.au</w:t>
        </w:r>
      </w:hyperlink>
    </w:p>
    <w:p w14:paraId="667717A0" w14:textId="77777777" w:rsidR="00310AC4" w:rsidRPr="00363830" w:rsidRDefault="00310AC4" w:rsidP="000709B9">
      <w:pPr>
        <w:spacing w:after="0" w:line="240" w:lineRule="auto"/>
        <w:rPr>
          <w:rFonts w:ascii="Avenir Book" w:hAnsi="Avenir Book" w:cs="Calibri"/>
          <w:sz w:val="18"/>
          <w:szCs w:val="18"/>
          <w:lang w:val="en-US"/>
        </w:rPr>
      </w:pPr>
      <w:r w:rsidRPr="00363830">
        <w:rPr>
          <w:rFonts w:ascii="Avenir Book" w:hAnsi="Avenir Book" w:cs="Calibri"/>
          <w:sz w:val="18"/>
          <w:szCs w:val="18"/>
          <w:lang w:val="en-US"/>
        </w:rPr>
        <w:t>Facebook: </w:t>
      </w:r>
      <w:hyperlink r:id="rId11" w:history="1">
        <w:r w:rsidRPr="00363830">
          <w:rPr>
            <w:rStyle w:val="Hyperlink"/>
            <w:rFonts w:ascii="Avenir Book" w:hAnsi="Avenir Book" w:cs="Calibri"/>
            <w:sz w:val="18"/>
            <w:szCs w:val="18"/>
            <w:lang w:val="en-US"/>
          </w:rPr>
          <w:t>www.facebook.com/WWDA.Australia</w:t>
        </w:r>
      </w:hyperlink>
    </w:p>
    <w:p w14:paraId="01D24C6A" w14:textId="77777777" w:rsidR="00310AC4" w:rsidRPr="00363830" w:rsidRDefault="00310AC4" w:rsidP="000709B9">
      <w:pPr>
        <w:spacing w:after="0" w:line="240" w:lineRule="auto"/>
        <w:rPr>
          <w:rFonts w:ascii="Avenir Book" w:hAnsi="Avenir Book" w:cs="Calibri"/>
          <w:sz w:val="18"/>
          <w:szCs w:val="18"/>
        </w:rPr>
      </w:pPr>
      <w:r w:rsidRPr="00363830">
        <w:rPr>
          <w:rFonts w:ascii="Avenir Book" w:hAnsi="Avenir Book" w:cs="Calibri"/>
          <w:sz w:val="18"/>
          <w:szCs w:val="18"/>
          <w:lang w:val="en-US"/>
        </w:rPr>
        <w:t>Twitter: </w:t>
      </w:r>
      <w:hyperlink r:id="rId12" w:history="1">
        <w:r w:rsidRPr="00363830">
          <w:rPr>
            <w:rStyle w:val="Hyperlink"/>
            <w:rFonts w:ascii="Avenir Book" w:hAnsi="Avenir Book" w:cs="Calibri"/>
            <w:sz w:val="18"/>
            <w:szCs w:val="18"/>
            <w:lang w:val="en-US"/>
          </w:rPr>
          <w:t>www.twitter.com/WWDA_AU</w:t>
        </w:r>
      </w:hyperlink>
    </w:p>
    <w:p w14:paraId="7BCA3893" w14:textId="77777777" w:rsidR="00F42993" w:rsidRPr="00363830" w:rsidRDefault="00F42993" w:rsidP="000709B9">
      <w:pPr>
        <w:spacing w:line="240" w:lineRule="auto"/>
        <w:rPr>
          <w:rFonts w:ascii="Avenir Book" w:hAnsi="Avenir Book" w:cs="Calibri"/>
          <w:sz w:val="18"/>
          <w:szCs w:val="18"/>
        </w:rPr>
      </w:pPr>
    </w:p>
    <w:p w14:paraId="17E956D8" w14:textId="77777777" w:rsidR="00F42993" w:rsidRPr="00363830" w:rsidRDefault="00F42993" w:rsidP="000709B9">
      <w:pPr>
        <w:spacing w:after="0" w:line="240" w:lineRule="auto"/>
        <w:rPr>
          <w:rFonts w:ascii="Avenir Book" w:hAnsi="Avenir Book" w:cs="Calibri"/>
          <w:sz w:val="16"/>
          <w:szCs w:val="16"/>
        </w:rPr>
      </w:pPr>
      <w:r w:rsidRPr="00363830">
        <w:rPr>
          <w:rFonts w:ascii="Avenir Book" w:hAnsi="Avenir Book" w:cs="Calibri"/>
          <w:i/>
          <w:sz w:val="16"/>
          <w:szCs w:val="16"/>
        </w:rPr>
        <w:t>Winner</w:t>
      </w:r>
      <w:r w:rsidRPr="00363830">
        <w:rPr>
          <w:rFonts w:ascii="Avenir Book" w:hAnsi="Avenir Book" w:cs="Calibri"/>
          <w:sz w:val="16"/>
          <w:szCs w:val="16"/>
        </w:rPr>
        <w:t>, National Human Rights Award 2001</w:t>
      </w:r>
    </w:p>
    <w:p w14:paraId="6DB55530" w14:textId="77777777" w:rsidR="00F42993" w:rsidRPr="00363830" w:rsidRDefault="00F42993" w:rsidP="000709B9">
      <w:pPr>
        <w:spacing w:after="0" w:line="240" w:lineRule="auto"/>
        <w:rPr>
          <w:rFonts w:ascii="Avenir Book" w:hAnsi="Avenir Book" w:cs="Calibri"/>
          <w:sz w:val="16"/>
          <w:szCs w:val="16"/>
        </w:rPr>
      </w:pPr>
      <w:r w:rsidRPr="00363830">
        <w:rPr>
          <w:rFonts w:ascii="Avenir Book" w:hAnsi="Avenir Book" w:cs="Calibri"/>
          <w:i/>
          <w:sz w:val="16"/>
          <w:szCs w:val="16"/>
        </w:rPr>
        <w:t>Winner</w:t>
      </w:r>
      <w:r w:rsidRPr="00363830">
        <w:rPr>
          <w:rFonts w:ascii="Avenir Book" w:hAnsi="Avenir Book" w:cs="Calibri"/>
          <w:sz w:val="16"/>
          <w:szCs w:val="16"/>
        </w:rPr>
        <w:t>, National Violence Prevention Award 1999</w:t>
      </w:r>
    </w:p>
    <w:p w14:paraId="6091FF88" w14:textId="77777777" w:rsidR="00F42993" w:rsidRPr="00363830" w:rsidRDefault="00F42993" w:rsidP="000709B9">
      <w:pPr>
        <w:spacing w:after="0" w:line="240" w:lineRule="auto"/>
        <w:rPr>
          <w:rFonts w:ascii="Avenir Book" w:hAnsi="Avenir Book" w:cs="Calibri"/>
          <w:sz w:val="16"/>
          <w:szCs w:val="16"/>
        </w:rPr>
      </w:pPr>
      <w:r w:rsidRPr="00363830">
        <w:rPr>
          <w:rFonts w:ascii="Avenir Book" w:hAnsi="Avenir Book" w:cs="Calibri"/>
          <w:i/>
          <w:sz w:val="16"/>
          <w:szCs w:val="16"/>
        </w:rPr>
        <w:t>Winner</w:t>
      </w:r>
      <w:r w:rsidRPr="00363830">
        <w:rPr>
          <w:rFonts w:ascii="Avenir Book" w:hAnsi="Avenir Book" w:cs="Calibri"/>
          <w:sz w:val="16"/>
          <w:szCs w:val="16"/>
        </w:rPr>
        <w:t>, Tasmanian Women's Safety Award 2008</w:t>
      </w:r>
    </w:p>
    <w:p w14:paraId="5C04F03A" w14:textId="37C286BF" w:rsidR="00F42993" w:rsidRPr="00363830" w:rsidRDefault="00F42993" w:rsidP="000709B9">
      <w:pPr>
        <w:spacing w:after="0" w:line="240" w:lineRule="auto"/>
        <w:rPr>
          <w:rFonts w:ascii="Avenir Book" w:hAnsi="Avenir Book" w:cs="Calibri"/>
          <w:sz w:val="16"/>
          <w:szCs w:val="16"/>
        </w:rPr>
      </w:pPr>
      <w:r w:rsidRPr="00363830">
        <w:rPr>
          <w:rFonts w:ascii="Avenir Book" w:hAnsi="Avenir Book" w:cs="Calibri"/>
          <w:i/>
          <w:sz w:val="16"/>
          <w:szCs w:val="16"/>
        </w:rPr>
        <w:t>Certificate of Merit</w:t>
      </w:r>
      <w:r w:rsidRPr="00363830">
        <w:rPr>
          <w:rFonts w:ascii="Avenir Book" w:hAnsi="Avenir Book" w:cs="Calibri"/>
          <w:sz w:val="16"/>
          <w:szCs w:val="16"/>
        </w:rPr>
        <w:t>, Australian Crime &amp; Violence Prevention Awards 2008</w:t>
      </w:r>
    </w:p>
    <w:p w14:paraId="3CB829C6" w14:textId="17B25888" w:rsidR="00940EFA" w:rsidRPr="00363830" w:rsidRDefault="00940EFA" w:rsidP="000709B9">
      <w:pPr>
        <w:spacing w:after="0" w:line="240" w:lineRule="auto"/>
        <w:rPr>
          <w:rFonts w:ascii="Avenir Book" w:hAnsi="Avenir Book" w:cs="Calibri"/>
          <w:sz w:val="16"/>
          <w:szCs w:val="16"/>
        </w:rPr>
      </w:pPr>
      <w:r w:rsidRPr="00363830">
        <w:rPr>
          <w:rFonts w:ascii="Avenir Book" w:hAnsi="Avenir Book" w:cs="Calibri"/>
          <w:i/>
          <w:iCs/>
          <w:sz w:val="16"/>
          <w:szCs w:val="16"/>
        </w:rPr>
        <w:t>Nominee,</w:t>
      </w:r>
      <w:r w:rsidRPr="00363830">
        <w:rPr>
          <w:rFonts w:ascii="Avenir Book" w:hAnsi="Avenir Book" w:cs="Calibri"/>
          <w:sz w:val="16"/>
          <w:szCs w:val="16"/>
        </w:rPr>
        <w:t xml:space="preserve"> National Disability Awards 2017</w:t>
      </w:r>
    </w:p>
    <w:p w14:paraId="4480C985" w14:textId="77777777" w:rsidR="00F42993" w:rsidRPr="00363830" w:rsidRDefault="00F42993" w:rsidP="000709B9">
      <w:pPr>
        <w:spacing w:after="0" w:line="240" w:lineRule="auto"/>
        <w:rPr>
          <w:rFonts w:ascii="Avenir Book" w:hAnsi="Avenir Book" w:cs="Calibri"/>
          <w:sz w:val="16"/>
          <w:szCs w:val="16"/>
        </w:rPr>
      </w:pPr>
      <w:r w:rsidRPr="00363830">
        <w:rPr>
          <w:rFonts w:ascii="Avenir Book" w:hAnsi="Avenir Book" w:cs="Calibri"/>
          <w:i/>
          <w:sz w:val="16"/>
          <w:szCs w:val="16"/>
        </w:rPr>
        <w:t>Nominee</w:t>
      </w:r>
      <w:r w:rsidRPr="00363830">
        <w:rPr>
          <w:rFonts w:ascii="Avenir Book" w:hAnsi="Avenir Book" w:cs="Calibri"/>
          <w:sz w:val="16"/>
          <w:szCs w:val="16"/>
        </w:rPr>
        <w:t>, French Republic's Human Rights Prize 2003</w:t>
      </w:r>
    </w:p>
    <w:p w14:paraId="1BBFD51A" w14:textId="66FA1EB1" w:rsidR="00F42993" w:rsidRPr="00363830" w:rsidRDefault="00F42993" w:rsidP="000709B9">
      <w:pPr>
        <w:spacing w:after="0" w:line="240" w:lineRule="auto"/>
        <w:rPr>
          <w:rFonts w:ascii="Avenir Book" w:hAnsi="Avenir Book" w:cs="Calibri"/>
          <w:sz w:val="16"/>
          <w:szCs w:val="16"/>
        </w:rPr>
      </w:pPr>
      <w:r w:rsidRPr="00363830">
        <w:rPr>
          <w:rFonts w:ascii="Avenir Book" w:hAnsi="Avenir Book" w:cs="Calibri"/>
          <w:i/>
          <w:sz w:val="16"/>
          <w:szCs w:val="16"/>
        </w:rPr>
        <w:t>Nominee</w:t>
      </w:r>
      <w:r w:rsidRPr="00363830">
        <w:rPr>
          <w:rFonts w:ascii="Avenir Book" w:hAnsi="Avenir Book" w:cs="Calibri"/>
          <w:sz w:val="16"/>
          <w:szCs w:val="16"/>
        </w:rPr>
        <w:t>, UN Millennium Peace Prize for Women 2000</w:t>
      </w:r>
    </w:p>
    <w:p w14:paraId="769FF2DA" w14:textId="71349C97" w:rsidR="00BE3470" w:rsidRPr="00363830" w:rsidRDefault="00BE3470" w:rsidP="000709B9">
      <w:pPr>
        <w:spacing w:line="240" w:lineRule="auto"/>
        <w:rPr>
          <w:rFonts w:ascii="Avenir Book" w:hAnsi="Avenir Book" w:cs="Calibri"/>
        </w:rPr>
      </w:pPr>
    </w:p>
    <w:p w14:paraId="430E7689" w14:textId="1E747985" w:rsidR="00BE3470" w:rsidRPr="000709B9" w:rsidRDefault="00BE3470" w:rsidP="000709B9">
      <w:pPr>
        <w:spacing w:line="240" w:lineRule="auto"/>
        <w:rPr>
          <w:rFonts w:ascii="Avenir Book" w:hAnsi="Avenir Book" w:cs="Calibri Light"/>
          <w:b/>
          <w:bCs/>
          <w:color w:val="AC1F79"/>
        </w:rPr>
      </w:pPr>
      <w:r w:rsidRPr="00363830">
        <w:rPr>
          <w:rFonts w:ascii="Avenir Book" w:hAnsi="Avenir Book" w:cs="Calibri Light"/>
          <w:b/>
          <w:bCs/>
          <w:color w:val="AC1F79"/>
          <w:sz w:val="22"/>
          <w:szCs w:val="22"/>
        </w:rPr>
        <w:t>Disclaimer</w:t>
      </w:r>
    </w:p>
    <w:p w14:paraId="6A5B6B06" w14:textId="563DDDD8" w:rsidR="00BE3470" w:rsidRPr="000709B9" w:rsidRDefault="00BE3470" w:rsidP="000709B9">
      <w:pPr>
        <w:spacing w:line="240" w:lineRule="auto"/>
        <w:rPr>
          <w:rFonts w:ascii="Avenir Book" w:hAnsi="Avenir Book" w:cs="Calibri Light"/>
          <w:sz w:val="18"/>
          <w:szCs w:val="18"/>
        </w:rPr>
      </w:pPr>
      <w:r w:rsidRPr="00363830">
        <w:rPr>
          <w:rFonts w:ascii="Avenir Book" w:hAnsi="Avenir Book" w:cs="Calibri Light"/>
          <w:sz w:val="18"/>
          <w:szCs w:val="18"/>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5B8C671C" w14:textId="756692D1" w:rsidR="00640BE6" w:rsidRPr="000709B9" w:rsidRDefault="00640BE6" w:rsidP="000709B9">
      <w:pPr>
        <w:spacing w:line="240" w:lineRule="auto"/>
        <w:rPr>
          <w:rFonts w:ascii="Avenir Book" w:hAnsi="Avenir Book" w:cs="Calibri"/>
          <w:b/>
        </w:rPr>
      </w:pPr>
      <w:bookmarkStart w:id="86" w:name="_Toc468803771"/>
      <w:r w:rsidRPr="00640BE6">
        <w:rPr>
          <w:rFonts w:ascii="Avenir Book" w:hAnsi="Avenir Book" w:cs="Calibri"/>
        </w:rPr>
        <w:t>This work is copyright. Apart from any use as permitted under the Copyright Act 1968, no part may be reproduced without written permission from Women With Disabilities Australia (WWDA).</w:t>
      </w:r>
      <w:bookmarkEnd w:id="86"/>
    </w:p>
    <w:p w14:paraId="5A59FF3E" w14:textId="7B1B6245" w:rsidR="00640BE6" w:rsidRPr="00640BE6" w:rsidRDefault="00640BE6" w:rsidP="000709B9">
      <w:pPr>
        <w:spacing w:line="240" w:lineRule="auto"/>
        <w:rPr>
          <w:rFonts w:ascii="Avenir Book" w:hAnsi="Avenir Book" w:cs="Calibri"/>
        </w:rPr>
      </w:pPr>
      <w:bookmarkStart w:id="87" w:name="_Toc468803773"/>
      <w:r w:rsidRPr="00640BE6">
        <w:rPr>
          <w:rFonts w:ascii="Avenir Book" w:hAnsi="Avenir Book" w:cs="Calibri"/>
        </w:rPr>
        <w:t>© 2020 Women With Disabilities Australia (WWDA).</w:t>
      </w:r>
      <w:bookmarkEnd w:id="87"/>
      <w:r w:rsidRPr="00640BE6">
        <w:rPr>
          <w:rFonts w:ascii="Avenir Book" w:hAnsi="Avenir Book" w:cs="Calibri"/>
        </w:rPr>
        <w:t xml:space="preserve"> </w:t>
      </w:r>
    </w:p>
    <w:p w14:paraId="295EFB7F" w14:textId="6495E521" w:rsidR="00AC3A5E" w:rsidRPr="000709B9" w:rsidRDefault="00640BE6" w:rsidP="000709B9">
      <w:pPr>
        <w:spacing w:line="240" w:lineRule="auto"/>
        <w:rPr>
          <w:rFonts w:ascii="Avenir Book" w:hAnsi="Avenir Book" w:cs="Calibri"/>
          <w:bCs/>
        </w:rPr>
      </w:pPr>
      <w:r w:rsidRPr="00DC3DE7">
        <w:rPr>
          <w:rFonts w:ascii="Avenir Book" w:hAnsi="Avenir Book" w:cs="Calibri"/>
          <w:highlight w:val="yellow"/>
        </w:rPr>
        <w:t xml:space="preserve">ABN: </w:t>
      </w:r>
      <w:r w:rsidR="00DC3DE7">
        <w:rPr>
          <w:rFonts w:ascii="Avenir Book" w:hAnsi="Avenir Book" w:cs="Calibri"/>
          <w:bCs/>
          <w:highlight w:val="yellow"/>
        </w:rPr>
        <w:t xml:space="preserve">xx xxx xx </w:t>
      </w:r>
      <w:r w:rsidR="00AC3A5E" w:rsidRPr="00A16838">
        <w:rPr>
          <w:rFonts w:ascii="Calibri" w:hAnsi="Calibri" w:cs="Calibri"/>
          <w:b/>
          <w:sz w:val="22"/>
          <w:szCs w:val="22"/>
        </w:rPr>
        <w:br w:type="page"/>
      </w:r>
    </w:p>
    <w:p w14:paraId="3BE301B1" w14:textId="77777777" w:rsidR="00AC3A5E" w:rsidRPr="00640BE6" w:rsidRDefault="00AC3A5E" w:rsidP="00E73533">
      <w:pPr>
        <w:pStyle w:val="Heading2"/>
        <w:rPr>
          <w:rFonts w:ascii="Avenir Book" w:hAnsi="Avenir Book" w:cstheme="minorHAnsi"/>
          <w:color w:val="AC1F79"/>
        </w:rPr>
      </w:pPr>
      <w:bookmarkStart w:id="88" w:name="_Toc509920827"/>
      <w:bookmarkStart w:id="89" w:name="_Toc510523714"/>
      <w:bookmarkStart w:id="90" w:name="_Toc512603443"/>
      <w:bookmarkStart w:id="91" w:name="_Toc512604449"/>
      <w:bookmarkStart w:id="92" w:name="_Toc32738102"/>
      <w:bookmarkStart w:id="93" w:name="_Toc43919144"/>
      <w:bookmarkEnd w:id="53"/>
      <w:bookmarkEnd w:id="54"/>
      <w:bookmarkEnd w:id="55"/>
      <w:bookmarkEnd w:id="56"/>
      <w:bookmarkEnd w:id="57"/>
      <w:bookmarkEnd w:id="58"/>
      <w:bookmarkEnd w:id="59"/>
      <w:bookmarkEnd w:id="60"/>
      <w:r w:rsidRPr="00640BE6">
        <w:rPr>
          <w:rFonts w:ascii="Avenir Book" w:hAnsi="Avenir Book" w:cstheme="minorHAnsi"/>
          <w:color w:val="AC1F79"/>
        </w:rPr>
        <w:lastRenderedPageBreak/>
        <w:t>About Women with Disabilities Australia (WWDA)</w:t>
      </w:r>
      <w:bookmarkEnd w:id="88"/>
      <w:bookmarkEnd w:id="89"/>
      <w:bookmarkEnd w:id="90"/>
      <w:bookmarkEnd w:id="91"/>
      <w:bookmarkEnd w:id="92"/>
      <w:bookmarkEnd w:id="93"/>
    </w:p>
    <w:p w14:paraId="0EC4B2E1" w14:textId="77777777" w:rsidR="00AC3A5E" w:rsidRPr="00640BE6" w:rsidRDefault="00AC3A5E" w:rsidP="00121931">
      <w:pPr>
        <w:rPr>
          <w:rFonts w:ascii="Avenir Book" w:hAnsi="Avenir Book" w:cs="Calibri"/>
          <w:sz w:val="22"/>
          <w:szCs w:val="22"/>
        </w:rPr>
      </w:pPr>
    </w:p>
    <w:p w14:paraId="2B0F1178" w14:textId="77777777" w:rsidR="00AC3A5E" w:rsidRPr="00640BE6" w:rsidRDefault="00AC3A5E" w:rsidP="000709B9">
      <w:pPr>
        <w:spacing w:line="240" w:lineRule="auto"/>
        <w:rPr>
          <w:rFonts w:ascii="Avenir Book" w:hAnsi="Avenir Book" w:cs="Calibri"/>
          <w:sz w:val="22"/>
          <w:szCs w:val="22"/>
        </w:rPr>
      </w:pPr>
      <w:r w:rsidRPr="00640BE6">
        <w:rPr>
          <w:rFonts w:ascii="Avenir Book" w:hAnsi="Avenir Book" w:cs="Calibri"/>
          <w:sz w:val="22"/>
          <w:szCs w:val="22"/>
        </w:rPr>
        <w:t>Women With Disabilities Australia (WWDA) is the award winning, national Disabled People’s Organisation (DPO) for women and girls with all types of disability in Australia. The key purpose of WWDA is to promote and advance the human rights and freedoms of women and girls with disability. Our goal is to be a national voice for the rights of women and girls with disability and a national force to improve the lives and life chances of women and girls with disability.</w:t>
      </w:r>
    </w:p>
    <w:p w14:paraId="7C1DF71E" w14:textId="77777777" w:rsidR="00AC3A5E" w:rsidRPr="00640BE6" w:rsidRDefault="00AC3A5E" w:rsidP="000709B9">
      <w:pPr>
        <w:spacing w:line="240" w:lineRule="auto"/>
        <w:rPr>
          <w:rFonts w:ascii="Avenir Book" w:hAnsi="Avenir Book" w:cs="Calibri"/>
          <w:sz w:val="22"/>
          <w:szCs w:val="22"/>
        </w:rPr>
      </w:pPr>
    </w:p>
    <w:p w14:paraId="249E2187" w14:textId="77777777" w:rsidR="00AC3A5E" w:rsidRPr="00640BE6" w:rsidRDefault="00AC3A5E" w:rsidP="000709B9">
      <w:pPr>
        <w:spacing w:line="240" w:lineRule="auto"/>
        <w:rPr>
          <w:rFonts w:ascii="Avenir Book" w:hAnsi="Avenir Book" w:cs="Calibri"/>
          <w:sz w:val="22"/>
          <w:szCs w:val="22"/>
        </w:rPr>
      </w:pPr>
      <w:r w:rsidRPr="00640BE6">
        <w:rPr>
          <w:rFonts w:ascii="Avenir Book" w:hAnsi="Avenir Book" w:cs="Calibri"/>
          <w:sz w:val="22"/>
          <w:szCs w:val="22"/>
        </w:rPr>
        <w:t>WWDA represents more than two million disabled women and girls in Australia, has affiliate organisations and networks of women with disability in most States and Territories of Australia, and is internationally recognised for our global leadership in advancing the human rights of women and girls with disability. As a DPO, WWDA is managed and run by women with disability, for women and girls with disability.</w:t>
      </w:r>
    </w:p>
    <w:p w14:paraId="6178F39C" w14:textId="77777777" w:rsidR="00AC3A5E" w:rsidRPr="00640BE6" w:rsidRDefault="00AC3A5E" w:rsidP="000709B9">
      <w:pPr>
        <w:spacing w:line="240" w:lineRule="auto"/>
        <w:rPr>
          <w:rFonts w:ascii="Avenir Book" w:hAnsi="Avenir Book" w:cs="Calibri"/>
          <w:sz w:val="22"/>
          <w:szCs w:val="22"/>
        </w:rPr>
      </w:pPr>
    </w:p>
    <w:p w14:paraId="78269105" w14:textId="08E0E718" w:rsidR="00D7106F" w:rsidRPr="00640BE6" w:rsidRDefault="00AC3A5E" w:rsidP="000709B9">
      <w:pPr>
        <w:spacing w:line="240" w:lineRule="auto"/>
        <w:rPr>
          <w:rFonts w:ascii="Avenir Book" w:hAnsi="Avenir Book" w:cs="Calibri"/>
          <w:sz w:val="22"/>
          <w:szCs w:val="22"/>
        </w:rPr>
      </w:pPr>
      <w:r w:rsidRPr="00640BE6">
        <w:rPr>
          <w:rFonts w:ascii="Avenir Book" w:hAnsi="Avenir Book" w:cs="Calibri"/>
          <w:sz w:val="22"/>
          <w:szCs w:val="22"/>
        </w:rPr>
        <w:t xml:space="preserve">WWDA is a founding member of </w:t>
      </w:r>
      <w:hyperlink r:id="rId13" w:history="1">
        <w:r w:rsidRPr="00640BE6">
          <w:rPr>
            <w:rStyle w:val="Hyperlink"/>
            <w:rFonts w:ascii="Avenir Book" w:hAnsi="Avenir Book" w:cs="Calibri"/>
            <w:sz w:val="22"/>
            <w:szCs w:val="22"/>
          </w:rPr>
          <w:t>Disabled People’s Organisations Australia</w:t>
        </w:r>
      </w:hyperlink>
      <w:r w:rsidRPr="00640BE6">
        <w:rPr>
          <w:rFonts w:ascii="Avenir Book" w:hAnsi="Avenir Book" w:cs="Calibri"/>
          <w:sz w:val="22"/>
          <w:szCs w:val="22"/>
        </w:rPr>
        <w:t xml:space="preserve"> (DPO Australia)</w:t>
      </w:r>
      <w:r w:rsidR="002E2D5D" w:rsidRPr="00640BE6">
        <w:rPr>
          <w:rFonts w:ascii="Avenir Book" w:hAnsi="Avenir Book" w:cs="Calibri"/>
          <w:sz w:val="22"/>
          <w:szCs w:val="22"/>
        </w:rPr>
        <w:t xml:space="preserve"> along with First People’s Disability Network Australia, National Ethnic Disability Alliance</w:t>
      </w:r>
      <w:r w:rsidR="0032633E" w:rsidRPr="00640BE6">
        <w:rPr>
          <w:rFonts w:ascii="Avenir Book" w:hAnsi="Avenir Book" w:cs="Calibri"/>
          <w:sz w:val="22"/>
          <w:szCs w:val="22"/>
        </w:rPr>
        <w:t>,</w:t>
      </w:r>
      <w:r w:rsidR="002E2D5D" w:rsidRPr="00640BE6">
        <w:rPr>
          <w:rFonts w:ascii="Avenir Book" w:hAnsi="Avenir Book" w:cs="Calibri"/>
          <w:sz w:val="22"/>
          <w:szCs w:val="22"/>
        </w:rPr>
        <w:t xml:space="preserve"> and People with Disability Australia</w:t>
      </w:r>
      <w:r w:rsidRPr="00640BE6">
        <w:rPr>
          <w:rFonts w:ascii="Avenir Book" w:hAnsi="Avenir Book" w:cs="Calibri"/>
          <w:sz w:val="22"/>
          <w:szCs w:val="22"/>
        </w:rPr>
        <w:t>. DPO Australia is an alliance of four national d</w:t>
      </w:r>
      <w:r w:rsidR="00A923B1" w:rsidRPr="00640BE6">
        <w:rPr>
          <w:rFonts w:ascii="Avenir Book" w:hAnsi="Avenir Book" w:cs="Calibri"/>
          <w:sz w:val="22"/>
          <w:szCs w:val="22"/>
        </w:rPr>
        <w:t xml:space="preserve">isabled people’s organisations </w:t>
      </w:r>
      <w:r w:rsidRPr="00640BE6">
        <w:rPr>
          <w:rFonts w:ascii="Avenir Book" w:hAnsi="Avenir Book" w:cs="Calibri"/>
          <w:sz w:val="22"/>
          <w:szCs w:val="22"/>
        </w:rPr>
        <w:t>in Aus</w:t>
      </w:r>
      <w:r w:rsidR="00A923B1" w:rsidRPr="00640BE6">
        <w:rPr>
          <w:rFonts w:ascii="Avenir Book" w:hAnsi="Avenir Book" w:cs="Calibri"/>
          <w:sz w:val="22"/>
          <w:szCs w:val="22"/>
        </w:rPr>
        <w:t xml:space="preserve">tralia. The key purpose of DPO Australia </w:t>
      </w:r>
      <w:r w:rsidRPr="00640BE6">
        <w:rPr>
          <w:rFonts w:ascii="Avenir Book" w:hAnsi="Avenir Book" w:cs="Calibri"/>
          <w:sz w:val="22"/>
          <w:szCs w:val="22"/>
        </w:rPr>
        <w:t>is to promote, protect and advance the human rights and freedoms of people with disability in Australia by working collaborativ</w:t>
      </w:r>
      <w:r w:rsidR="00A923B1" w:rsidRPr="00640BE6">
        <w:rPr>
          <w:rFonts w:ascii="Avenir Book" w:hAnsi="Avenir Book" w:cs="Calibri"/>
          <w:sz w:val="22"/>
          <w:szCs w:val="22"/>
        </w:rPr>
        <w:t>ely on areas of shared interest, purpose and strategic priority</w:t>
      </w:r>
      <w:r w:rsidRPr="00640BE6">
        <w:rPr>
          <w:rFonts w:ascii="Avenir Book" w:hAnsi="Avenir Book" w:cs="Calibri"/>
          <w:sz w:val="22"/>
          <w:szCs w:val="22"/>
        </w:rPr>
        <w:t>.</w:t>
      </w:r>
    </w:p>
    <w:p w14:paraId="7A96557D" w14:textId="2ECC8F14" w:rsidR="00D7106F" w:rsidRDefault="00D7106F" w:rsidP="00121931">
      <w:pPr>
        <w:rPr>
          <w:rFonts w:ascii="Avenir Book" w:hAnsi="Avenir Book" w:cs="Calibri"/>
          <w:sz w:val="22"/>
          <w:szCs w:val="22"/>
        </w:rPr>
      </w:pPr>
    </w:p>
    <w:p w14:paraId="7899AFDB" w14:textId="77777777" w:rsidR="002C1605" w:rsidRDefault="002C1605" w:rsidP="00121931">
      <w:pPr>
        <w:rPr>
          <w:rFonts w:ascii="Avenir Book" w:hAnsi="Avenir Book" w:cs="Calibr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tblGrid>
      <w:tr w:rsidR="00640BE6" w14:paraId="37EF4485" w14:textId="77777777" w:rsidTr="002C1605">
        <w:trPr>
          <w:jc w:val="center"/>
        </w:trPr>
        <w:tc>
          <w:tcPr>
            <w:tcW w:w="3402" w:type="dxa"/>
          </w:tcPr>
          <w:p w14:paraId="1E576C3E" w14:textId="77777777" w:rsidR="00640BE6" w:rsidRPr="00640BE6" w:rsidRDefault="00640BE6" w:rsidP="002C1605">
            <w:pPr>
              <w:jc w:val="center"/>
              <w:rPr>
                <w:rFonts w:ascii="Avenir Book" w:hAnsi="Avenir Book" w:cs="Calibri"/>
                <w:sz w:val="16"/>
                <w:szCs w:val="16"/>
              </w:rPr>
            </w:pPr>
          </w:p>
          <w:p w14:paraId="28E9CEFB" w14:textId="75268865" w:rsidR="00640BE6" w:rsidRPr="00640BE6" w:rsidRDefault="00640BE6" w:rsidP="002C1605">
            <w:pPr>
              <w:jc w:val="center"/>
              <w:rPr>
                <w:rFonts w:ascii="Avenir Book" w:hAnsi="Avenir Book" w:cs="Calibri"/>
                <w:sz w:val="16"/>
                <w:szCs w:val="16"/>
              </w:rPr>
            </w:pPr>
            <w:r>
              <w:rPr>
                <w:rFonts w:ascii="Calibri" w:hAnsi="Calibri" w:cs="Calibri"/>
                <w:noProof/>
                <w:sz w:val="22"/>
              </w:rPr>
              <w:drawing>
                <wp:inline distT="0" distB="0" distL="0" distR="0" wp14:anchorId="624B7B4F" wp14:editId="6F033533">
                  <wp:extent cx="1797388" cy="813975"/>
                  <wp:effectExtent l="0" t="0" r="0" b="0"/>
                  <wp:docPr id="4" name="Picture 4"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a:extLst>
                              <a:ext uri="{28A0092B-C50C-407E-A947-70E740481C1C}">
                                <a14:useLocalDpi xmlns:a14="http://schemas.microsoft.com/office/drawing/2010/main" val="0"/>
                              </a:ext>
                            </a:extLst>
                          </a:blip>
                          <a:stretch>
                            <a:fillRect/>
                          </a:stretch>
                        </pic:blipFill>
                        <pic:spPr>
                          <a:xfrm>
                            <a:off x="0" y="0"/>
                            <a:ext cx="1860358" cy="842492"/>
                          </a:xfrm>
                          <a:prstGeom prst="rect">
                            <a:avLst/>
                          </a:prstGeom>
                        </pic:spPr>
                      </pic:pic>
                    </a:graphicData>
                  </a:graphic>
                </wp:inline>
              </w:drawing>
            </w:r>
          </w:p>
          <w:p w14:paraId="67907E0A" w14:textId="2D4043BD" w:rsidR="00640BE6" w:rsidRDefault="00640BE6" w:rsidP="002C1605">
            <w:pPr>
              <w:jc w:val="center"/>
              <w:rPr>
                <w:rFonts w:ascii="Avenir Book" w:hAnsi="Avenir Book" w:cs="Calibri"/>
                <w:sz w:val="16"/>
                <w:szCs w:val="16"/>
              </w:rPr>
            </w:pPr>
          </w:p>
          <w:p w14:paraId="2CF5EF62" w14:textId="2CB64562" w:rsidR="00640BE6" w:rsidRPr="00640BE6" w:rsidRDefault="00640BE6" w:rsidP="002C1605">
            <w:pPr>
              <w:jc w:val="center"/>
              <w:rPr>
                <w:rFonts w:ascii="Avenir Book" w:hAnsi="Avenir Book" w:cs="Calibri"/>
                <w:sz w:val="16"/>
                <w:szCs w:val="16"/>
              </w:rPr>
            </w:pPr>
          </w:p>
        </w:tc>
        <w:tc>
          <w:tcPr>
            <w:tcW w:w="3402" w:type="dxa"/>
          </w:tcPr>
          <w:p w14:paraId="177C31D7" w14:textId="77777777" w:rsidR="00640BE6" w:rsidRDefault="00640BE6" w:rsidP="002C1605">
            <w:pPr>
              <w:jc w:val="center"/>
              <w:rPr>
                <w:rFonts w:ascii="Avenir Book" w:hAnsi="Avenir Book" w:cs="Calibri"/>
                <w:sz w:val="16"/>
                <w:szCs w:val="16"/>
              </w:rPr>
            </w:pPr>
          </w:p>
          <w:p w14:paraId="71ED4EA7" w14:textId="1B6DE7F7" w:rsidR="00640BE6" w:rsidRPr="00640BE6" w:rsidRDefault="00640BE6" w:rsidP="002C1605">
            <w:pPr>
              <w:jc w:val="center"/>
              <w:rPr>
                <w:rFonts w:ascii="Avenir Book" w:hAnsi="Avenir Book" w:cs="Calibri"/>
                <w:sz w:val="16"/>
                <w:szCs w:val="16"/>
              </w:rPr>
            </w:pPr>
            <w:r w:rsidRPr="00C57268">
              <w:rPr>
                <w:rFonts w:ascii="Arial" w:hAnsi="Arial" w:cs="Arial"/>
                <w:noProof/>
                <w:sz w:val="18"/>
                <w:szCs w:val="18"/>
                <w:lang w:val="en-US"/>
              </w:rPr>
              <w:drawing>
                <wp:inline distT="0" distB="0" distL="0" distR="0" wp14:anchorId="6268C1C0" wp14:editId="27A2E233">
                  <wp:extent cx="1908807" cy="755834"/>
                  <wp:effectExtent l="0" t="0" r="0" b="0"/>
                  <wp:docPr id="3" name="Picture 3" descr="The logo of Disabled Peopler's Organisations Australia. A black map of Australia with fine white lines criss-crossing across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_DPO_Australia_Logo_500px.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1700" cy="792617"/>
                          </a:xfrm>
                          <a:prstGeom prst="rect">
                            <a:avLst/>
                          </a:prstGeom>
                        </pic:spPr>
                      </pic:pic>
                    </a:graphicData>
                  </a:graphic>
                </wp:inline>
              </w:drawing>
            </w:r>
          </w:p>
        </w:tc>
      </w:tr>
    </w:tbl>
    <w:p w14:paraId="4D8D3208" w14:textId="3CC53B8B" w:rsidR="00640BE6" w:rsidRDefault="00640BE6" w:rsidP="00121931">
      <w:pPr>
        <w:rPr>
          <w:rFonts w:ascii="Avenir Book" w:hAnsi="Avenir Book" w:cs="Calibri"/>
          <w:sz w:val="22"/>
          <w:szCs w:val="22"/>
        </w:rPr>
      </w:pPr>
    </w:p>
    <w:p w14:paraId="114399FE" w14:textId="77777777" w:rsidR="007B5DE5" w:rsidRPr="00A16838" w:rsidRDefault="007B5DE5" w:rsidP="00121931">
      <w:pPr>
        <w:rPr>
          <w:rFonts w:ascii="Calibri" w:hAnsi="Calibri" w:cs="Calibri"/>
          <w:sz w:val="22"/>
          <w:szCs w:val="22"/>
        </w:rPr>
      </w:pPr>
      <w:r w:rsidRPr="00A16838">
        <w:rPr>
          <w:rFonts w:ascii="Calibri" w:hAnsi="Calibri" w:cs="Calibri"/>
          <w:sz w:val="22"/>
          <w:szCs w:val="22"/>
        </w:rPr>
        <w:br w:type="page"/>
      </w:r>
    </w:p>
    <w:bookmarkStart w:id="94" w:name="_Toc32759984" w:displacedByCustomXml="next"/>
    <w:bookmarkStart w:id="95" w:name="_Toc32757943" w:displacedByCustomXml="next"/>
    <w:bookmarkStart w:id="96" w:name="_Toc32738166" w:displacedByCustomXml="next"/>
    <w:bookmarkStart w:id="97" w:name="_Toc32738104" w:displacedByCustomXml="next"/>
    <w:bookmarkStart w:id="98" w:name="_Toc510523715" w:displacedByCustomXml="next"/>
    <w:bookmarkStart w:id="99" w:name="_Toc509920828" w:displacedByCustomXml="next"/>
    <w:bookmarkStart w:id="100" w:name="_Toc512603445" w:displacedByCustomXml="next"/>
    <w:bookmarkStart w:id="101" w:name="_Toc512604451" w:displacedByCustomXml="next"/>
    <w:bookmarkStart w:id="102" w:name="_Toc32420649" w:displacedByCustomXml="next"/>
    <w:bookmarkStart w:id="103" w:name="_Toc43919145" w:displacedByCustomXml="next"/>
    <w:sdt>
      <w:sdtPr>
        <w:rPr>
          <w:rFonts w:ascii="Calibri" w:eastAsiaTheme="minorHAnsi" w:hAnsi="Calibri" w:cs="Calibri"/>
          <w:b/>
          <w:smallCaps w:val="0"/>
          <w:spacing w:val="0"/>
          <w:sz w:val="24"/>
          <w:szCs w:val="20"/>
        </w:rPr>
        <w:id w:val="1203056374"/>
        <w:docPartObj>
          <w:docPartGallery w:val="Table of Contents"/>
          <w:docPartUnique/>
        </w:docPartObj>
      </w:sdtPr>
      <w:sdtEndPr>
        <w:rPr>
          <w:b w:val="0"/>
          <w:bCs/>
          <w:noProof/>
          <w:color w:val="17365D"/>
          <w:sz w:val="20"/>
        </w:rPr>
      </w:sdtEndPr>
      <w:sdtContent>
        <w:p w14:paraId="697764A9" w14:textId="73947ECD" w:rsidR="0040289D" w:rsidRPr="00E902AE" w:rsidRDefault="0040289D" w:rsidP="001B7180">
          <w:pPr>
            <w:pStyle w:val="Heading2"/>
            <w:jc w:val="center"/>
            <w:rPr>
              <w:rFonts w:ascii="Avenir Book" w:hAnsi="Avenir Book" w:cs="Calibri"/>
              <w:color w:val="AC1F79"/>
            </w:rPr>
          </w:pPr>
          <w:r w:rsidRPr="00E902AE">
            <w:rPr>
              <w:rFonts w:ascii="Avenir Book" w:hAnsi="Avenir Book" w:cs="Calibri"/>
              <w:color w:val="AC1F79"/>
            </w:rPr>
            <w:t>Contents</w:t>
          </w:r>
          <w:bookmarkEnd w:id="103"/>
          <w:bookmarkEnd w:id="102"/>
          <w:bookmarkEnd w:id="101"/>
          <w:bookmarkEnd w:id="100"/>
          <w:bookmarkEnd w:id="99"/>
          <w:bookmarkEnd w:id="98"/>
          <w:bookmarkEnd w:id="97"/>
          <w:bookmarkEnd w:id="96"/>
          <w:bookmarkEnd w:id="95"/>
          <w:bookmarkEnd w:id="94"/>
        </w:p>
        <w:p w14:paraId="6CC93763" w14:textId="38613993" w:rsidR="006E01AC" w:rsidRDefault="0040289D">
          <w:pPr>
            <w:pStyle w:val="TOC1"/>
            <w:tabs>
              <w:tab w:val="right" w:leader="dot" w:pos="9622"/>
            </w:tabs>
            <w:rPr>
              <w:rFonts w:eastAsiaTheme="minorEastAsia"/>
              <w:noProof/>
              <w:sz w:val="24"/>
              <w:szCs w:val="24"/>
              <w:lang w:val="en-AU"/>
            </w:rPr>
          </w:pPr>
          <w:r w:rsidRPr="00E902AE">
            <w:rPr>
              <w:rFonts w:ascii="Avenir Book" w:hAnsi="Avenir Book" w:cs="Calibri"/>
              <w:b/>
              <w:color w:val="17365D"/>
            </w:rPr>
            <w:fldChar w:fldCharType="begin"/>
          </w:r>
          <w:r w:rsidRPr="00E902AE">
            <w:rPr>
              <w:rFonts w:ascii="Avenir Book" w:hAnsi="Avenir Book" w:cs="Calibri"/>
              <w:b/>
              <w:color w:val="17365D"/>
            </w:rPr>
            <w:instrText xml:space="preserve"> TOC \o "1-3" \h \z \u </w:instrText>
          </w:r>
          <w:r w:rsidRPr="00E902AE">
            <w:rPr>
              <w:rFonts w:ascii="Avenir Book" w:hAnsi="Avenir Book" w:cs="Calibri"/>
              <w:b/>
              <w:color w:val="17365D"/>
            </w:rPr>
            <w:fldChar w:fldCharType="separate"/>
          </w:r>
        </w:p>
        <w:p w14:paraId="7E5EC074" w14:textId="2DC2F149" w:rsidR="006E01AC" w:rsidRDefault="00122837">
          <w:pPr>
            <w:pStyle w:val="TOC2"/>
            <w:rPr>
              <w:rFonts w:eastAsiaTheme="minorEastAsia"/>
              <w:noProof/>
              <w:sz w:val="24"/>
              <w:szCs w:val="24"/>
              <w:lang w:val="en-AU"/>
            </w:rPr>
          </w:pPr>
          <w:hyperlink w:anchor="_Toc43919141" w:history="1">
            <w:r w:rsidR="006E01AC" w:rsidRPr="00F342B0">
              <w:rPr>
                <w:rStyle w:val="Hyperlink"/>
                <w:rFonts w:ascii="Avenir Book" w:hAnsi="Avenir Book" w:cs="Calibri"/>
                <w:noProof/>
              </w:rPr>
              <w:t>Publishing Information</w:t>
            </w:r>
            <w:r w:rsidR="006E01AC">
              <w:rPr>
                <w:noProof/>
                <w:webHidden/>
              </w:rPr>
              <w:tab/>
            </w:r>
            <w:r w:rsidR="006E01AC">
              <w:rPr>
                <w:noProof/>
                <w:webHidden/>
              </w:rPr>
              <w:fldChar w:fldCharType="begin"/>
            </w:r>
            <w:r w:rsidR="006E01AC">
              <w:rPr>
                <w:noProof/>
                <w:webHidden/>
              </w:rPr>
              <w:instrText xml:space="preserve"> PAGEREF _Toc43919141 \h </w:instrText>
            </w:r>
            <w:r w:rsidR="006E01AC">
              <w:rPr>
                <w:noProof/>
                <w:webHidden/>
              </w:rPr>
            </w:r>
            <w:r w:rsidR="006E01AC">
              <w:rPr>
                <w:noProof/>
                <w:webHidden/>
              </w:rPr>
              <w:fldChar w:fldCharType="separate"/>
            </w:r>
            <w:r w:rsidR="006E01AC">
              <w:rPr>
                <w:noProof/>
                <w:webHidden/>
              </w:rPr>
              <w:t>2</w:t>
            </w:r>
            <w:r w:rsidR="006E01AC">
              <w:rPr>
                <w:noProof/>
                <w:webHidden/>
              </w:rPr>
              <w:fldChar w:fldCharType="end"/>
            </w:r>
          </w:hyperlink>
        </w:p>
        <w:p w14:paraId="140A2D23" w14:textId="76F50587" w:rsidR="006E01AC" w:rsidRDefault="00122837">
          <w:pPr>
            <w:pStyle w:val="TOC3"/>
            <w:tabs>
              <w:tab w:val="right" w:leader="dot" w:pos="9622"/>
            </w:tabs>
            <w:rPr>
              <w:rFonts w:eastAsiaTheme="minorEastAsia"/>
              <w:noProof/>
              <w:sz w:val="24"/>
              <w:szCs w:val="24"/>
              <w:lang w:val="en-AU"/>
            </w:rPr>
          </w:pPr>
          <w:hyperlink w:anchor="_Toc43919142" w:history="1">
            <w:r w:rsidR="006E01AC" w:rsidRPr="00F342B0">
              <w:rPr>
                <w:rStyle w:val="Hyperlink"/>
                <w:rFonts w:ascii="Avenir Book" w:hAnsi="Avenir Book" w:cs="Calibri"/>
                <w:noProof/>
              </w:rPr>
              <w:t>Acknowledgments</w:t>
            </w:r>
            <w:r w:rsidR="006E01AC">
              <w:rPr>
                <w:noProof/>
                <w:webHidden/>
              </w:rPr>
              <w:tab/>
            </w:r>
            <w:r w:rsidR="006E01AC">
              <w:rPr>
                <w:noProof/>
                <w:webHidden/>
              </w:rPr>
              <w:fldChar w:fldCharType="begin"/>
            </w:r>
            <w:r w:rsidR="006E01AC">
              <w:rPr>
                <w:noProof/>
                <w:webHidden/>
              </w:rPr>
              <w:instrText xml:space="preserve"> PAGEREF _Toc43919142 \h </w:instrText>
            </w:r>
            <w:r w:rsidR="006E01AC">
              <w:rPr>
                <w:noProof/>
                <w:webHidden/>
              </w:rPr>
            </w:r>
            <w:r w:rsidR="006E01AC">
              <w:rPr>
                <w:noProof/>
                <w:webHidden/>
              </w:rPr>
              <w:fldChar w:fldCharType="separate"/>
            </w:r>
            <w:r w:rsidR="006E01AC">
              <w:rPr>
                <w:noProof/>
                <w:webHidden/>
              </w:rPr>
              <w:t>2</w:t>
            </w:r>
            <w:r w:rsidR="006E01AC">
              <w:rPr>
                <w:noProof/>
                <w:webHidden/>
              </w:rPr>
              <w:fldChar w:fldCharType="end"/>
            </w:r>
          </w:hyperlink>
        </w:p>
        <w:p w14:paraId="65724917" w14:textId="57060BC2" w:rsidR="006E01AC" w:rsidRDefault="00122837">
          <w:pPr>
            <w:pStyle w:val="TOC3"/>
            <w:tabs>
              <w:tab w:val="right" w:leader="dot" w:pos="9622"/>
            </w:tabs>
            <w:rPr>
              <w:rFonts w:eastAsiaTheme="minorEastAsia"/>
              <w:noProof/>
              <w:sz w:val="24"/>
              <w:szCs w:val="24"/>
              <w:lang w:val="en-AU"/>
            </w:rPr>
          </w:pPr>
          <w:hyperlink w:anchor="_Toc43919143" w:history="1">
            <w:r w:rsidR="006E01AC" w:rsidRPr="00F342B0">
              <w:rPr>
                <w:rStyle w:val="Hyperlink"/>
                <w:rFonts w:ascii="Avenir Book" w:hAnsi="Avenir Book" w:cs="Calibri"/>
                <w:noProof/>
              </w:rPr>
              <w:t>Contact</w:t>
            </w:r>
            <w:r w:rsidR="006E01AC">
              <w:rPr>
                <w:noProof/>
                <w:webHidden/>
              </w:rPr>
              <w:tab/>
            </w:r>
            <w:r w:rsidR="006E01AC">
              <w:rPr>
                <w:noProof/>
                <w:webHidden/>
              </w:rPr>
              <w:fldChar w:fldCharType="begin"/>
            </w:r>
            <w:r w:rsidR="006E01AC">
              <w:rPr>
                <w:noProof/>
                <w:webHidden/>
              </w:rPr>
              <w:instrText xml:space="preserve"> PAGEREF _Toc43919143 \h </w:instrText>
            </w:r>
            <w:r w:rsidR="006E01AC">
              <w:rPr>
                <w:noProof/>
                <w:webHidden/>
              </w:rPr>
            </w:r>
            <w:r w:rsidR="006E01AC">
              <w:rPr>
                <w:noProof/>
                <w:webHidden/>
              </w:rPr>
              <w:fldChar w:fldCharType="separate"/>
            </w:r>
            <w:r w:rsidR="006E01AC">
              <w:rPr>
                <w:noProof/>
                <w:webHidden/>
              </w:rPr>
              <w:t>2</w:t>
            </w:r>
            <w:r w:rsidR="006E01AC">
              <w:rPr>
                <w:noProof/>
                <w:webHidden/>
              </w:rPr>
              <w:fldChar w:fldCharType="end"/>
            </w:r>
          </w:hyperlink>
        </w:p>
        <w:p w14:paraId="6C6AEC17" w14:textId="247A7A37" w:rsidR="006E01AC" w:rsidRDefault="00122837">
          <w:pPr>
            <w:pStyle w:val="TOC2"/>
            <w:rPr>
              <w:rFonts w:eastAsiaTheme="minorEastAsia"/>
              <w:noProof/>
              <w:sz w:val="24"/>
              <w:szCs w:val="24"/>
              <w:lang w:val="en-AU"/>
            </w:rPr>
          </w:pPr>
          <w:hyperlink w:anchor="_Toc43919144" w:history="1">
            <w:r w:rsidR="006E01AC" w:rsidRPr="00F342B0">
              <w:rPr>
                <w:rStyle w:val="Hyperlink"/>
                <w:rFonts w:ascii="Avenir Book" w:hAnsi="Avenir Book" w:cstheme="minorHAnsi"/>
                <w:noProof/>
              </w:rPr>
              <w:t>About Women with Disabilities Australia (WWDA)</w:t>
            </w:r>
            <w:r w:rsidR="006E01AC">
              <w:rPr>
                <w:noProof/>
                <w:webHidden/>
              </w:rPr>
              <w:tab/>
            </w:r>
            <w:r w:rsidR="006E01AC">
              <w:rPr>
                <w:noProof/>
                <w:webHidden/>
              </w:rPr>
              <w:fldChar w:fldCharType="begin"/>
            </w:r>
            <w:r w:rsidR="006E01AC">
              <w:rPr>
                <w:noProof/>
                <w:webHidden/>
              </w:rPr>
              <w:instrText xml:space="preserve"> PAGEREF _Toc43919144 \h </w:instrText>
            </w:r>
            <w:r w:rsidR="006E01AC">
              <w:rPr>
                <w:noProof/>
                <w:webHidden/>
              </w:rPr>
            </w:r>
            <w:r w:rsidR="006E01AC">
              <w:rPr>
                <w:noProof/>
                <w:webHidden/>
              </w:rPr>
              <w:fldChar w:fldCharType="separate"/>
            </w:r>
            <w:r w:rsidR="006E01AC">
              <w:rPr>
                <w:noProof/>
                <w:webHidden/>
              </w:rPr>
              <w:t>3</w:t>
            </w:r>
            <w:r w:rsidR="006E01AC">
              <w:rPr>
                <w:noProof/>
                <w:webHidden/>
              </w:rPr>
              <w:fldChar w:fldCharType="end"/>
            </w:r>
          </w:hyperlink>
        </w:p>
        <w:p w14:paraId="5CF02E68" w14:textId="69560689" w:rsidR="006E01AC" w:rsidRDefault="00122837">
          <w:pPr>
            <w:pStyle w:val="TOC2"/>
            <w:rPr>
              <w:rFonts w:eastAsiaTheme="minorEastAsia"/>
              <w:noProof/>
              <w:sz w:val="24"/>
              <w:szCs w:val="24"/>
              <w:lang w:val="en-AU"/>
            </w:rPr>
          </w:pPr>
          <w:hyperlink w:anchor="_Toc43919145" w:history="1">
            <w:r w:rsidR="006E01AC" w:rsidRPr="00F342B0">
              <w:rPr>
                <w:rStyle w:val="Hyperlink"/>
                <w:rFonts w:ascii="Avenir Book" w:hAnsi="Avenir Book" w:cs="Calibri"/>
                <w:noProof/>
              </w:rPr>
              <w:t>Contents</w:t>
            </w:r>
            <w:r w:rsidR="006E01AC">
              <w:rPr>
                <w:noProof/>
                <w:webHidden/>
              </w:rPr>
              <w:tab/>
            </w:r>
            <w:r w:rsidR="006E01AC">
              <w:rPr>
                <w:noProof/>
                <w:webHidden/>
              </w:rPr>
              <w:fldChar w:fldCharType="begin"/>
            </w:r>
            <w:r w:rsidR="006E01AC">
              <w:rPr>
                <w:noProof/>
                <w:webHidden/>
              </w:rPr>
              <w:instrText xml:space="preserve"> PAGEREF _Toc43919145 \h </w:instrText>
            </w:r>
            <w:r w:rsidR="006E01AC">
              <w:rPr>
                <w:noProof/>
                <w:webHidden/>
              </w:rPr>
            </w:r>
            <w:r w:rsidR="006E01AC">
              <w:rPr>
                <w:noProof/>
                <w:webHidden/>
              </w:rPr>
              <w:fldChar w:fldCharType="separate"/>
            </w:r>
            <w:r w:rsidR="006E01AC">
              <w:rPr>
                <w:noProof/>
                <w:webHidden/>
              </w:rPr>
              <w:t>4</w:t>
            </w:r>
            <w:r w:rsidR="006E01AC">
              <w:rPr>
                <w:noProof/>
                <w:webHidden/>
              </w:rPr>
              <w:fldChar w:fldCharType="end"/>
            </w:r>
          </w:hyperlink>
        </w:p>
        <w:p w14:paraId="053135F5" w14:textId="4640ED15" w:rsidR="006E01AC" w:rsidRDefault="00122837">
          <w:pPr>
            <w:pStyle w:val="TOC2"/>
            <w:rPr>
              <w:rFonts w:eastAsiaTheme="minorEastAsia"/>
              <w:noProof/>
              <w:sz w:val="24"/>
              <w:szCs w:val="24"/>
              <w:lang w:val="en-AU"/>
            </w:rPr>
          </w:pPr>
          <w:hyperlink w:anchor="_Toc43919146" w:history="1">
            <w:r w:rsidR="006E01AC" w:rsidRPr="00F342B0">
              <w:rPr>
                <w:rStyle w:val="Hyperlink"/>
                <w:rFonts w:ascii="Avenir Book" w:hAnsi="Avenir Book" w:cs="Calibri"/>
                <w:noProof/>
              </w:rPr>
              <w:t>1.</w:t>
            </w:r>
            <w:r w:rsidR="006E01AC">
              <w:rPr>
                <w:rFonts w:eastAsiaTheme="minorEastAsia"/>
                <w:noProof/>
                <w:sz w:val="24"/>
                <w:szCs w:val="24"/>
                <w:lang w:val="en-AU"/>
              </w:rPr>
              <w:tab/>
            </w:r>
            <w:r w:rsidR="006E01AC" w:rsidRPr="00F342B0">
              <w:rPr>
                <w:rStyle w:val="Hyperlink"/>
                <w:rFonts w:ascii="Avenir Book" w:hAnsi="Avenir Book" w:cs="Calibri"/>
                <w:noProof/>
              </w:rPr>
              <w:t>Recommendations</w:t>
            </w:r>
            <w:r w:rsidR="006E01AC">
              <w:rPr>
                <w:noProof/>
                <w:webHidden/>
              </w:rPr>
              <w:tab/>
            </w:r>
            <w:r w:rsidR="006E01AC">
              <w:rPr>
                <w:noProof/>
                <w:webHidden/>
              </w:rPr>
              <w:fldChar w:fldCharType="begin"/>
            </w:r>
            <w:r w:rsidR="006E01AC">
              <w:rPr>
                <w:noProof/>
                <w:webHidden/>
              </w:rPr>
              <w:instrText xml:space="preserve"> PAGEREF _Toc43919146 \h </w:instrText>
            </w:r>
            <w:r w:rsidR="006E01AC">
              <w:rPr>
                <w:noProof/>
                <w:webHidden/>
              </w:rPr>
            </w:r>
            <w:r w:rsidR="006E01AC">
              <w:rPr>
                <w:noProof/>
                <w:webHidden/>
              </w:rPr>
              <w:fldChar w:fldCharType="separate"/>
            </w:r>
            <w:r w:rsidR="006E01AC">
              <w:rPr>
                <w:noProof/>
                <w:webHidden/>
              </w:rPr>
              <w:t>5</w:t>
            </w:r>
            <w:r w:rsidR="006E01AC">
              <w:rPr>
                <w:noProof/>
                <w:webHidden/>
              </w:rPr>
              <w:fldChar w:fldCharType="end"/>
            </w:r>
          </w:hyperlink>
        </w:p>
        <w:p w14:paraId="4BEFBA3D" w14:textId="03CB27B9" w:rsidR="006E01AC" w:rsidRDefault="00122837">
          <w:pPr>
            <w:pStyle w:val="TOC2"/>
            <w:rPr>
              <w:rFonts w:eastAsiaTheme="minorEastAsia"/>
              <w:noProof/>
              <w:sz w:val="24"/>
              <w:szCs w:val="24"/>
              <w:lang w:val="en-AU"/>
            </w:rPr>
          </w:pPr>
          <w:hyperlink w:anchor="_Toc43919147" w:history="1">
            <w:r w:rsidR="006E01AC" w:rsidRPr="00F342B0">
              <w:rPr>
                <w:rStyle w:val="Hyperlink"/>
                <w:rFonts w:ascii="Avenir Book" w:hAnsi="Avenir Book" w:cs="Calibri"/>
                <w:noProof/>
              </w:rPr>
              <w:t>2.</w:t>
            </w:r>
            <w:r w:rsidR="006E01AC">
              <w:rPr>
                <w:rFonts w:eastAsiaTheme="minorEastAsia"/>
                <w:noProof/>
                <w:sz w:val="24"/>
                <w:szCs w:val="24"/>
                <w:lang w:val="en-AU"/>
              </w:rPr>
              <w:tab/>
            </w:r>
            <w:r w:rsidR="006E01AC" w:rsidRPr="00F342B0">
              <w:rPr>
                <w:rStyle w:val="Hyperlink"/>
                <w:rFonts w:ascii="Avenir Book" w:hAnsi="Avenir Book" w:cs="Calibri"/>
                <w:noProof/>
              </w:rPr>
              <w:t>Background</w:t>
            </w:r>
            <w:r w:rsidR="006E01AC">
              <w:rPr>
                <w:noProof/>
                <w:webHidden/>
              </w:rPr>
              <w:tab/>
            </w:r>
            <w:r w:rsidR="006E01AC">
              <w:rPr>
                <w:noProof/>
                <w:webHidden/>
              </w:rPr>
              <w:fldChar w:fldCharType="begin"/>
            </w:r>
            <w:r w:rsidR="006E01AC">
              <w:rPr>
                <w:noProof/>
                <w:webHidden/>
              </w:rPr>
              <w:instrText xml:space="preserve"> PAGEREF _Toc43919147 \h </w:instrText>
            </w:r>
            <w:r w:rsidR="006E01AC">
              <w:rPr>
                <w:noProof/>
                <w:webHidden/>
              </w:rPr>
            </w:r>
            <w:r w:rsidR="006E01AC">
              <w:rPr>
                <w:noProof/>
                <w:webHidden/>
              </w:rPr>
              <w:fldChar w:fldCharType="separate"/>
            </w:r>
            <w:r w:rsidR="006E01AC">
              <w:rPr>
                <w:noProof/>
                <w:webHidden/>
              </w:rPr>
              <w:t>10</w:t>
            </w:r>
            <w:r w:rsidR="006E01AC">
              <w:rPr>
                <w:noProof/>
                <w:webHidden/>
              </w:rPr>
              <w:fldChar w:fldCharType="end"/>
            </w:r>
          </w:hyperlink>
        </w:p>
        <w:p w14:paraId="46C8A5E1" w14:textId="7A4F2F1A" w:rsidR="006E01AC" w:rsidRDefault="00122837">
          <w:pPr>
            <w:pStyle w:val="TOC2"/>
            <w:rPr>
              <w:rFonts w:eastAsiaTheme="minorEastAsia"/>
              <w:noProof/>
              <w:sz w:val="24"/>
              <w:szCs w:val="24"/>
              <w:lang w:val="en-AU"/>
            </w:rPr>
          </w:pPr>
          <w:hyperlink w:anchor="_Toc43919148" w:history="1">
            <w:r w:rsidR="006E01AC" w:rsidRPr="00F342B0">
              <w:rPr>
                <w:rStyle w:val="Hyperlink"/>
                <w:rFonts w:ascii="Avenir Book" w:hAnsi="Avenir Book" w:cs="Calibri"/>
                <w:noProof/>
              </w:rPr>
              <w:t>3.</w:t>
            </w:r>
            <w:r w:rsidR="006E01AC">
              <w:rPr>
                <w:rFonts w:eastAsiaTheme="minorEastAsia"/>
                <w:noProof/>
                <w:sz w:val="24"/>
                <w:szCs w:val="24"/>
                <w:lang w:val="en-AU"/>
              </w:rPr>
              <w:tab/>
            </w:r>
            <w:r w:rsidR="006E01AC" w:rsidRPr="00F342B0">
              <w:rPr>
                <w:rStyle w:val="Hyperlink"/>
                <w:rFonts w:ascii="Avenir Book" w:hAnsi="Avenir Book" w:cs="Calibri"/>
                <w:noProof/>
              </w:rPr>
              <w:t>Introduction</w:t>
            </w:r>
            <w:r w:rsidR="006E01AC">
              <w:rPr>
                <w:noProof/>
                <w:webHidden/>
              </w:rPr>
              <w:tab/>
            </w:r>
            <w:r w:rsidR="006E01AC">
              <w:rPr>
                <w:noProof/>
                <w:webHidden/>
              </w:rPr>
              <w:fldChar w:fldCharType="begin"/>
            </w:r>
            <w:r w:rsidR="006E01AC">
              <w:rPr>
                <w:noProof/>
                <w:webHidden/>
              </w:rPr>
              <w:instrText xml:space="preserve"> PAGEREF _Toc43919148 \h </w:instrText>
            </w:r>
            <w:r w:rsidR="006E01AC">
              <w:rPr>
                <w:noProof/>
                <w:webHidden/>
              </w:rPr>
            </w:r>
            <w:r w:rsidR="006E01AC">
              <w:rPr>
                <w:noProof/>
                <w:webHidden/>
              </w:rPr>
              <w:fldChar w:fldCharType="separate"/>
            </w:r>
            <w:r w:rsidR="006E01AC">
              <w:rPr>
                <w:noProof/>
                <w:webHidden/>
              </w:rPr>
              <w:t>12</w:t>
            </w:r>
            <w:r w:rsidR="006E01AC">
              <w:rPr>
                <w:noProof/>
                <w:webHidden/>
              </w:rPr>
              <w:fldChar w:fldCharType="end"/>
            </w:r>
          </w:hyperlink>
        </w:p>
        <w:p w14:paraId="1A907BE9" w14:textId="4E4C8AD4" w:rsidR="006E01AC" w:rsidRDefault="00122837">
          <w:pPr>
            <w:pStyle w:val="TOC2"/>
            <w:rPr>
              <w:rFonts w:eastAsiaTheme="minorEastAsia"/>
              <w:noProof/>
              <w:sz w:val="24"/>
              <w:szCs w:val="24"/>
              <w:lang w:val="en-AU"/>
            </w:rPr>
          </w:pPr>
          <w:hyperlink w:anchor="_Toc43919149" w:history="1">
            <w:r w:rsidR="006E01AC" w:rsidRPr="00F342B0">
              <w:rPr>
                <w:rStyle w:val="Hyperlink"/>
                <w:rFonts w:ascii="Avenir Roman" w:hAnsi="Avenir Roman" w:cs="Calibri"/>
                <w:noProof/>
              </w:rPr>
              <w:t>4.</w:t>
            </w:r>
            <w:r w:rsidR="006E01AC">
              <w:rPr>
                <w:rFonts w:eastAsiaTheme="minorEastAsia"/>
                <w:noProof/>
                <w:sz w:val="24"/>
                <w:szCs w:val="24"/>
                <w:lang w:val="en-AU"/>
              </w:rPr>
              <w:tab/>
            </w:r>
            <w:r w:rsidR="006E01AC" w:rsidRPr="00F342B0">
              <w:rPr>
                <w:rStyle w:val="Hyperlink"/>
                <w:rFonts w:ascii="Avenir Roman" w:hAnsi="Avenir Roman" w:cs="Calibri"/>
                <w:noProof/>
              </w:rPr>
              <w:t>Living independently and being included in the community</w:t>
            </w:r>
            <w:r w:rsidR="006E01AC">
              <w:rPr>
                <w:noProof/>
                <w:webHidden/>
              </w:rPr>
              <w:tab/>
            </w:r>
            <w:r w:rsidR="006E01AC">
              <w:rPr>
                <w:noProof/>
                <w:webHidden/>
              </w:rPr>
              <w:fldChar w:fldCharType="begin"/>
            </w:r>
            <w:r w:rsidR="006E01AC">
              <w:rPr>
                <w:noProof/>
                <w:webHidden/>
              </w:rPr>
              <w:instrText xml:space="preserve"> PAGEREF _Toc43919149 \h </w:instrText>
            </w:r>
            <w:r w:rsidR="006E01AC">
              <w:rPr>
                <w:noProof/>
                <w:webHidden/>
              </w:rPr>
            </w:r>
            <w:r w:rsidR="006E01AC">
              <w:rPr>
                <w:noProof/>
                <w:webHidden/>
              </w:rPr>
              <w:fldChar w:fldCharType="separate"/>
            </w:r>
            <w:r w:rsidR="006E01AC">
              <w:rPr>
                <w:noProof/>
                <w:webHidden/>
              </w:rPr>
              <w:t>15</w:t>
            </w:r>
            <w:r w:rsidR="006E01AC">
              <w:rPr>
                <w:noProof/>
                <w:webHidden/>
              </w:rPr>
              <w:fldChar w:fldCharType="end"/>
            </w:r>
          </w:hyperlink>
        </w:p>
        <w:p w14:paraId="33EE64F3" w14:textId="3664E2BA" w:rsidR="006E01AC" w:rsidRDefault="00122837">
          <w:pPr>
            <w:pStyle w:val="TOC3"/>
            <w:tabs>
              <w:tab w:val="left" w:pos="1200"/>
              <w:tab w:val="right" w:leader="dot" w:pos="9622"/>
            </w:tabs>
            <w:rPr>
              <w:rFonts w:eastAsiaTheme="minorEastAsia"/>
              <w:noProof/>
              <w:sz w:val="24"/>
              <w:szCs w:val="24"/>
              <w:lang w:val="en-AU"/>
            </w:rPr>
          </w:pPr>
          <w:hyperlink w:anchor="_Toc43919150" w:history="1">
            <w:r w:rsidR="006E01AC" w:rsidRPr="00F342B0">
              <w:rPr>
                <w:rStyle w:val="Hyperlink"/>
                <w:rFonts w:ascii="Avenir Roman" w:hAnsi="Avenir Roman"/>
                <w:i/>
                <w:noProof/>
              </w:rPr>
              <w:t>4.1</w:t>
            </w:r>
            <w:r w:rsidR="006E01AC">
              <w:rPr>
                <w:rFonts w:eastAsiaTheme="minorEastAsia"/>
                <w:noProof/>
                <w:sz w:val="24"/>
                <w:szCs w:val="24"/>
                <w:lang w:val="en-AU"/>
              </w:rPr>
              <w:tab/>
            </w:r>
            <w:r w:rsidR="006E01AC" w:rsidRPr="00F342B0">
              <w:rPr>
                <w:rStyle w:val="Hyperlink"/>
                <w:rFonts w:ascii="Avenir Roman" w:hAnsi="Avenir Roman"/>
                <w:i/>
                <w:noProof/>
              </w:rPr>
              <w:t>More than living arrangements and housing</w:t>
            </w:r>
            <w:r w:rsidR="006E01AC">
              <w:rPr>
                <w:noProof/>
                <w:webHidden/>
              </w:rPr>
              <w:tab/>
            </w:r>
            <w:r w:rsidR="006E01AC">
              <w:rPr>
                <w:noProof/>
                <w:webHidden/>
              </w:rPr>
              <w:fldChar w:fldCharType="begin"/>
            </w:r>
            <w:r w:rsidR="006E01AC">
              <w:rPr>
                <w:noProof/>
                <w:webHidden/>
              </w:rPr>
              <w:instrText xml:space="preserve"> PAGEREF _Toc43919150 \h </w:instrText>
            </w:r>
            <w:r w:rsidR="006E01AC">
              <w:rPr>
                <w:noProof/>
                <w:webHidden/>
              </w:rPr>
            </w:r>
            <w:r w:rsidR="006E01AC">
              <w:rPr>
                <w:noProof/>
                <w:webHidden/>
              </w:rPr>
              <w:fldChar w:fldCharType="separate"/>
            </w:r>
            <w:r w:rsidR="006E01AC">
              <w:rPr>
                <w:noProof/>
                <w:webHidden/>
              </w:rPr>
              <w:t>15</w:t>
            </w:r>
            <w:r w:rsidR="006E01AC">
              <w:rPr>
                <w:noProof/>
                <w:webHidden/>
              </w:rPr>
              <w:fldChar w:fldCharType="end"/>
            </w:r>
          </w:hyperlink>
        </w:p>
        <w:p w14:paraId="5BA386CE" w14:textId="10AD83E6" w:rsidR="006E01AC" w:rsidRDefault="00122837">
          <w:pPr>
            <w:pStyle w:val="TOC3"/>
            <w:tabs>
              <w:tab w:val="left" w:pos="1200"/>
              <w:tab w:val="right" w:leader="dot" w:pos="9622"/>
            </w:tabs>
            <w:rPr>
              <w:rFonts w:eastAsiaTheme="minorEastAsia"/>
              <w:noProof/>
              <w:sz w:val="24"/>
              <w:szCs w:val="24"/>
              <w:lang w:val="en-AU"/>
            </w:rPr>
          </w:pPr>
          <w:hyperlink w:anchor="_Toc43919151" w:history="1">
            <w:r w:rsidR="006E01AC" w:rsidRPr="00F342B0">
              <w:rPr>
                <w:rStyle w:val="Hyperlink"/>
                <w:rFonts w:ascii="Avenir Roman" w:hAnsi="Avenir Roman"/>
                <w:i/>
                <w:noProof/>
              </w:rPr>
              <w:t>4.2</w:t>
            </w:r>
            <w:r w:rsidR="006E01AC">
              <w:rPr>
                <w:rFonts w:eastAsiaTheme="minorEastAsia"/>
                <w:noProof/>
                <w:sz w:val="24"/>
                <w:szCs w:val="24"/>
                <w:lang w:val="en-AU"/>
              </w:rPr>
              <w:tab/>
            </w:r>
            <w:r w:rsidR="006E01AC" w:rsidRPr="00F342B0">
              <w:rPr>
                <w:rStyle w:val="Hyperlink"/>
                <w:rFonts w:ascii="Avenir Roman" w:hAnsi="Avenir Roman"/>
                <w:i/>
                <w:noProof/>
              </w:rPr>
              <w:t>Dignity, autonomy, freedom and interdependence within society</w:t>
            </w:r>
            <w:r w:rsidR="006E01AC">
              <w:rPr>
                <w:noProof/>
                <w:webHidden/>
              </w:rPr>
              <w:tab/>
            </w:r>
            <w:r w:rsidR="006E01AC">
              <w:rPr>
                <w:noProof/>
                <w:webHidden/>
              </w:rPr>
              <w:fldChar w:fldCharType="begin"/>
            </w:r>
            <w:r w:rsidR="006E01AC">
              <w:rPr>
                <w:noProof/>
                <w:webHidden/>
              </w:rPr>
              <w:instrText xml:space="preserve"> PAGEREF _Toc43919151 \h </w:instrText>
            </w:r>
            <w:r w:rsidR="006E01AC">
              <w:rPr>
                <w:noProof/>
                <w:webHidden/>
              </w:rPr>
            </w:r>
            <w:r w:rsidR="006E01AC">
              <w:rPr>
                <w:noProof/>
                <w:webHidden/>
              </w:rPr>
              <w:fldChar w:fldCharType="separate"/>
            </w:r>
            <w:r w:rsidR="006E01AC">
              <w:rPr>
                <w:noProof/>
                <w:webHidden/>
              </w:rPr>
              <w:t>15</w:t>
            </w:r>
            <w:r w:rsidR="006E01AC">
              <w:rPr>
                <w:noProof/>
                <w:webHidden/>
              </w:rPr>
              <w:fldChar w:fldCharType="end"/>
            </w:r>
          </w:hyperlink>
        </w:p>
        <w:p w14:paraId="2B778672" w14:textId="45F9629C" w:rsidR="006E01AC" w:rsidRDefault="00122837">
          <w:pPr>
            <w:pStyle w:val="TOC3"/>
            <w:tabs>
              <w:tab w:val="left" w:pos="1200"/>
              <w:tab w:val="right" w:leader="dot" w:pos="9622"/>
            </w:tabs>
            <w:rPr>
              <w:rFonts w:eastAsiaTheme="minorEastAsia"/>
              <w:noProof/>
              <w:sz w:val="24"/>
              <w:szCs w:val="24"/>
              <w:lang w:val="en-AU"/>
            </w:rPr>
          </w:pPr>
          <w:hyperlink w:anchor="_Toc43919152" w:history="1">
            <w:r w:rsidR="006E01AC" w:rsidRPr="00F342B0">
              <w:rPr>
                <w:rStyle w:val="Hyperlink"/>
                <w:rFonts w:ascii="Avenir Roman" w:hAnsi="Avenir Roman"/>
                <w:i/>
                <w:noProof/>
              </w:rPr>
              <w:t>4.3</w:t>
            </w:r>
            <w:r w:rsidR="006E01AC">
              <w:rPr>
                <w:rFonts w:eastAsiaTheme="minorEastAsia"/>
                <w:noProof/>
                <w:sz w:val="24"/>
                <w:szCs w:val="24"/>
                <w:lang w:val="en-AU"/>
              </w:rPr>
              <w:tab/>
            </w:r>
            <w:r w:rsidR="006E01AC" w:rsidRPr="00F342B0">
              <w:rPr>
                <w:rStyle w:val="Hyperlink"/>
                <w:rFonts w:ascii="Avenir Roman" w:hAnsi="Avenir Roman"/>
                <w:i/>
                <w:noProof/>
              </w:rPr>
              <w:t>Equal recognition before the law</w:t>
            </w:r>
            <w:r w:rsidR="006E01AC">
              <w:rPr>
                <w:noProof/>
                <w:webHidden/>
              </w:rPr>
              <w:tab/>
            </w:r>
            <w:r w:rsidR="006E01AC">
              <w:rPr>
                <w:noProof/>
                <w:webHidden/>
              </w:rPr>
              <w:fldChar w:fldCharType="begin"/>
            </w:r>
            <w:r w:rsidR="006E01AC">
              <w:rPr>
                <w:noProof/>
                <w:webHidden/>
              </w:rPr>
              <w:instrText xml:space="preserve"> PAGEREF _Toc43919152 \h </w:instrText>
            </w:r>
            <w:r w:rsidR="006E01AC">
              <w:rPr>
                <w:noProof/>
                <w:webHidden/>
              </w:rPr>
            </w:r>
            <w:r w:rsidR="006E01AC">
              <w:rPr>
                <w:noProof/>
                <w:webHidden/>
              </w:rPr>
              <w:fldChar w:fldCharType="separate"/>
            </w:r>
            <w:r w:rsidR="006E01AC">
              <w:rPr>
                <w:noProof/>
                <w:webHidden/>
              </w:rPr>
              <w:t>18</w:t>
            </w:r>
            <w:r w:rsidR="006E01AC">
              <w:rPr>
                <w:noProof/>
                <w:webHidden/>
              </w:rPr>
              <w:fldChar w:fldCharType="end"/>
            </w:r>
          </w:hyperlink>
        </w:p>
        <w:p w14:paraId="236D95B0" w14:textId="1E34D1FE" w:rsidR="006E01AC" w:rsidRDefault="00122837">
          <w:pPr>
            <w:pStyle w:val="TOC3"/>
            <w:tabs>
              <w:tab w:val="left" w:pos="1200"/>
              <w:tab w:val="right" w:leader="dot" w:pos="9622"/>
            </w:tabs>
            <w:rPr>
              <w:rFonts w:eastAsiaTheme="minorEastAsia"/>
              <w:noProof/>
              <w:sz w:val="24"/>
              <w:szCs w:val="24"/>
              <w:lang w:val="en-AU"/>
            </w:rPr>
          </w:pPr>
          <w:hyperlink w:anchor="_Toc43919153" w:history="1">
            <w:r w:rsidR="006E01AC" w:rsidRPr="00F342B0">
              <w:rPr>
                <w:rStyle w:val="Hyperlink"/>
                <w:rFonts w:ascii="Avenir Roman" w:hAnsi="Avenir Roman"/>
                <w:i/>
                <w:noProof/>
              </w:rPr>
              <w:t>4.4</w:t>
            </w:r>
            <w:r w:rsidR="006E01AC">
              <w:rPr>
                <w:rFonts w:eastAsiaTheme="minorEastAsia"/>
                <w:noProof/>
                <w:sz w:val="24"/>
                <w:szCs w:val="24"/>
                <w:lang w:val="en-AU"/>
              </w:rPr>
              <w:tab/>
            </w:r>
            <w:r w:rsidR="006E01AC" w:rsidRPr="00F342B0">
              <w:rPr>
                <w:rStyle w:val="Hyperlink"/>
                <w:rFonts w:ascii="Avenir Roman" w:hAnsi="Avenir Roman"/>
                <w:i/>
                <w:noProof/>
              </w:rPr>
              <w:t>Liberty and security</w:t>
            </w:r>
            <w:r w:rsidR="006E01AC">
              <w:rPr>
                <w:noProof/>
                <w:webHidden/>
              </w:rPr>
              <w:tab/>
            </w:r>
            <w:r w:rsidR="006E01AC">
              <w:rPr>
                <w:noProof/>
                <w:webHidden/>
              </w:rPr>
              <w:fldChar w:fldCharType="begin"/>
            </w:r>
            <w:r w:rsidR="006E01AC">
              <w:rPr>
                <w:noProof/>
                <w:webHidden/>
              </w:rPr>
              <w:instrText xml:space="preserve"> PAGEREF _Toc43919153 \h </w:instrText>
            </w:r>
            <w:r w:rsidR="006E01AC">
              <w:rPr>
                <w:noProof/>
                <w:webHidden/>
              </w:rPr>
            </w:r>
            <w:r w:rsidR="006E01AC">
              <w:rPr>
                <w:noProof/>
                <w:webHidden/>
              </w:rPr>
              <w:fldChar w:fldCharType="separate"/>
            </w:r>
            <w:r w:rsidR="006E01AC">
              <w:rPr>
                <w:noProof/>
                <w:webHidden/>
              </w:rPr>
              <w:t>20</w:t>
            </w:r>
            <w:r w:rsidR="006E01AC">
              <w:rPr>
                <w:noProof/>
                <w:webHidden/>
              </w:rPr>
              <w:fldChar w:fldCharType="end"/>
            </w:r>
          </w:hyperlink>
        </w:p>
        <w:p w14:paraId="3E144559" w14:textId="3DF9CCE1" w:rsidR="006E01AC" w:rsidRDefault="00122837">
          <w:pPr>
            <w:pStyle w:val="TOC3"/>
            <w:tabs>
              <w:tab w:val="left" w:pos="1200"/>
              <w:tab w:val="right" w:leader="dot" w:pos="9622"/>
            </w:tabs>
            <w:rPr>
              <w:rFonts w:eastAsiaTheme="minorEastAsia"/>
              <w:noProof/>
              <w:sz w:val="24"/>
              <w:szCs w:val="24"/>
              <w:lang w:val="en-AU"/>
            </w:rPr>
          </w:pPr>
          <w:hyperlink w:anchor="_Toc43919154" w:history="1">
            <w:r w:rsidR="006E01AC" w:rsidRPr="00F342B0">
              <w:rPr>
                <w:rStyle w:val="Hyperlink"/>
                <w:rFonts w:ascii="Avenir Roman" w:hAnsi="Avenir Roman"/>
                <w:i/>
                <w:noProof/>
              </w:rPr>
              <w:t>4.5</w:t>
            </w:r>
            <w:r w:rsidR="006E01AC">
              <w:rPr>
                <w:rFonts w:eastAsiaTheme="minorEastAsia"/>
                <w:noProof/>
                <w:sz w:val="24"/>
                <w:szCs w:val="24"/>
                <w:lang w:val="en-AU"/>
              </w:rPr>
              <w:tab/>
            </w:r>
            <w:r w:rsidR="006E01AC" w:rsidRPr="00F342B0">
              <w:rPr>
                <w:rStyle w:val="Hyperlink"/>
                <w:rFonts w:ascii="Avenir Roman" w:hAnsi="Avenir Roman"/>
                <w:i/>
                <w:noProof/>
              </w:rPr>
              <w:t>Equality and non-discrimination</w:t>
            </w:r>
            <w:r w:rsidR="006E01AC">
              <w:rPr>
                <w:noProof/>
                <w:webHidden/>
              </w:rPr>
              <w:tab/>
            </w:r>
            <w:r w:rsidR="006E01AC">
              <w:rPr>
                <w:noProof/>
                <w:webHidden/>
              </w:rPr>
              <w:fldChar w:fldCharType="begin"/>
            </w:r>
            <w:r w:rsidR="006E01AC">
              <w:rPr>
                <w:noProof/>
                <w:webHidden/>
              </w:rPr>
              <w:instrText xml:space="preserve"> PAGEREF _Toc43919154 \h </w:instrText>
            </w:r>
            <w:r w:rsidR="006E01AC">
              <w:rPr>
                <w:noProof/>
                <w:webHidden/>
              </w:rPr>
            </w:r>
            <w:r w:rsidR="006E01AC">
              <w:rPr>
                <w:noProof/>
                <w:webHidden/>
              </w:rPr>
              <w:fldChar w:fldCharType="separate"/>
            </w:r>
            <w:r w:rsidR="006E01AC">
              <w:rPr>
                <w:noProof/>
                <w:webHidden/>
              </w:rPr>
              <w:t>22</w:t>
            </w:r>
            <w:r w:rsidR="006E01AC">
              <w:rPr>
                <w:noProof/>
                <w:webHidden/>
              </w:rPr>
              <w:fldChar w:fldCharType="end"/>
            </w:r>
          </w:hyperlink>
        </w:p>
        <w:p w14:paraId="2AB53AF4" w14:textId="6BFFFEC5" w:rsidR="006E01AC" w:rsidRDefault="00122837">
          <w:pPr>
            <w:pStyle w:val="TOC3"/>
            <w:tabs>
              <w:tab w:val="left" w:pos="1200"/>
              <w:tab w:val="right" w:leader="dot" w:pos="9622"/>
            </w:tabs>
            <w:rPr>
              <w:rFonts w:eastAsiaTheme="minorEastAsia"/>
              <w:noProof/>
              <w:sz w:val="24"/>
              <w:szCs w:val="24"/>
              <w:lang w:val="en-AU"/>
            </w:rPr>
          </w:pPr>
          <w:hyperlink w:anchor="_Toc43919155" w:history="1">
            <w:r w:rsidR="006E01AC" w:rsidRPr="00F342B0">
              <w:rPr>
                <w:rStyle w:val="Hyperlink"/>
                <w:rFonts w:ascii="Avenir Roman" w:hAnsi="Avenir Roman"/>
                <w:i/>
                <w:noProof/>
              </w:rPr>
              <w:t>4.6</w:t>
            </w:r>
            <w:r w:rsidR="006E01AC">
              <w:rPr>
                <w:rFonts w:eastAsiaTheme="minorEastAsia"/>
                <w:noProof/>
                <w:sz w:val="24"/>
                <w:szCs w:val="24"/>
                <w:lang w:val="en-AU"/>
              </w:rPr>
              <w:tab/>
            </w:r>
            <w:r w:rsidR="006E01AC" w:rsidRPr="00F342B0">
              <w:rPr>
                <w:rStyle w:val="Hyperlink"/>
                <w:rFonts w:ascii="Avenir Roman" w:hAnsi="Avenir Roman"/>
                <w:i/>
                <w:noProof/>
              </w:rPr>
              <w:t>Adequate standard of living and social protection</w:t>
            </w:r>
            <w:r w:rsidR="006E01AC">
              <w:rPr>
                <w:noProof/>
                <w:webHidden/>
              </w:rPr>
              <w:tab/>
            </w:r>
            <w:r w:rsidR="006E01AC">
              <w:rPr>
                <w:noProof/>
                <w:webHidden/>
              </w:rPr>
              <w:fldChar w:fldCharType="begin"/>
            </w:r>
            <w:r w:rsidR="006E01AC">
              <w:rPr>
                <w:noProof/>
                <w:webHidden/>
              </w:rPr>
              <w:instrText xml:space="preserve"> PAGEREF _Toc43919155 \h </w:instrText>
            </w:r>
            <w:r w:rsidR="006E01AC">
              <w:rPr>
                <w:noProof/>
                <w:webHidden/>
              </w:rPr>
            </w:r>
            <w:r w:rsidR="006E01AC">
              <w:rPr>
                <w:noProof/>
                <w:webHidden/>
              </w:rPr>
              <w:fldChar w:fldCharType="separate"/>
            </w:r>
            <w:r w:rsidR="006E01AC">
              <w:rPr>
                <w:noProof/>
                <w:webHidden/>
              </w:rPr>
              <w:t>24</w:t>
            </w:r>
            <w:r w:rsidR="006E01AC">
              <w:rPr>
                <w:noProof/>
                <w:webHidden/>
              </w:rPr>
              <w:fldChar w:fldCharType="end"/>
            </w:r>
          </w:hyperlink>
        </w:p>
        <w:p w14:paraId="05A37165" w14:textId="529AAC8C" w:rsidR="006E01AC" w:rsidRDefault="00122837">
          <w:pPr>
            <w:pStyle w:val="TOC3"/>
            <w:tabs>
              <w:tab w:val="left" w:pos="1200"/>
              <w:tab w:val="right" w:leader="dot" w:pos="9622"/>
            </w:tabs>
            <w:rPr>
              <w:rFonts w:eastAsiaTheme="minorEastAsia"/>
              <w:noProof/>
              <w:sz w:val="24"/>
              <w:szCs w:val="24"/>
              <w:lang w:val="en-AU"/>
            </w:rPr>
          </w:pPr>
          <w:hyperlink w:anchor="_Toc43919156" w:history="1">
            <w:r w:rsidR="006E01AC" w:rsidRPr="00F342B0">
              <w:rPr>
                <w:rStyle w:val="Hyperlink"/>
                <w:rFonts w:ascii="Avenir Roman" w:hAnsi="Avenir Roman"/>
                <w:i/>
                <w:noProof/>
              </w:rPr>
              <w:t>4.7</w:t>
            </w:r>
            <w:r w:rsidR="006E01AC">
              <w:rPr>
                <w:rFonts w:eastAsiaTheme="minorEastAsia"/>
                <w:noProof/>
                <w:sz w:val="24"/>
                <w:szCs w:val="24"/>
                <w:lang w:val="en-AU"/>
              </w:rPr>
              <w:tab/>
            </w:r>
            <w:r w:rsidR="006E01AC" w:rsidRPr="00F342B0">
              <w:rPr>
                <w:rStyle w:val="Hyperlink"/>
                <w:rFonts w:ascii="Avenir Roman" w:hAnsi="Avenir Roman"/>
                <w:i/>
                <w:noProof/>
              </w:rPr>
              <w:t>Accessibility and universal design</w:t>
            </w:r>
            <w:r w:rsidR="006E01AC">
              <w:rPr>
                <w:noProof/>
                <w:webHidden/>
              </w:rPr>
              <w:tab/>
            </w:r>
            <w:r w:rsidR="006E01AC">
              <w:rPr>
                <w:noProof/>
                <w:webHidden/>
              </w:rPr>
              <w:fldChar w:fldCharType="begin"/>
            </w:r>
            <w:r w:rsidR="006E01AC">
              <w:rPr>
                <w:noProof/>
                <w:webHidden/>
              </w:rPr>
              <w:instrText xml:space="preserve"> PAGEREF _Toc43919156 \h </w:instrText>
            </w:r>
            <w:r w:rsidR="006E01AC">
              <w:rPr>
                <w:noProof/>
                <w:webHidden/>
              </w:rPr>
            </w:r>
            <w:r w:rsidR="006E01AC">
              <w:rPr>
                <w:noProof/>
                <w:webHidden/>
              </w:rPr>
              <w:fldChar w:fldCharType="separate"/>
            </w:r>
            <w:r w:rsidR="006E01AC">
              <w:rPr>
                <w:noProof/>
                <w:webHidden/>
              </w:rPr>
              <w:t>26</w:t>
            </w:r>
            <w:r w:rsidR="006E01AC">
              <w:rPr>
                <w:noProof/>
                <w:webHidden/>
              </w:rPr>
              <w:fldChar w:fldCharType="end"/>
            </w:r>
          </w:hyperlink>
        </w:p>
        <w:p w14:paraId="6A41DF7E" w14:textId="7993458A" w:rsidR="006E01AC" w:rsidRDefault="00122837">
          <w:pPr>
            <w:pStyle w:val="TOC3"/>
            <w:tabs>
              <w:tab w:val="left" w:pos="1200"/>
              <w:tab w:val="right" w:leader="dot" w:pos="9622"/>
            </w:tabs>
            <w:rPr>
              <w:rFonts w:eastAsiaTheme="minorEastAsia"/>
              <w:noProof/>
              <w:sz w:val="24"/>
              <w:szCs w:val="24"/>
              <w:lang w:val="en-AU"/>
            </w:rPr>
          </w:pPr>
          <w:hyperlink w:anchor="_Toc43919157" w:history="1">
            <w:r w:rsidR="006E01AC" w:rsidRPr="00F342B0">
              <w:rPr>
                <w:rStyle w:val="Hyperlink"/>
                <w:rFonts w:ascii="Avenir Roman" w:hAnsi="Avenir Roman"/>
                <w:i/>
                <w:noProof/>
              </w:rPr>
              <w:t>4.8</w:t>
            </w:r>
            <w:r w:rsidR="006E01AC">
              <w:rPr>
                <w:rFonts w:eastAsiaTheme="minorEastAsia"/>
                <w:noProof/>
                <w:sz w:val="24"/>
                <w:szCs w:val="24"/>
                <w:lang w:val="en-AU"/>
              </w:rPr>
              <w:tab/>
            </w:r>
            <w:r w:rsidR="006E01AC" w:rsidRPr="00F342B0">
              <w:rPr>
                <w:rStyle w:val="Hyperlink"/>
                <w:rFonts w:ascii="Avenir Roman" w:hAnsi="Avenir Roman"/>
                <w:i/>
                <w:noProof/>
              </w:rPr>
              <w:t>Elements of institutionalisation</w:t>
            </w:r>
            <w:r w:rsidR="006E01AC">
              <w:rPr>
                <w:noProof/>
                <w:webHidden/>
              </w:rPr>
              <w:tab/>
            </w:r>
            <w:r w:rsidR="006E01AC">
              <w:rPr>
                <w:noProof/>
                <w:webHidden/>
              </w:rPr>
              <w:fldChar w:fldCharType="begin"/>
            </w:r>
            <w:r w:rsidR="006E01AC">
              <w:rPr>
                <w:noProof/>
                <w:webHidden/>
              </w:rPr>
              <w:instrText xml:space="preserve"> PAGEREF _Toc43919157 \h </w:instrText>
            </w:r>
            <w:r w:rsidR="006E01AC">
              <w:rPr>
                <w:noProof/>
                <w:webHidden/>
              </w:rPr>
            </w:r>
            <w:r w:rsidR="006E01AC">
              <w:rPr>
                <w:noProof/>
                <w:webHidden/>
              </w:rPr>
              <w:fldChar w:fldCharType="separate"/>
            </w:r>
            <w:r w:rsidR="006E01AC">
              <w:rPr>
                <w:noProof/>
                <w:webHidden/>
              </w:rPr>
              <w:t>27</w:t>
            </w:r>
            <w:r w:rsidR="006E01AC">
              <w:rPr>
                <w:noProof/>
                <w:webHidden/>
              </w:rPr>
              <w:fldChar w:fldCharType="end"/>
            </w:r>
          </w:hyperlink>
        </w:p>
        <w:p w14:paraId="7C27E0A0" w14:textId="66874E32" w:rsidR="006E01AC" w:rsidRDefault="00122837">
          <w:pPr>
            <w:pStyle w:val="TOC3"/>
            <w:tabs>
              <w:tab w:val="left" w:pos="1200"/>
              <w:tab w:val="right" w:leader="dot" w:pos="9622"/>
            </w:tabs>
            <w:rPr>
              <w:rFonts w:eastAsiaTheme="minorEastAsia"/>
              <w:noProof/>
              <w:sz w:val="24"/>
              <w:szCs w:val="24"/>
              <w:lang w:val="en-AU"/>
            </w:rPr>
          </w:pPr>
          <w:hyperlink w:anchor="_Toc43919158" w:history="1">
            <w:r w:rsidR="006E01AC" w:rsidRPr="00F342B0">
              <w:rPr>
                <w:rStyle w:val="Hyperlink"/>
                <w:rFonts w:ascii="Avenir Roman" w:hAnsi="Avenir Roman"/>
                <w:i/>
                <w:noProof/>
              </w:rPr>
              <w:t>4.9</w:t>
            </w:r>
            <w:r w:rsidR="006E01AC">
              <w:rPr>
                <w:rFonts w:eastAsiaTheme="minorEastAsia"/>
                <w:noProof/>
                <w:sz w:val="24"/>
                <w:szCs w:val="24"/>
                <w:lang w:val="en-AU"/>
              </w:rPr>
              <w:tab/>
            </w:r>
            <w:r w:rsidR="006E01AC" w:rsidRPr="00F342B0">
              <w:rPr>
                <w:rStyle w:val="Hyperlink"/>
                <w:rFonts w:ascii="Avenir Roman" w:hAnsi="Avenir Roman"/>
                <w:i/>
                <w:noProof/>
              </w:rPr>
              <w:t>Transformational change, not accommodation models</w:t>
            </w:r>
            <w:r w:rsidR="006E01AC">
              <w:rPr>
                <w:noProof/>
                <w:webHidden/>
              </w:rPr>
              <w:tab/>
            </w:r>
            <w:r w:rsidR="006E01AC">
              <w:rPr>
                <w:noProof/>
                <w:webHidden/>
              </w:rPr>
              <w:fldChar w:fldCharType="begin"/>
            </w:r>
            <w:r w:rsidR="006E01AC">
              <w:rPr>
                <w:noProof/>
                <w:webHidden/>
              </w:rPr>
              <w:instrText xml:space="preserve"> PAGEREF _Toc43919158 \h </w:instrText>
            </w:r>
            <w:r w:rsidR="006E01AC">
              <w:rPr>
                <w:noProof/>
                <w:webHidden/>
              </w:rPr>
            </w:r>
            <w:r w:rsidR="006E01AC">
              <w:rPr>
                <w:noProof/>
                <w:webHidden/>
              </w:rPr>
              <w:fldChar w:fldCharType="separate"/>
            </w:r>
            <w:r w:rsidR="006E01AC">
              <w:rPr>
                <w:noProof/>
                <w:webHidden/>
              </w:rPr>
              <w:t>27</w:t>
            </w:r>
            <w:r w:rsidR="006E01AC">
              <w:rPr>
                <w:noProof/>
                <w:webHidden/>
              </w:rPr>
              <w:fldChar w:fldCharType="end"/>
            </w:r>
          </w:hyperlink>
        </w:p>
        <w:p w14:paraId="20E163FF" w14:textId="3096F383" w:rsidR="006E01AC" w:rsidRDefault="00122837">
          <w:pPr>
            <w:pStyle w:val="TOC2"/>
            <w:rPr>
              <w:rFonts w:eastAsiaTheme="minorEastAsia"/>
              <w:noProof/>
              <w:sz w:val="24"/>
              <w:szCs w:val="24"/>
              <w:lang w:val="en-AU"/>
            </w:rPr>
          </w:pPr>
          <w:hyperlink w:anchor="_Toc43919159" w:history="1">
            <w:r w:rsidR="006E01AC" w:rsidRPr="00F342B0">
              <w:rPr>
                <w:rStyle w:val="Hyperlink"/>
                <w:rFonts w:ascii="Avenir Book" w:hAnsi="Avenir Book" w:cs="Calibri"/>
                <w:noProof/>
              </w:rPr>
              <w:t>5.</w:t>
            </w:r>
            <w:r w:rsidR="006E01AC">
              <w:rPr>
                <w:rFonts w:eastAsiaTheme="minorEastAsia"/>
                <w:noProof/>
                <w:sz w:val="24"/>
                <w:szCs w:val="24"/>
                <w:lang w:val="en-AU"/>
              </w:rPr>
              <w:tab/>
            </w:r>
            <w:r w:rsidR="006E01AC" w:rsidRPr="00F342B0">
              <w:rPr>
                <w:rStyle w:val="Hyperlink"/>
                <w:rFonts w:ascii="Avenir Book" w:hAnsi="Avenir Book" w:cs="Calibri"/>
                <w:noProof/>
              </w:rPr>
              <w:t>Intersectionality</w:t>
            </w:r>
            <w:r w:rsidR="006E01AC">
              <w:rPr>
                <w:noProof/>
                <w:webHidden/>
              </w:rPr>
              <w:tab/>
            </w:r>
            <w:r w:rsidR="006E01AC">
              <w:rPr>
                <w:noProof/>
                <w:webHidden/>
              </w:rPr>
              <w:fldChar w:fldCharType="begin"/>
            </w:r>
            <w:r w:rsidR="006E01AC">
              <w:rPr>
                <w:noProof/>
                <w:webHidden/>
              </w:rPr>
              <w:instrText xml:space="preserve"> PAGEREF _Toc43919159 \h </w:instrText>
            </w:r>
            <w:r w:rsidR="006E01AC">
              <w:rPr>
                <w:noProof/>
                <w:webHidden/>
              </w:rPr>
            </w:r>
            <w:r w:rsidR="006E01AC">
              <w:rPr>
                <w:noProof/>
                <w:webHidden/>
              </w:rPr>
              <w:fldChar w:fldCharType="separate"/>
            </w:r>
            <w:r w:rsidR="006E01AC">
              <w:rPr>
                <w:noProof/>
                <w:webHidden/>
              </w:rPr>
              <w:t>32</w:t>
            </w:r>
            <w:r w:rsidR="006E01AC">
              <w:rPr>
                <w:noProof/>
                <w:webHidden/>
              </w:rPr>
              <w:fldChar w:fldCharType="end"/>
            </w:r>
          </w:hyperlink>
        </w:p>
        <w:p w14:paraId="01C5E982" w14:textId="5E23D999" w:rsidR="006E01AC" w:rsidRDefault="00122837">
          <w:pPr>
            <w:pStyle w:val="TOC2"/>
            <w:rPr>
              <w:rFonts w:eastAsiaTheme="minorEastAsia"/>
              <w:noProof/>
              <w:sz w:val="24"/>
              <w:szCs w:val="24"/>
              <w:lang w:val="en-AU"/>
            </w:rPr>
          </w:pPr>
          <w:hyperlink w:anchor="_Toc43919160" w:history="1">
            <w:r w:rsidR="006E01AC" w:rsidRPr="00F342B0">
              <w:rPr>
                <w:rStyle w:val="Hyperlink"/>
                <w:rFonts w:ascii="Avenir Book" w:hAnsi="Avenir Book" w:cs="Calibri"/>
                <w:noProof/>
              </w:rPr>
              <w:t>6.</w:t>
            </w:r>
            <w:r w:rsidR="006E01AC">
              <w:rPr>
                <w:rFonts w:eastAsiaTheme="minorEastAsia"/>
                <w:noProof/>
                <w:sz w:val="24"/>
                <w:szCs w:val="24"/>
                <w:lang w:val="en-AU"/>
              </w:rPr>
              <w:tab/>
            </w:r>
            <w:r w:rsidR="006E01AC" w:rsidRPr="00F342B0">
              <w:rPr>
                <w:rStyle w:val="Hyperlink"/>
                <w:rFonts w:ascii="Avenir Book" w:hAnsi="Avenir Book" w:cs="Calibri"/>
                <w:noProof/>
              </w:rPr>
              <w:t>Ableism, segregation and violence</w:t>
            </w:r>
            <w:r w:rsidR="006E01AC">
              <w:rPr>
                <w:noProof/>
                <w:webHidden/>
              </w:rPr>
              <w:tab/>
            </w:r>
            <w:r w:rsidR="006E01AC">
              <w:rPr>
                <w:noProof/>
                <w:webHidden/>
              </w:rPr>
              <w:fldChar w:fldCharType="begin"/>
            </w:r>
            <w:r w:rsidR="006E01AC">
              <w:rPr>
                <w:noProof/>
                <w:webHidden/>
              </w:rPr>
              <w:instrText xml:space="preserve"> PAGEREF _Toc43919160 \h </w:instrText>
            </w:r>
            <w:r w:rsidR="006E01AC">
              <w:rPr>
                <w:noProof/>
                <w:webHidden/>
              </w:rPr>
            </w:r>
            <w:r w:rsidR="006E01AC">
              <w:rPr>
                <w:noProof/>
                <w:webHidden/>
              </w:rPr>
              <w:fldChar w:fldCharType="separate"/>
            </w:r>
            <w:r w:rsidR="006E01AC">
              <w:rPr>
                <w:noProof/>
                <w:webHidden/>
              </w:rPr>
              <w:t>38</w:t>
            </w:r>
            <w:r w:rsidR="006E01AC">
              <w:rPr>
                <w:noProof/>
                <w:webHidden/>
              </w:rPr>
              <w:fldChar w:fldCharType="end"/>
            </w:r>
          </w:hyperlink>
        </w:p>
        <w:p w14:paraId="209BD8BA" w14:textId="5FA657F1" w:rsidR="006E01AC" w:rsidRDefault="00122837">
          <w:pPr>
            <w:pStyle w:val="TOC2"/>
            <w:rPr>
              <w:rFonts w:eastAsiaTheme="minorEastAsia"/>
              <w:noProof/>
              <w:sz w:val="24"/>
              <w:szCs w:val="24"/>
              <w:lang w:val="en-AU"/>
            </w:rPr>
          </w:pPr>
          <w:hyperlink w:anchor="_Toc43919161" w:history="1">
            <w:r w:rsidR="006E01AC" w:rsidRPr="00F342B0">
              <w:rPr>
                <w:rStyle w:val="Hyperlink"/>
                <w:rFonts w:ascii="Avenir Roman" w:hAnsi="Avenir Roman" w:cs="Calibri"/>
                <w:noProof/>
              </w:rPr>
              <w:t>7.</w:t>
            </w:r>
            <w:r w:rsidR="006E01AC">
              <w:rPr>
                <w:rFonts w:eastAsiaTheme="minorEastAsia"/>
                <w:noProof/>
                <w:sz w:val="24"/>
                <w:szCs w:val="24"/>
                <w:lang w:val="en-AU"/>
              </w:rPr>
              <w:tab/>
            </w:r>
            <w:r w:rsidR="006E01AC" w:rsidRPr="00F342B0">
              <w:rPr>
                <w:rStyle w:val="Hyperlink"/>
                <w:rFonts w:ascii="Avenir Roman" w:hAnsi="Avenir Roman" w:cs="Calibri"/>
                <w:noProof/>
              </w:rPr>
              <w:t>Exposing and responding to violence, abuse, neglect and exploitation</w:t>
            </w:r>
            <w:r w:rsidR="006E01AC">
              <w:rPr>
                <w:noProof/>
                <w:webHidden/>
              </w:rPr>
              <w:tab/>
            </w:r>
            <w:r w:rsidR="006E01AC">
              <w:rPr>
                <w:noProof/>
                <w:webHidden/>
              </w:rPr>
              <w:fldChar w:fldCharType="begin"/>
            </w:r>
            <w:r w:rsidR="006E01AC">
              <w:rPr>
                <w:noProof/>
                <w:webHidden/>
              </w:rPr>
              <w:instrText xml:space="preserve"> PAGEREF _Toc43919161 \h </w:instrText>
            </w:r>
            <w:r w:rsidR="006E01AC">
              <w:rPr>
                <w:noProof/>
                <w:webHidden/>
              </w:rPr>
            </w:r>
            <w:r w:rsidR="006E01AC">
              <w:rPr>
                <w:noProof/>
                <w:webHidden/>
              </w:rPr>
              <w:fldChar w:fldCharType="separate"/>
            </w:r>
            <w:r w:rsidR="006E01AC">
              <w:rPr>
                <w:noProof/>
                <w:webHidden/>
              </w:rPr>
              <w:t>43</w:t>
            </w:r>
            <w:r w:rsidR="006E01AC">
              <w:rPr>
                <w:noProof/>
                <w:webHidden/>
              </w:rPr>
              <w:fldChar w:fldCharType="end"/>
            </w:r>
          </w:hyperlink>
        </w:p>
        <w:p w14:paraId="15D60967" w14:textId="6E30858C" w:rsidR="006E01AC" w:rsidRDefault="00122837">
          <w:pPr>
            <w:pStyle w:val="TOC3"/>
            <w:tabs>
              <w:tab w:val="left" w:pos="1200"/>
              <w:tab w:val="right" w:leader="dot" w:pos="9622"/>
            </w:tabs>
            <w:rPr>
              <w:rFonts w:eastAsiaTheme="minorEastAsia"/>
              <w:noProof/>
              <w:sz w:val="24"/>
              <w:szCs w:val="24"/>
              <w:lang w:val="en-AU"/>
            </w:rPr>
          </w:pPr>
          <w:hyperlink w:anchor="_Toc43919162" w:history="1">
            <w:r w:rsidR="006E01AC" w:rsidRPr="00F342B0">
              <w:rPr>
                <w:rStyle w:val="Hyperlink"/>
                <w:rFonts w:ascii="Avenir Roman" w:hAnsi="Avenir Roman"/>
                <w:i/>
                <w:noProof/>
              </w:rPr>
              <w:t>7.1</w:t>
            </w:r>
            <w:r w:rsidR="006E01AC">
              <w:rPr>
                <w:rFonts w:eastAsiaTheme="minorEastAsia"/>
                <w:noProof/>
                <w:sz w:val="24"/>
                <w:szCs w:val="24"/>
                <w:lang w:val="en-AU"/>
              </w:rPr>
              <w:tab/>
            </w:r>
            <w:r w:rsidR="006E01AC" w:rsidRPr="00F342B0">
              <w:rPr>
                <w:rStyle w:val="Hyperlink"/>
                <w:rFonts w:ascii="Avenir Roman" w:hAnsi="Avenir Roman"/>
                <w:i/>
                <w:noProof/>
              </w:rPr>
              <w:t>Intersectional research and disaggregated data</w:t>
            </w:r>
            <w:r w:rsidR="006E01AC">
              <w:rPr>
                <w:noProof/>
                <w:webHidden/>
              </w:rPr>
              <w:tab/>
            </w:r>
            <w:r w:rsidR="006E01AC">
              <w:rPr>
                <w:noProof/>
                <w:webHidden/>
              </w:rPr>
              <w:fldChar w:fldCharType="begin"/>
            </w:r>
            <w:r w:rsidR="006E01AC">
              <w:rPr>
                <w:noProof/>
                <w:webHidden/>
              </w:rPr>
              <w:instrText xml:space="preserve"> PAGEREF _Toc43919162 \h </w:instrText>
            </w:r>
            <w:r w:rsidR="006E01AC">
              <w:rPr>
                <w:noProof/>
                <w:webHidden/>
              </w:rPr>
            </w:r>
            <w:r w:rsidR="006E01AC">
              <w:rPr>
                <w:noProof/>
                <w:webHidden/>
              </w:rPr>
              <w:fldChar w:fldCharType="separate"/>
            </w:r>
            <w:r w:rsidR="006E01AC">
              <w:rPr>
                <w:noProof/>
                <w:webHidden/>
              </w:rPr>
              <w:t>43</w:t>
            </w:r>
            <w:r w:rsidR="006E01AC">
              <w:rPr>
                <w:noProof/>
                <w:webHidden/>
              </w:rPr>
              <w:fldChar w:fldCharType="end"/>
            </w:r>
          </w:hyperlink>
        </w:p>
        <w:p w14:paraId="4F3376E1" w14:textId="6C35742D" w:rsidR="006E01AC" w:rsidRDefault="00122837">
          <w:pPr>
            <w:pStyle w:val="TOC3"/>
            <w:tabs>
              <w:tab w:val="left" w:pos="1200"/>
              <w:tab w:val="right" w:leader="dot" w:pos="9622"/>
            </w:tabs>
            <w:rPr>
              <w:rFonts w:eastAsiaTheme="minorEastAsia"/>
              <w:noProof/>
              <w:sz w:val="24"/>
              <w:szCs w:val="24"/>
              <w:lang w:val="en-AU"/>
            </w:rPr>
          </w:pPr>
          <w:hyperlink w:anchor="_Toc43919163" w:history="1">
            <w:r w:rsidR="006E01AC" w:rsidRPr="00F342B0">
              <w:rPr>
                <w:rStyle w:val="Hyperlink"/>
                <w:rFonts w:ascii="Avenir Roman" w:hAnsi="Avenir Roman"/>
                <w:i/>
                <w:noProof/>
              </w:rPr>
              <w:t>7.2</w:t>
            </w:r>
            <w:r w:rsidR="006E01AC">
              <w:rPr>
                <w:rFonts w:eastAsiaTheme="minorEastAsia"/>
                <w:noProof/>
                <w:sz w:val="24"/>
                <w:szCs w:val="24"/>
                <w:lang w:val="en-AU"/>
              </w:rPr>
              <w:tab/>
            </w:r>
            <w:r w:rsidR="006E01AC" w:rsidRPr="00F342B0">
              <w:rPr>
                <w:rStyle w:val="Hyperlink"/>
                <w:rFonts w:ascii="Avenir Roman" w:hAnsi="Avenir Roman"/>
                <w:i/>
                <w:noProof/>
              </w:rPr>
              <w:t>Gender-based violence</w:t>
            </w:r>
            <w:r w:rsidR="006E01AC">
              <w:rPr>
                <w:noProof/>
                <w:webHidden/>
              </w:rPr>
              <w:tab/>
            </w:r>
            <w:r w:rsidR="006E01AC">
              <w:rPr>
                <w:noProof/>
                <w:webHidden/>
              </w:rPr>
              <w:fldChar w:fldCharType="begin"/>
            </w:r>
            <w:r w:rsidR="006E01AC">
              <w:rPr>
                <w:noProof/>
                <w:webHidden/>
              </w:rPr>
              <w:instrText xml:space="preserve"> PAGEREF _Toc43919163 \h </w:instrText>
            </w:r>
            <w:r w:rsidR="006E01AC">
              <w:rPr>
                <w:noProof/>
                <w:webHidden/>
              </w:rPr>
            </w:r>
            <w:r w:rsidR="006E01AC">
              <w:rPr>
                <w:noProof/>
                <w:webHidden/>
              </w:rPr>
              <w:fldChar w:fldCharType="separate"/>
            </w:r>
            <w:r w:rsidR="006E01AC">
              <w:rPr>
                <w:noProof/>
                <w:webHidden/>
              </w:rPr>
              <w:t>44</w:t>
            </w:r>
            <w:r w:rsidR="006E01AC">
              <w:rPr>
                <w:noProof/>
                <w:webHidden/>
              </w:rPr>
              <w:fldChar w:fldCharType="end"/>
            </w:r>
          </w:hyperlink>
        </w:p>
        <w:p w14:paraId="04647401" w14:textId="55F34152" w:rsidR="006E01AC" w:rsidRDefault="00122837">
          <w:pPr>
            <w:pStyle w:val="TOC3"/>
            <w:tabs>
              <w:tab w:val="left" w:pos="1200"/>
              <w:tab w:val="right" w:leader="dot" w:pos="9622"/>
            </w:tabs>
            <w:rPr>
              <w:rFonts w:eastAsiaTheme="minorEastAsia"/>
              <w:noProof/>
              <w:sz w:val="24"/>
              <w:szCs w:val="24"/>
              <w:lang w:val="en-AU"/>
            </w:rPr>
          </w:pPr>
          <w:hyperlink w:anchor="_Toc43919164" w:history="1">
            <w:r w:rsidR="006E01AC" w:rsidRPr="00F342B0">
              <w:rPr>
                <w:rStyle w:val="Hyperlink"/>
                <w:rFonts w:ascii="Avenir Roman" w:hAnsi="Avenir Roman"/>
                <w:i/>
                <w:noProof/>
              </w:rPr>
              <w:t>7.3</w:t>
            </w:r>
            <w:r w:rsidR="006E01AC">
              <w:rPr>
                <w:rFonts w:eastAsiaTheme="minorEastAsia"/>
                <w:noProof/>
                <w:sz w:val="24"/>
                <w:szCs w:val="24"/>
                <w:lang w:val="en-AU"/>
              </w:rPr>
              <w:tab/>
            </w:r>
            <w:r w:rsidR="006E01AC" w:rsidRPr="00F342B0">
              <w:rPr>
                <w:rStyle w:val="Hyperlink"/>
                <w:rFonts w:ascii="Avenir Roman" w:hAnsi="Avenir Roman"/>
                <w:i/>
                <w:noProof/>
              </w:rPr>
              <w:t>Torture and ill-treatment</w:t>
            </w:r>
            <w:r w:rsidR="006E01AC">
              <w:rPr>
                <w:noProof/>
                <w:webHidden/>
              </w:rPr>
              <w:tab/>
            </w:r>
            <w:r w:rsidR="006E01AC">
              <w:rPr>
                <w:noProof/>
                <w:webHidden/>
              </w:rPr>
              <w:fldChar w:fldCharType="begin"/>
            </w:r>
            <w:r w:rsidR="006E01AC">
              <w:rPr>
                <w:noProof/>
                <w:webHidden/>
              </w:rPr>
              <w:instrText xml:space="preserve"> PAGEREF _Toc43919164 \h </w:instrText>
            </w:r>
            <w:r w:rsidR="006E01AC">
              <w:rPr>
                <w:noProof/>
                <w:webHidden/>
              </w:rPr>
            </w:r>
            <w:r w:rsidR="006E01AC">
              <w:rPr>
                <w:noProof/>
                <w:webHidden/>
              </w:rPr>
              <w:fldChar w:fldCharType="separate"/>
            </w:r>
            <w:r w:rsidR="006E01AC">
              <w:rPr>
                <w:noProof/>
                <w:webHidden/>
              </w:rPr>
              <w:t>47</w:t>
            </w:r>
            <w:r w:rsidR="006E01AC">
              <w:rPr>
                <w:noProof/>
                <w:webHidden/>
              </w:rPr>
              <w:fldChar w:fldCharType="end"/>
            </w:r>
          </w:hyperlink>
        </w:p>
        <w:p w14:paraId="1CC2EACF" w14:textId="48F4AE8B" w:rsidR="006E01AC" w:rsidRDefault="00122837">
          <w:pPr>
            <w:pStyle w:val="TOC3"/>
            <w:tabs>
              <w:tab w:val="left" w:pos="1200"/>
              <w:tab w:val="right" w:leader="dot" w:pos="9622"/>
            </w:tabs>
            <w:rPr>
              <w:rFonts w:eastAsiaTheme="minorEastAsia"/>
              <w:noProof/>
              <w:sz w:val="24"/>
              <w:szCs w:val="24"/>
              <w:lang w:val="en-AU"/>
            </w:rPr>
          </w:pPr>
          <w:hyperlink w:anchor="_Toc43919165" w:history="1">
            <w:r w:rsidR="006E01AC" w:rsidRPr="00F342B0">
              <w:rPr>
                <w:rStyle w:val="Hyperlink"/>
                <w:rFonts w:ascii="Avenir Roman" w:hAnsi="Avenir Roman"/>
                <w:i/>
                <w:noProof/>
              </w:rPr>
              <w:t>7.4</w:t>
            </w:r>
            <w:r w:rsidR="006E01AC">
              <w:rPr>
                <w:rFonts w:eastAsiaTheme="minorEastAsia"/>
                <w:noProof/>
                <w:sz w:val="24"/>
                <w:szCs w:val="24"/>
                <w:lang w:val="en-AU"/>
              </w:rPr>
              <w:tab/>
            </w:r>
            <w:r w:rsidR="006E01AC" w:rsidRPr="00F342B0">
              <w:rPr>
                <w:rStyle w:val="Hyperlink"/>
                <w:rFonts w:ascii="Avenir Roman" w:hAnsi="Avenir Roman"/>
                <w:i/>
                <w:noProof/>
              </w:rPr>
              <w:t>Law, policy and practice responses</w:t>
            </w:r>
            <w:r w:rsidR="006E01AC">
              <w:rPr>
                <w:noProof/>
                <w:webHidden/>
              </w:rPr>
              <w:tab/>
            </w:r>
            <w:r w:rsidR="006E01AC">
              <w:rPr>
                <w:noProof/>
                <w:webHidden/>
              </w:rPr>
              <w:fldChar w:fldCharType="begin"/>
            </w:r>
            <w:r w:rsidR="006E01AC">
              <w:rPr>
                <w:noProof/>
                <w:webHidden/>
              </w:rPr>
              <w:instrText xml:space="preserve"> PAGEREF _Toc43919165 \h </w:instrText>
            </w:r>
            <w:r w:rsidR="006E01AC">
              <w:rPr>
                <w:noProof/>
                <w:webHidden/>
              </w:rPr>
            </w:r>
            <w:r w:rsidR="006E01AC">
              <w:rPr>
                <w:noProof/>
                <w:webHidden/>
              </w:rPr>
              <w:fldChar w:fldCharType="separate"/>
            </w:r>
            <w:r w:rsidR="006E01AC">
              <w:rPr>
                <w:noProof/>
                <w:webHidden/>
              </w:rPr>
              <w:t>48</w:t>
            </w:r>
            <w:r w:rsidR="006E01AC">
              <w:rPr>
                <w:noProof/>
                <w:webHidden/>
              </w:rPr>
              <w:fldChar w:fldCharType="end"/>
            </w:r>
          </w:hyperlink>
        </w:p>
        <w:p w14:paraId="7CB6D39F" w14:textId="22CAAD96" w:rsidR="006E01AC" w:rsidRDefault="00122837">
          <w:pPr>
            <w:pStyle w:val="TOC2"/>
            <w:rPr>
              <w:rFonts w:eastAsiaTheme="minorEastAsia"/>
              <w:noProof/>
              <w:sz w:val="24"/>
              <w:szCs w:val="24"/>
              <w:lang w:val="en-AU"/>
            </w:rPr>
          </w:pPr>
          <w:hyperlink w:anchor="_Toc43919166" w:history="1">
            <w:r w:rsidR="006E01AC" w:rsidRPr="00F342B0">
              <w:rPr>
                <w:rStyle w:val="Hyperlink"/>
                <w:rFonts w:ascii="Avenir Book" w:hAnsi="Avenir Book" w:cs="Calibri"/>
                <w:noProof/>
              </w:rPr>
              <w:t>8.</w:t>
            </w:r>
            <w:r w:rsidR="006E01AC">
              <w:rPr>
                <w:rFonts w:eastAsiaTheme="minorEastAsia"/>
                <w:noProof/>
                <w:sz w:val="24"/>
                <w:szCs w:val="24"/>
                <w:lang w:val="en-AU"/>
              </w:rPr>
              <w:tab/>
            </w:r>
            <w:r w:rsidR="006E01AC" w:rsidRPr="00F342B0">
              <w:rPr>
                <w:rStyle w:val="Hyperlink"/>
                <w:rFonts w:ascii="Avenir Book" w:hAnsi="Avenir Book" w:cs="Calibri"/>
                <w:noProof/>
              </w:rPr>
              <w:t>Appendix – Concluding comments from UN treaty bodies</w:t>
            </w:r>
            <w:r w:rsidR="006E01AC">
              <w:rPr>
                <w:noProof/>
                <w:webHidden/>
              </w:rPr>
              <w:tab/>
            </w:r>
            <w:r w:rsidR="006E01AC">
              <w:rPr>
                <w:noProof/>
                <w:webHidden/>
              </w:rPr>
              <w:fldChar w:fldCharType="begin"/>
            </w:r>
            <w:r w:rsidR="006E01AC">
              <w:rPr>
                <w:noProof/>
                <w:webHidden/>
              </w:rPr>
              <w:instrText xml:space="preserve"> PAGEREF _Toc43919166 \h </w:instrText>
            </w:r>
            <w:r w:rsidR="006E01AC">
              <w:rPr>
                <w:noProof/>
                <w:webHidden/>
              </w:rPr>
            </w:r>
            <w:r w:rsidR="006E01AC">
              <w:rPr>
                <w:noProof/>
                <w:webHidden/>
              </w:rPr>
              <w:fldChar w:fldCharType="separate"/>
            </w:r>
            <w:r w:rsidR="006E01AC">
              <w:rPr>
                <w:noProof/>
                <w:webHidden/>
              </w:rPr>
              <w:t>52</w:t>
            </w:r>
            <w:r w:rsidR="006E01AC">
              <w:rPr>
                <w:noProof/>
                <w:webHidden/>
              </w:rPr>
              <w:fldChar w:fldCharType="end"/>
            </w:r>
          </w:hyperlink>
        </w:p>
        <w:p w14:paraId="2D519C81" w14:textId="566AC9CE" w:rsidR="0090109C" w:rsidRDefault="0040289D" w:rsidP="0090109C">
          <w:pPr>
            <w:pStyle w:val="TOC2"/>
            <w:ind w:left="0" w:firstLine="0"/>
            <w:rPr>
              <w:rFonts w:ascii="Calibri" w:hAnsi="Calibri" w:cs="Calibri"/>
              <w:bCs/>
              <w:noProof/>
              <w:color w:val="17365D"/>
            </w:rPr>
          </w:pPr>
          <w:r w:rsidRPr="00E902AE">
            <w:rPr>
              <w:rFonts w:ascii="Avenir Book" w:hAnsi="Avenir Book" w:cs="Calibri"/>
              <w:b/>
              <w:bCs/>
              <w:noProof/>
              <w:color w:val="17365D"/>
            </w:rPr>
            <w:fldChar w:fldCharType="end"/>
          </w:r>
        </w:p>
      </w:sdtContent>
    </w:sdt>
    <w:p w14:paraId="20311E59" w14:textId="77777777" w:rsidR="00012237" w:rsidRDefault="00012237">
      <w:pPr>
        <w:rPr>
          <w:rFonts w:ascii="Avenir Book" w:eastAsiaTheme="minorHAnsi" w:hAnsi="Avenir Book" w:cs="Calibri"/>
          <w:b/>
          <w:color w:val="AC1F79"/>
          <w:sz w:val="28"/>
          <w:szCs w:val="28"/>
        </w:rPr>
      </w:pPr>
      <w:r>
        <w:rPr>
          <w:rFonts w:ascii="Avenir Book" w:hAnsi="Avenir Book" w:cs="Calibri"/>
          <w:color w:val="AC1F79"/>
          <w:szCs w:val="28"/>
        </w:rPr>
        <w:br w:type="page"/>
      </w:r>
    </w:p>
    <w:p w14:paraId="2898CAA0" w14:textId="3A648B3C" w:rsidR="004957C6" w:rsidRPr="000709B9" w:rsidRDefault="007A27CF" w:rsidP="00564172">
      <w:pPr>
        <w:pStyle w:val="Heading2"/>
        <w:numPr>
          <w:ilvl w:val="0"/>
          <w:numId w:val="2"/>
        </w:numPr>
        <w:ind w:left="426" w:hanging="426"/>
        <w:rPr>
          <w:rFonts w:ascii="Avenir Book" w:hAnsi="Avenir Book" w:cs="Calibri"/>
          <w:color w:val="AC1F79"/>
        </w:rPr>
      </w:pPr>
      <w:bookmarkStart w:id="104" w:name="_Toc43919146"/>
      <w:r w:rsidRPr="00457ADB">
        <w:rPr>
          <w:rFonts w:ascii="Avenir Book" w:hAnsi="Avenir Book" w:cs="Calibri"/>
          <w:color w:val="AC1F79"/>
        </w:rPr>
        <w:lastRenderedPageBreak/>
        <w:t>Recommendations</w:t>
      </w:r>
      <w:bookmarkEnd w:id="104"/>
    </w:p>
    <w:p w14:paraId="60B29256" w14:textId="1E1B8C4A" w:rsidR="004957C6" w:rsidRPr="00577E46" w:rsidRDefault="004957C6" w:rsidP="00564172">
      <w:pPr>
        <w:pStyle w:val="ListParagraph"/>
        <w:numPr>
          <w:ilvl w:val="1"/>
          <w:numId w:val="2"/>
        </w:numPr>
        <w:snapToGrid w:val="0"/>
        <w:spacing w:after="60" w:line="240" w:lineRule="auto"/>
        <w:ind w:left="567" w:hanging="567"/>
        <w:contextualSpacing w:val="0"/>
        <w:jc w:val="left"/>
        <w:rPr>
          <w:rFonts w:ascii="Avenir Book" w:hAnsi="Avenir Book" w:cs="Calibri"/>
          <w:sz w:val="22"/>
          <w:szCs w:val="22"/>
        </w:rPr>
      </w:pPr>
      <w:r w:rsidRPr="00DD248F">
        <w:rPr>
          <w:rFonts w:ascii="Avenir Book" w:hAnsi="Avenir Book" w:cs="Calibri"/>
          <w:sz w:val="22"/>
          <w:szCs w:val="22"/>
        </w:rPr>
        <w:t xml:space="preserve">In </w:t>
      </w:r>
      <w:r>
        <w:rPr>
          <w:rFonts w:ascii="Avenir Book" w:hAnsi="Avenir Book" w:cs="Calibri"/>
          <w:sz w:val="22"/>
          <w:szCs w:val="22"/>
        </w:rPr>
        <w:t xml:space="preserve">the context of living arrangements for people with disability, including group homes, the Royal Commission should recognise article 19, </w:t>
      </w:r>
      <w:r w:rsidRPr="00E320C0">
        <w:rPr>
          <w:rFonts w:ascii="Avenir Book" w:hAnsi="Avenir Book" w:cs="Calibri"/>
          <w:i/>
          <w:sz w:val="22"/>
          <w:szCs w:val="22"/>
        </w:rPr>
        <w:t>Living independently and being included in the community</w:t>
      </w:r>
      <w:r>
        <w:rPr>
          <w:rFonts w:ascii="Avenir Book" w:hAnsi="Avenir Book" w:cs="Calibri"/>
          <w:sz w:val="22"/>
          <w:szCs w:val="22"/>
        </w:rPr>
        <w:t xml:space="preserve">, as wide-ranging and </w:t>
      </w:r>
      <w:r w:rsidRPr="007713E1">
        <w:rPr>
          <w:rFonts w:ascii="Avenir Book" w:hAnsi="Avenir Book"/>
          <w:sz w:val="22"/>
          <w:szCs w:val="22"/>
        </w:rPr>
        <w:t>all-encompassing of CRPD rights</w:t>
      </w:r>
      <w:r>
        <w:rPr>
          <w:rFonts w:ascii="Avenir Book" w:hAnsi="Avenir Book"/>
          <w:sz w:val="22"/>
          <w:szCs w:val="22"/>
        </w:rPr>
        <w:t>, and as critical to the prevention of violence, abuse, neglect and exploitation, and ensure that its examination focuses on:</w:t>
      </w:r>
    </w:p>
    <w:p w14:paraId="3DA4E2F4" w14:textId="77777777" w:rsidR="004957C6" w:rsidRPr="00EA5017" w:rsidRDefault="004957C6" w:rsidP="00EA5017">
      <w:pPr>
        <w:pStyle w:val="ListParagraph"/>
        <w:numPr>
          <w:ilvl w:val="0"/>
          <w:numId w:val="43"/>
        </w:numPr>
        <w:spacing w:after="60" w:line="240" w:lineRule="auto"/>
        <w:jc w:val="left"/>
        <w:rPr>
          <w:rFonts w:ascii="Avenir Book" w:hAnsi="Avenir Book" w:cs="Calibri"/>
          <w:sz w:val="22"/>
          <w:szCs w:val="22"/>
        </w:rPr>
      </w:pPr>
      <w:r w:rsidRPr="00EA5017">
        <w:rPr>
          <w:rFonts w:ascii="Avenir Book" w:hAnsi="Avenir Book"/>
          <w:sz w:val="22"/>
          <w:szCs w:val="22"/>
        </w:rPr>
        <w:t>the role of living arrangements and supports in facilitating human dignity, independence, autonomy, freedom, and participation and inclusion in the community;</w:t>
      </w:r>
    </w:p>
    <w:p w14:paraId="79A39230" w14:textId="77777777" w:rsidR="004957C6" w:rsidRPr="00EA5017" w:rsidRDefault="004957C6" w:rsidP="00EA5017">
      <w:pPr>
        <w:pStyle w:val="ListParagraph"/>
        <w:numPr>
          <w:ilvl w:val="0"/>
          <w:numId w:val="43"/>
        </w:numPr>
        <w:spacing w:after="60" w:line="240" w:lineRule="auto"/>
        <w:jc w:val="left"/>
        <w:rPr>
          <w:rFonts w:ascii="Avenir Book" w:hAnsi="Avenir Book" w:cs="Calibri"/>
          <w:sz w:val="22"/>
          <w:szCs w:val="22"/>
        </w:rPr>
      </w:pPr>
      <w:r w:rsidRPr="00EA5017">
        <w:rPr>
          <w:rFonts w:ascii="Avenir Book" w:hAnsi="Avenir Book" w:cs="Calibri"/>
          <w:sz w:val="22"/>
          <w:szCs w:val="22"/>
        </w:rPr>
        <w:t>explicitly recognising segregated living arrangements as discrimination and as a form of systemic neglect;</w:t>
      </w:r>
    </w:p>
    <w:p w14:paraId="79579F73" w14:textId="6DF1E4EE" w:rsidR="00577E46" w:rsidRPr="00EA5017" w:rsidRDefault="004957C6" w:rsidP="00EA5017">
      <w:pPr>
        <w:pStyle w:val="ListParagraph"/>
        <w:numPr>
          <w:ilvl w:val="0"/>
          <w:numId w:val="43"/>
        </w:numPr>
        <w:spacing w:after="0" w:line="240" w:lineRule="auto"/>
        <w:jc w:val="left"/>
        <w:rPr>
          <w:rFonts w:ascii="Avenir Book" w:hAnsi="Avenir Book" w:cs="Calibri"/>
          <w:sz w:val="22"/>
          <w:szCs w:val="22"/>
        </w:rPr>
      </w:pPr>
      <w:r w:rsidRPr="00EA5017">
        <w:rPr>
          <w:rFonts w:ascii="Avenir Book" w:hAnsi="Avenir Book" w:cs="Calibri"/>
          <w:sz w:val="22"/>
          <w:szCs w:val="22"/>
        </w:rPr>
        <w:t xml:space="preserve">the role of existing law, policy and practice in continuing to prevent </w:t>
      </w:r>
      <w:r w:rsidRPr="00EA5017">
        <w:rPr>
          <w:rFonts w:ascii="Avenir Book" w:hAnsi="Avenir Book"/>
          <w:sz w:val="22"/>
          <w:szCs w:val="22"/>
        </w:rPr>
        <w:t xml:space="preserve">the right to live independently and be included in the community, including through substitute-decision making mechanisms; policy that encourages new segregated housing models; policy and practice that obliges people with disability to live in particular living arrangements to obtain essential supports; and policy and strategy failures in relation to poverty alleviation, adequate standard of living, access to social and public housing, accessible housing design and construction, and full community inclusion and participation. </w:t>
      </w:r>
    </w:p>
    <w:p w14:paraId="73E86F00" w14:textId="77777777" w:rsidR="000709B9" w:rsidRPr="000709B9" w:rsidRDefault="000709B9" w:rsidP="000709B9">
      <w:pPr>
        <w:spacing w:after="0" w:line="240" w:lineRule="auto"/>
        <w:jc w:val="left"/>
        <w:rPr>
          <w:rFonts w:ascii="Avenir Book" w:hAnsi="Avenir Book" w:cs="Calibri"/>
          <w:sz w:val="22"/>
          <w:szCs w:val="22"/>
        </w:rPr>
      </w:pPr>
    </w:p>
    <w:p w14:paraId="4C33C466" w14:textId="1F3B6FE2" w:rsidR="003D4E2D" w:rsidRPr="000709B9" w:rsidRDefault="004957C6" w:rsidP="00564172">
      <w:pPr>
        <w:pStyle w:val="ListParagraph"/>
        <w:numPr>
          <w:ilvl w:val="1"/>
          <w:numId w:val="2"/>
        </w:numPr>
        <w:snapToGrid w:val="0"/>
        <w:spacing w:after="0" w:line="240" w:lineRule="auto"/>
        <w:ind w:left="567" w:hanging="567"/>
        <w:contextualSpacing w:val="0"/>
        <w:jc w:val="left"/>
        <w:rPr>
          <w:rFonts w:ascii="Avenir Book" w:hAnsi="Avenir Book" w:cs="Calibri"/>
          <w:sz w:val="22"/>
          <w:szCs w:val="22"/>
        </w:rPr>
      </w:pPr>
      <w:r w:rsidRPr="00577E46">
        <w:rPr>
          <w:rFonts w:ascii="Avenir Book" w:hAnsi="Avenir Book"/>
          <w:sz w:val="22"/>
          <w:szCs w:val="22"/>
        </w:rPr>
        <w:t xml:space="preserve">In line with the jurisprudence and recommendations of the CRPD Committee, Australia should withdraw its interpretative declaration on article 12, replace substitute decision-making mechanisms with supported decision-making, and implement a nationally consistent supported decision-making framework.  </w:t>
      </w:r>
    </w:p>
    <w:p w14:paraId="464003BF" w14:textId="77777777" w:rsidR="000709B9" w:rsidRPr="000709B9" w:rsidRDefault="000709B9" w:rsidP="000709B9">
      <w:pPr>
        <w:pStyle w:val="ListParagraph"/>
        <w:snapToGrid w:val="0"/>
        <w:spacing w:after="0" w:line="240" w:lineRule="auto"/>
        <w:ind w:left="567"/>
        <w:contextualSpacing w:val="0"/>
        <w:jc w:val="left"/>
        <w:rPr>
          <w:rFonts w:ascii="Avenir Book" w:hAnsi="Avenir Book" w:cs="Calibri"/>
          <w:sz w:val="22"/>
          <w:szCs w:val="22"/>
        </w:rPr>
      </w:pPr>
    </w:p>
    <w:p w14:paraId="1A0812F6" w14:textId="77777777" w:rsidR="004957C6" w:rsidRPr="003D4E2D" w:rsidRDefault="004957C6" w:rsidP="00564172">
      <w:pPr>
        <w:pStyle w:val="ListParagraph"/>
        <w:numPr>
          <w:ilvl w:val="1"/>
          <w:numId w:val="2"/>
        </w:numPr>
        <w:snapToGrid w:val="0"/>
        <w:spacing w:after="60" w:line="240" w:lineRule="auto"/>
        <w:ind w:left="567" w:hanging="567"/>
        <w:contextualSpacing w:val="0"/>
        <w:jc w:val="left"/>
        <w:rPr>
          <w:rFonts w:ascii="Avenir Book" w:hAnsi="Avenir Book" w:cs="Calibri"/>
          <w:sz w:val="22"/>
          <w:szCs w:val="22"/>
        </w:rPr>
      </w:pPr>
      <w:r w:rsidRPr="003D4E2D">
        <w:rPr>
          <w:rFonts w:ascii="Avenir Book" w:hAnsi="Avenir Book" w:cs="Calibri"/>
          <w:sz w:val="22"/>
          <w:szCs w:val="22"/>
        </w:rPr>
        <w:t>The National Disability Insurance Agency should:</w:t>
      </w:r>
    </w:p>
    <w:p w14:paraId="42CC1BE4" w14:textId="77777777" w:rsidR="004957C6" w:rsidRPr="00EA5017" w:rsidRDefault="004957C6" w:rsidP="00EA5017">
      <w:pPr>
        <w:pStyle w:val="ListParagraph"/>
        <w:numPr>
          <w:ilvl w:val="0"/>
          <w:numId w:val="40"/>
        </w:numPr>
        <w:spacing w:after="60" w:line="240" w:lineRule="auto"/>
        <w:jc w:val="left"/>
        <w:rPr>
          <w:rFonts w:ascii="Avenir Book" w:hAnsi="Avenir Book" w:cs="Calibri"/>
          <w:sz w:val="22"/>
          <w:szCs w:val="22"/>
        </w:rPr>
      </w:pPr>
      <w:r w:rsidRPr="00EA5017">
        <w:rPr>
          <w:rFonts w:ascii="Avenir Book" w:hAnsi="Avenir Book" w:cs="Calibri"/>
          <w:sz w:val="22"/>
          <w:szCs w:val="22"/>
        </w:rPr>
        <w:t>review SDA and SIL policy and practice to ensure that people with disability are not forced into shared living and shared support arrangements;</w:t>
      </w:r>
    </w:p>
    <w:p w14:paraId="2B56E055" w14:textId="77777777" w:rsidR="004957C6" w:rsidRPr="00EA5017" w:rsidRDefault="004957C6" w:rsidP="00EA5017">
      <w:pPr>
        <w:pStyle w:val="ListParagraph"/>
        <w:numPr>
          <w:ilvl w:val="0"/>
          <w:numId w:val="40"/>
        </w:numPr>
        <w:spacing w:after="60" w:line="240" w:lineRule="auto"/>
        <w:jc w:val="left"/>
        <w:rPr>
          <w:rFonts w:ascii="Avenir Book" w:hAnsi="Avenir Book" w:cs="Calibri"/>
          <w:sz w:val="22"/>
          <w:szCs w:val="22"/>
        </w:rPr>
      </w:pPr>
      <w:r w:rsidRPr="00EA5017">
        <w:rPr>
          <w:rFonts w:ascii="Avenir Book" w:hAnsi="Avenir Book" w:cs="Calibri"/>
          <w:sz w:val="22"/>
          <w:szCs w:val="22"/>
        </w:rPr>
        <w:t>provide NDIS participants with opportunities to review their accommodation and support arrangements, and to genuinely choose options that do not oblige shared living and support arrangements;</w:t>
      </w:r>
    </w:p>
    <w:p w14:paraId="3EE8E2F0" w14:textId="77777777" w:rsidR="004957C6" w:rsidRPr="00EA5017" w:rsidRDefault="004957C6" w:rsidP="00EA5017">
      <w:pPr>
        <w:pStyle w:val="ListParagraph"/>
        <w:numPr>
          <w:ilvl w:val="0"/>
          <w:numId w:val="40"/>
        </w:numPr>
        <w:spacing w:after="60" w:line="240" w:lineRule="auto"/>
        <w:jc w:val="left"/>
        <w:rPr>
          <w:rFonts w:ascii="Avenir Book" w:hAnsi="Avenir Book" w:cs="Calibri"/>
          <w:sz w:val="22"/>
          <w:szCs w:val="22"/>
        </w:rPr>
      </w:pPr>
      <w:r w:rsidRPr="00EA5017">
        <w:rPr>
          <w:rFonts w:ascii="Avenir Book" w:hAnsi="Avenir Book" w:cs="Calibri"/>
          <w:sz w:val="22"/>
          <w:szCs w:val="22"/>
        </w:rPr>
        <w:t xml:space="preserve">remove the group home category as a new build option for SDA; and </w:t>
      </w:r>
    </w:p>
    <w:p w14:paraId="0756E4A9" w14:textId="77777777" w:rsidR="004957C6" w:rsidRPr="00EA5017" w:rsidRDefault="004957C6" w:rsidP="00EA5017">
      <w:pPr>
        <w:pStyle w:val="ListParagraph"/>
        <w:numPr>
          <w:ilvl w:val="0"/>
          <w:numId w:val="40"/>
        </w:numPr>
        <w:spacing w:line="240" w:lineRule="auto"/>
        <w:jc w:val="left"/>
        <w:rPr>
          <w:rFonts w:ascii="Avenir Book" w:hAnsi="Avenir Book" w:cs="Calibri"/>
          <w:sz w:val="22"/>
          <w:szCs w:val="22"/>
        </w:rPr>
      </w:pPr>
      <w:r w:rsidRPr="00EA5017">
        <w:rPr>
          <w:rFonts w:ascii="Avenir Book" w:hAnsi="Avenir Book" w:cs="Calibri"/>
          <w:sz w:val="22"/>
          <w:szCs w:val="22"/>
        </w:rPr>
        <w:t xml:space="preserve">work with its Independent Advisory Council to </w:t>
      </w:r>
      <w:r w:rsidRPr="00EA5017">
        <w:rPr>
          <w:rFonts w:ascii="Avenir Roman" w:hAnsi="Avenir Roman" w:cs="Calibri"/>
          <w:sz w:val="22"/>
          <w:szCs w:val="22"/>
        </w:rPr>
        <w:t xml:space="preserve">identify repurposing options for existing group homes to transition into genuine non-segregated housing options that facilitate </w:t>
      </w:r>
      <w:r w:rsidRPr="00EA5017">
        <w:rPr>
          <w:rFonts w:ascii="Avenir Roman" w:hAnsi="Avenir Roman"/>
          <w:sz w:val="22"/>
          <w:szCs w:val="22"/>
        </w:rPr>
        <w:t xml:space="preserve">community participation and inclusion. </w:t>
      </w:r>
    </w:p>
    <w:p w14:paraId="2B8EE836" w14:textId="798761E1" w:rsidR="004957C6" w:rsidRDefault="004957C6" w:rsidP="000709B9">
      <w:pPr>
        <w:pStyle w:val="ListParagraph"/>
        <w:spacing w:line="240" w:lineRule="auto"/>
        <w:jc w:val="left"/>
        <w:rPr>
          <w:rFonts w:ascii="Avenir Book" w:hAnsi="Avenir Book" w:cs="Calibri"/>
          <w:sz w:val="22"/>
          <w:szCs w:val="22"/>
        </w:rPr>
      </w:pPr>
    </w:p>
    <w:p w14:paraId="246F17AA" w14:textId="77777777" w:rsidR="004957C6" w:rsidRPr="003D4E2D" w:rsidRDefault="004957C6" w:rsidP="00564172">
      <w:pPr>
        <w:pStyle w:val="ListParagraph"/>
        <w:numPr>
          <w:ilvl w:val="1"/>
          <w:numId w:val="2"/>
        </w:numPr>
        <w:snapToGrid w:val="0"/>
        <w:spacing w:after="60" w:line="240" w:lineRule="auto"/>
        <w:ind w:left="567" w:hanging="567"/>
        <w:contextualSpacing w:val="0"/>
        <w:jc w:val="left"/>
        <w:rPr>
          <w:rFonts w:ascii="Avenir Book" w:hAnsi="Avenir Book" w:cs="Calibri"/>
          <w:sz w:val="22"/>
          <w:szCs w:val="22"/>
        </w:rPr>
      </w:pPr>
      <w:r w:rsidRPr="003D4E2D">
        <w:rPr>
          <w:rFonts w:ascii="Avenir Book" w:hAnsi="Avenir Book" w:cs="Calibri"/>
          <w:sz w:val="22"/>
          <w:szCs w:val="22"/>
        </w:rPr>
        <w:t>A national Deinstitutionalisation and Disability Housing Strategy should be developed by Australian governments in close consultation and participation with people with disability and their representative organisations, with the aim of including strategies and timeframes for:</w:t>
      </w:r>
    </w:p>
    <w:p w14:paraId="54EBA980" w14:textId="77777777" w:rsidR="004957C6" w:rsidRPr="00EA5017" w:rsidRDefault="004957C6" w:rsidP="00EA5017">
      <w:pPr>
        <w:pStyle w:val="ListParagraph"/>
        <w:numPr>
          <w:ilvl w:val="0"/>
          <w:numId w:val="42"/>
        </w:numPr>
        <w:spacing w:after="60" w:line="240" w:lineRule="auto"/>
        <w:jc w:val="left"/>
        <w:rPr>
          <w:rFonts w:ascii="Avenir Book" w:hAnsi="Avenir Book" w:cs="Calibri"/>
          <w:sz w:val="22"/>
          <w:szCs w:val="22"/>
        </w:rPr>
      </w:pPr>
      <w:r w:rsidRPr="00EA5017">
        <w:rPr>
          <w:rFonts w:ascii="Avenir Book" w:hAnsi="Avenir Book" w:cs="Calibri"/>
          <w:sz w:val="22"/>
          <w:szCs w:val="22"/>
        </w:rPr>
        <w:t>the closure of residential institutional living arrangements for people with disability;</w:t>
      </w:r>
    </w:p>
    <w:p w14:paraId="6FD27E0C" w14:textId="77777777" w:rsidR="004957C6" w:rsidRPr="00EA5017" w:rsidRDefault="004957C6" w:rsidP="00EA5017">
      <w:pPr>
        <w:pStyle w:val="ListParagraph"/>
        <w:numPr>
          <w:ilvl w:val="0"/>
          <w:numId w:val="42"/>
        </w:numPr>
        <w:spacing w:after="60" w:line="240" w:lineRule="auto"/>
        <w:jc w:val="left"/>
        <w:rPr>
          <w:rFonts w:ascii="Avenir Book" w:hAnsi="Avenir Book" w:cs="Calibri"/>
          <w:sz w:val="22"/>
          <w:szCs w:val="22"/>
        </w:rPr>
      </w:pPr>
      <w:r w:rsidRPr="00EA5017">
        <w:rPr>
          <w:rFonts w:ascii="Avenir Book" w:hAnsi="Avenir Book" w:cs="Calibri"/>
          <w:sz w:val="22"/>
          <w:szCs w:val="22"/>
        </w:rPr>
        <w:t>the development of genuine community-based housing and support options that facilitate autonomy, freedom and community inclusion;</w:t>
      </w:r>
    </w:p>
    <w:p w14:paraId="793A776F" w14:textId="67ECA8E4" w:rsidR="004957C6" w:rsidRPr="00EA5017" w:rsidRDefault="004957C6" w:rsidP="00EA5017">
      <w:pPr>
        <w:pStyle w:val="ListParagraph"/>
        <w:numPr>
          <w:ilvl w:val="0"/>
          <w:numId w:val="42"/>
        </w:numPr>
        <w:spacing w:after="60" w:line="240" w:lineRule="auto"/>
        <w:jc w:val="left"/>
        <w:rPr>
          <w:rFonts w:ascii="Avenir Book" w:hAnsi="Avenir Book" w:cs="Calibri"/>
          <w:sz w:val="22"/>
          <w:szCs w:val="22"/>
        </w:rPr>
      </w:pPr>
      <w:r w:rsidRPr="00EA5017">
        <w:rPr>
          <w:rFonts w:ascii="Avenir Book" w:hAnsi="Avenir Book" w:cs="Calibri"/>
          <w:sz w:val="22"/>
          <w:szCs w:val="22"/>
        </w:rPr>
        <w:t>an increase in the range, affordability and accessibility of pubic and social housing;</w:t>
      </w:r>
    </w:p>
    <w:p w14:paraId="26CC5D19" w14:textId="4D322BE1" w:rsidR="00EA5017" w:rsidRPr="00EA5017" w:rsidRDefault="004957C6" w:rsidP="00EA5017">
      <w:pPr>
        <w:pStyle w:val="ListParagraph"/>
        <w:numPr>
          <w:ilvl w:val="0"/>
          <w:numId w:val="42"/>
        </w:numPr>
        <w:spacing w:line="240" w:lineRule="auto"/>
        <w:jc w:val="left"/>
        <w:rPr>
          <w:rFonts w:ascii="Avenir Book" w:hAnsi="Avenir Book" w:cs="Calibri"/>
          <w:sz w:val="22"/>
          <w:szCs w:val="22"/>
        </w:rPr>
      </w:pPr>
      <w:r w:rsidRPr="00EA5017">
        <w:rPr>
          <w:rFonts w:ascii="Avenir Book" w:hAnsi="Avenir Book" w:cs="Calibri"/>
          <w:sz w:val="22"/>
          <w:szCs w:val="22"/>
        </w:rPr>
        <w:t xml:space="preserve">the amendment of the National Construction Code to mandate minimum universal access design features for all new and extensively modified housing. </w:t>
      </w:r>
    </w:p>
    <w:p w14:paraId="18CA4676" w14:textId="77777777" w:rsidR="00EA5017" w:rsidRPr="00EA5017" w:rsidRDefault="00EA5017" w:rsidP="00EA5017">
      <w:pPr>
        <w:pStyle w:val="ListParagraph"/>
        <w:spacing w:line="240" w:lineRule="auto"/>
        <w:ind w:left="1288"/>
        <w:jc w:val="left"/>
        <w:rPr>
          <w:rFonts w:ascii="Avenir Book" w:hAnsi="Avenir Book" w:cs="Calibri"/>
          <w:sz w:val="22"/>
          <w:szCs w:val="22"/>
        </w:rPr>
      </w:pPr>
    </w:p>
    <w:p w14:paraId="564014C7" w14:textId="77777777" w:rsidR="004957C6" w:rsidRPr="00F623C6" w:rsidRDefault="004957C6" w:rsidP="00564172">
      <w:pPr>
        <w:pStyle w:val="ListParagraph"/>
        <w:numPr>
          <w:ilvl w:val="1"/>
          <w:numId w:val="2"/>
        </w:numPr>
        <w:snapToGrid w:val="0"/>
        <w:spacing w:after="60" w:line="240" w:lineRule="auto"/>
        <w:ind w:left="567" w:hanging="567"/>
        <w:contextualSpacing w:val="0"/>
        <w:jc w:val="left"/>
        <w:rPr>
          <w:rFonts w:ascii="Avenir Book" w:hAnsi="Avenir Book" w:cs="Calibri"/>
          <w:sz w:val="22"/>
          <w:szCs w:val="22"/>
        </w:rPr>
      </w:pPr>
      <w:r w:rsidRPr="00F623C6">
        <w:rPr>
          <w:rFonts w:ascii="Avenir Book" w:hAnsi="Avenir Book" w:cs="Calibri"/>
          <w:sz w:val="22"/>
          <w:szCs w:val="22"/>
        </w:rPr>
        <w:lastRenderedPageBreak/>
        <w:t>The next ten-year National Disability Strategy (NDS) should recognise that the right to live independently and be included in the community is integral to achieving all NDS outcome areas, and should significantly increase its commitment and coordinated actions, including by:</w:t>
      </w:r>
    </w:p>
    <w:p w14:paraId="7369EFC1" w14:textId="77777777" w:rsidR="004957C6" w:rsidRPr="00EA5017" w:rsidRDefault="004957C6" w:rsidP="00EA5017">
      <w:pPr>
        <w:pStyle w:val="ListParagraph"/>
        <w:numPr>
          <w:ilvl w:val="0"/>
          <w:numId w:val="38"/>
        </w:numPr>
        <w:spacing w:after="60" w:line="240" w:lineRule="auto"/>
        <w:jc w:val="left"/>
        <w:rPr>
          <w:rFonts w:ascii="Avenir Book" w:hAnsi="Avenir Book" w:cs="Calibri"/>
          <w:sz w:val="22"/>
          <w:szCs w:val="22"/>
        </w:rPr>
      </w:pPr>
      <w:r w:rsidRPr="00EA5017">
        <w:rPr>
          <w:rFonts w:ascii="Avenir Book" w:hAnsi="Avenir Book" w:cs="Calibri"/>
          <w:sz w:val="22"/>
          <w:szCs w:val="22"/>
        </w:rPr>
        <w:t xml:space="preserve">ensuring the NDS is underpinned by strong commitment to implementation of the full range of rights contained in the CRPD, including mechanisms for close consultation and active participation of people with disability through their representative organisations; </w:t>
      </w:r>
    </w:p>
    <w:p w14:paraId="421FBAAC" w14:textId="77777777" w:rsidR="004957C6" w:rsidRPr="00EA5017" w:rsidRDefault="004957C6" w:rsidP="00EA5017">
      <w:pPr>
        <w:pStyle w:val="ListParagraph"/>
        <w:numPr>
          <w:ilvl w:val="0"/>
          <w:numId w:val="38"/>
        </w:numPr>
        <w:spacing w:after="60" w:line="240" w:lineRule="auto"/>
        <w:jc w:val="left"/>
        <w:rPr>
          <w:rFonts w:ascii="Avenir Book" w:hAnsi="Avenir Book" w:cs="Calibri"/>
          <w:sz w:val="22"/>
          <w:szCs w:val="22"/>
        </w:rPr>
      </w:pPr>
      <w:r w:rsidRPr="00EA5017">
        <w:rPr>
          <w:rFonts w:ascii="Avenir Book" w:hAnsi="Avenir Book" w:cs="Calibri"/>
          <w:sz w:val="22"/>
          <w:szCs w:val="22"/>
        </w:rPr>
        <w:t>establishing a centralised coordination mechanism, such as an independent Office of Disability Inclusion to drive the NDS across government and to ensure CRPD compliance;</w:t>
      </w:r>
    </w:p>
    <w:p w14:paraId="56492031" w14:textId="77777777" w:rsidR="004957C6" w:rsidRPr="00EA5017" w:rsidRDefault="004957C6" w:rsidP="00EA5017">
      <w:pPr>
        <w:pStyle w:val="ListParagraph"/>
        <w:numPr>
          <w:ilvl w:val="0"/>
          <w:numId w:val="38"/>
        </w:numPr>
        <w:spacing w:after="60" w:line="240" w:lineRule="auto"/>
        <w:jc w:val="left"/>
        <w:rPr>
          <w:rFonts w:ascii="Avenir Book" w:hAnsi="Avenir Book" w:cs="Calibri"/>
          <w:sz w:val="22"/>
          <w:szCs w:val="22"/>
        </w:rPr>
      </w:pPr>
      <w:r w:rsidRPr="00EA5017">
        <w:rPr>
          <w:rFonts w:ascii="Avenir Book" w:hAnsi="Avenir Book" w:cs="Calibri"/>
          <w:sz w:val="22"/>
          <w:szCs w:val="22"/>
        </w:rPr>
        <w:t xml:space="preserve">incorporating measurable outcomes within an accountability, evaluation and reporting framework; </w:t>
      </w:r>
    </w:p>
    <w:p w14:paraId="4E64CB1F" w14:textId="77777777" w:rsidR="004957C6" w:rsidRPr="00EA5017" w:rsidRDefault="004957C6" w:rsidP="00EA5017">
      <w:pPr>
        <w:pStyle w:val="ListParagraph"/>
        <w:numPr>
          <w:ilvl w:val="0"/>
          <w:numId w:val="38"/>
        </w:numPr>
        <w:spacing w:after="60" w:line="240" w:lineRule="auto"/>
        <w:jc w:val="left"/>
        <w:rPr>
          <w:rFonts w:ascii="Avenir Book" w:hAnsi="Avenir Book" w:cs="Calibri"/>
          <w:sz w:val="22"/>
          <w:szCs w:val="22"/>
        </w:rPr>
      </w:pPr>
      <w:r w:rsidRPr="00EA5017">
        <w:rPr>
          <w:rFonts w:ascii="Avenir Book" w:hAnsi="Avenir Book" w:cs="Calibri"/>
          <w:sz w:val="22"/>
          <w:szCs w:val="22"/>
        </w:rPr>
        <w:t xml:space="preserve">incorporating an intersectional framework, which includes gender-specific measures to </w:t>
      </w:r>
      <w:r w:rsidRPr="00EA5017">
        <w:rPr>
          <w:rFonts w:ascii="Avenir Roman" w:hAnsi="Avenir Roman"/>
          <w:sz w:val="22"/>
          <w:szCs w:val="22"/>
        </w:rPr>
        <w:t xml:space="preserve">progress, monitor, review and evaluate actions across all NDS outcome areas; </w:t>
      </w:r>
    </w:p>
    <w:p w14:paraId="0BD13D81" w14:textId="77777777" w:rsidR="004957C6" w:rsidRPr="00EA5017" w:rsidRDefault="004957C6" w:rsidP="00EA5017">
      <w:pPr>
        <w:pStyle w:val="ListParagraph"/>
        <w:numPr>
          <w:ilvl w:val="0"/>
          <w:numId w:val="38"/>
        </w:numPr>
        <w:spacing w:after="60" w:line="240" w:lineRule="auto"/>
        <w:jc w:val="left"/>
        <w:rPr>
          <w:rFonts w:ascii="Avenir Book" w:hAnsi="Avenir Book" w:cs="Calibri"/>
          <w:sz w:val="22"/>
          <w:szCs w:val="22"/>
        </w:rPr>
      </w:pPr>
      <w:r w:rsidRPr="00EA5017">
        <w:rPr>
          <w:rFonts w:ascii="Avenir Book" w:hAnsi="Avenir Book" w:cs="Calibri"/>
          <w:sz w:val="22"/>
          <w:szCs w:val="22"/>
        </w:rPr>
        <w:t>implementing measures to ensure disaggregation of data across all policy areas;</w:t>
      </w:r>
    </w:p>
    <w:p w14:paraId="75313E26" w14:textId="77777777" w:rsidR="004957C6" w:rsidRPr="00EA5017" w:rsidRDefault="004957C6" w:rsidP="00EA5017">
      <w:pPr>
        <w:pStyle w:val="ListParagraph"/>
        <w:numPr>
          <w:ilvl w:val="0"/>
          <w:numId w:val="38"/>
        </w:numPr>
        <w:spacing w:after="60" w:line="240" w:lineRule="auto"/>
        <w:jc w:val="left"/>
        <w:rPr>
          <w:rFonts w:ascii="Avenir Book" w:hAnsi="Avenir Book" w:cs="Calibri"/>
          <w:sz w:val="22"/>
          <w:szCs w:val="22"/>
        </w:rPr>
      </w:pPr>
      <w:r w:rsidRPr="00EA5017">
        <w:rPr>
          <w:rFonts w:ascii="Avenir Book" w:hAnsi="Avenir Book" w:cs="Calibri"/>
          <w:sz w:val="22"/>
          <w:szCs w:val="22"/>
        </w:rPr>
        <w:t>ensuring age-specific and gender-specific actions to prevent and respond to all forms of violence, abuse, neglect and exploitation of people with disability;</w:t>
      </w:r>
    </w:p>
    <w:p w14:paraId="7D2A3229" w14:textId="77777777" w:rsidR="004957C6" w:rsidRPr="00EA5017" w:rsidRDefault="004957C6" w:rsidP="00EA5017">
      <w:pPr>
        <w:pStyle w:val="ListParagraph"/>
        <w:numPr>
          <w:ilvl w:val="0"/>
          <w:numId w:val="38"/>
        </w:numPr>
        <w:spacing w:after="60" w:line="240" w:lineRule="auto"/>
        <w:jc w:val="left"/>
        <w:rPr>
          <w:rFonts w:ascii="Avenir Book" w:hAnsi="Avenir Book" w:cs="Calibri"/>
          <w:i/>
          <w:sz w:val="22"/>
          <w:szCs w:val="22"/>
        </w:rPr>
      </w:pPr>
      <w:r w:rsidRPr="00EA5017">
        <w:rPr>
          <w:rFonts w:ascii="Avenir Book" w:hAnsi="Avenir Book" w:cs="Calibri"/>
          <w:sz w:val="22"/>
          <w:szCs w:val="22"/>
        </w:rPr>
        <w:t xml:space="preserve">developing strong linkages with other national plans and frameworks, such as the </w:t>
      </w:r>
      <w:r w:rsidRPr="00EA5017">
        <w:rPr>
          <w:rFonts w:ascii="Avenir Book" w:hAnsi="Avenir Book" w:cs="Calibri"/>
          <w:i/>
          <w:sz w:val="22"/>
          <w:szCs w:val="22"/>
        </w:rPr>
        <w:t>National Plan to Reduce Violence against Women and Their Children</w:t>
      </w:r>
      <w:r w:rsidRPr="00EA5017">
        <w:rPr>
          <w:rFonts w:ascii="Avenir Book" w:hAnsi="Avenir Book" w:cs="Calibri"/>
          <w:sz w:val="22"/>
          <w:szCs w:val="22"/>
        </w:rPr>
        <w:t xml:space="preserve">, the </w:t>
      </w:r>
      <w:r w:rsidRPr="00EA5017">
        <w:rPr>
          <w:rFonts w:ascii="Avenir Book" w:hAnsi="Avenir Book" w:cs="Calibri"/>
          <w:i/>
          <w:sz w:val="22"/>
          <w:szCs w:val="22"/>
        </w:rPr>
        <w:t>National Framework for Protecting Australia’s Children;</w:t>
      </w:r>
    </w:p>
    <w:p w14:paraId="56D3408F" w14:textId="77777777" w:rsidR="004957C6" w:rsidRPr="00EA5017" w:rsidRDefault="004957C6" w:rsidP="00EA5017">
      <w:pPr>
        <w:pStyle w:val="ListParagraph"/>
        <w:numPr>
          <w:ilvl w:val="0"/>
          <w:numId w:val="38"/>
        </w:numPr>
        <w:spacing w:after="60" w:line="240" w:lineRule="auto"/>
        <w:jc w:val="left"/>
        <w:rPr>
          <w:rFonts w:ascii="Avenir Book" w:hAnsi="Avenir Book" w:cs="Calibri"/>
          <w:i/>
          <w:sz w:val="22"/>
          <w:szCs w:val="22"/>
        </w:rPr>
      </w:pPr>
      <w:r w:rsidRPr="00EA5017">
        <w:rPr>
          <w:rFonts w:ascii="Avenir Book" w:hAnsi="Avenir Book" w:cs="Calibri"/>
          <w:sz w:val="22"/>
          <w:szCs w:val="22"/>
        </w:rPr>
        <w:t>implementing measures to achieve commitments under the Sustainable Development Goals, particularly in relation to ending poverty and inequality, including gender inequality;</w:t>
      </w:r>
    </w:p>
    <w:p w14:paraId="3B7624D7" w14:textId="7195BE41" w:rsidR="000709B9" w:rsidRPr="00EA5017" w:rsidRDefault="004957C6" w:rsidP="00EA5017">
      <w:pPr>
        <w:pStyle w:val="ListParagraph"/>
        <w:numPr>
          <w:ilvl w:val="0"/>
          <w:numId w:val="38"/>
        </w:numPr>
        <w:spacing w:line="240" w:lineRule="auto"/>
        <w:jc w:val="left"/>
        <w:rPr>
          <w:rFonts w:ascii="Avenir Book" w:hAnsi="Avenir Book" w:cs="Calibri"/>
          <w:i/>
          <w:sz w:val="22"/>
          <w:szCs w:val="22"/>
        </w:rPr>
      </w:pPr>
      <w:r w:rsidRPr="00EA5017">
        <w:rPr>
          <w:rFonts w:ascii="Avenir Book" w:hAnsi="Avenir Book" w:cs="Calibri"/>
          <w:sz w:val="22"/>
          <w:szCs w:val="22"/>
        </w:rPr>
        <w:t xml:space="preserve">ensuring research, development and implementation of universal design standards to achieve accessibility and community inclusion in all areas of life. </w:t>
      </w:r>
    </w:p>
    <w:p w14:paraId="18B0BCB3" w14:textId="77777777" w:rsidR="000709B9" w:rsidRPr="000709B9" w:rsidRDefault="000709B9" w:rsidP="000709B9">
      <w:pPr>
        <w:pStyle w:val="ListParagraph"/>
        <w:spacing w:line="240" w:lineRule="auto"/>
        <w:ind w:left="851"/>
        <w:jc w:val="left"/>
        <w:rPr>
          <w:rFonts w:ascii="Avenir Book" w:hAnsi="Avenir Book" w:cs="Calibri"/>
          <w:i/>
          <w:sz w:val="22"/>
          <w:szCs w:val="22"/>
        </w:rPr>
      </w:pPr>
    </w:p>
    <w:p w14:paraId="4D58C1D2" w14:textId="17669941" w:rsidR="00114D98" w:rsidRPr="00114D98" w:rsidRDefault="00114D98" w:rsidP="00564172">
      <w:pPr>
        <w:pStyle w:val="ListParagraph"/>
        <w:numPr>
          <w:ilvl w:val="1"/>
          <w:numId w:val="2"/>
        </w:numPr>
        <w:spacing w:after="60" w:line="240" w:lineRule="auto"/>
        <w:ind w:left="567" w:hanging="567"/>
        <w:contextualSpacing w:val="0"/>
        <w:jc w:val="left"/>
        <w:rPr>
          <w:rFonts w:ascii="Avenir Book" w:hAnsi="Avenir Book" w:cstheme="minorHAnsi"/>
          <w:sz w:val="22"/>
          <w:szCs w:val="22"/>
        </w:rPr>
      </w:pPr>
      <w:r w:rsidRPr="00114D98">
        <w:rPr>
          <w:rFonts w:ascii="Avenir Book" w:hAnsi="Avenir Book" w:cs="Calibri"/>
          <w:sz w:val="22"/>
          <w:szCs w:val="22"/>
        </w:rPr>
        <w:t>In line with its Terms of Reference, which are based in the context of the CRPD, the Royal Commission should:</w:t>
      </w:r>
    </w:p>
    <w:p w14:paraId="61107439" w14:textId="77777777" w:rsidR="00114D98" w:rsidRPr="00EA5017" w:rsidRDefault="00114D98" w:rsidP="00EA5017">
      <w:pPr>
        <w:pStyle w:val="ListParagraph"/>
        <w:numPr>
          <w:ilvl w:val="0"/>
          <w:numId w:val="37"/>
        </w:numPr>
        <w:snapToGrid w:val="0"/>
        <w:spacing w:after="60" w:line="240" w:lineRule="auto"/>
        <w:jc w:val="left"/>
        <w:rPr>
          <w:rFonts w:ascii="Avenir Book" w:hAnsi="Avenir Book" w:cs="Calibri"/>
          <w:sz w:val="22"/>
          <w:szCs w:val="22"/>
        </w:rPr>
      </w:pPr>
      <w:r w:rsidRPr="00EA5017">
        <w:rPr>
          <w:rFonts w:ascii="Avenir Book" w:hAnsi="Avenir Book" w:cs="Calibri"/>
          <w:sz w:val="22"/>
          <w:szCs w:val="22"/>
        </w:rPr>
        <w:t xml:space="preserve">explicitly recognise intersectionality as a key aspect of the human rights approach to disability; </w:t>
      </w:r>
    </w:p>
    <w:p w14:paraId="4F478DDE" w14:textId="77777777" w:rsidR="00114D98" w:rsidRPr="00EA5017" w:rsidRDefault="00114D98" w:rsidP="00EA5017">
      <w:pPr>
        <w:pStyle w:val="ListParagraph"/>
        <w:numPr>
          <w:ilvl w:val="0"/>
          <w:numId w:val="37"/>
        </w:numPr>
        <w:snapToGrid w:val="0"/>
        <w:spacing w:after="60" w:line="240" w:lineRule="auto"/>
        <w:jc w:val="left"/>
        <w:rPr>
          <w:rFonts w:ascii="Avenir Book" w:hAnsi="Avenir Book" w:cs="Calibri"/>
          <w:sz w:val="22"/>
          <w:szCs w:val="22"/>
        </w:rPr>
      </w:pPr>
      <w:r w:rsidRPr="00EA5017">
        <w:rPr>
          <w:rFonts w:ascii="Avenir Book" w:hAnsi="Avenir Book" w:cs="Calibri"/>
          <w:sz w:val="22"/>
          <w:szCs w:val="22"/>
        </w:rPr>
        <w:t>ensure that an intersectional analysis is integral to all its work (including reports, community forums, stakeholder engagement, Hearings, publications, findings and recommendations);</w:t>
      </w:r>
    </w:p>
    <w:p w14:paraId="16C97D09" w14:textId="5500C6FA" w:rsidR="00114D98" w:rsidRPr="00EA5017" w:rsidRDefault="00114D98" w:rsidP="00EA5017">
      <w:pPr>
        <w:pStyle w:val="ListParagraph"/>
        <w:numPr>
          <w:ilvl w:val="0"/>
          <w:numId w:val="37"/>
        </w:numPr>
        <w:spacing w:line="240" w:lineRule="auto"/>
        <w:jc w:val="left"/>
        <w:rPr>
          <w:rFonts w:ascii="Avenir Book" w:hAnsi="Avenir Book" w:cs="Calibri"/>
          <w:sz w:val="22"/>
          <w:szCs w:val="22"/>
        </w:rPr>
      </w:pPr>
      <w:r w:rsidRPr="00EA5017">
        <w:rPr>
          <w:rFonts w:ascii="Avenir Book" w:hAnsi="Avenir Book" w:cs="Calibri"/>
          <w:sz w:val="22"/>
          <w:szCs w:val="22"/>
        </w:rPr>
        <w:t xml:space="preserve">identify, examine and address the specific </w:t>
      </w:r>
      <w:r w:rsidRPr="00EA5017">
        <w:rPr>
          <w:rFonts w:ascii="Avenir Book" w:hAnsi="Avenir Book"/>
          <w:sz w:val="22"/>
          <w:szCs w:val="22"/>
        </w:rPr>
        <w:t>issues, barriers, discrimination and human rights violations across all areas for women and girls with disability, as well as those that are specific to women and girls and/or that disproportionally affect women and girls with disability.</w:t>
      </w:r>
    </w:p>
    <w:p w14:paraId="19DE4C60" w14:textId="77777777" w:rsidR="000709B9" w:rsidRPr="000709B9" w:rsidRDefault="000709B9" w:rsidP="000709B9">
      <w:pPr>
        <w:pStyle w:val="ListParagraph"/>
        <w:spacing w:line="240" w:lineRule="auto"/>
        <w:ind w:left="851"/>
        <w:jc w:val="left"/>
        <w:rPr>
          <w:rFonts w:ascii="Avenir Book" w:hAnsi="Avenir Book" w:cs="Calibri"/>
          <w:sz w:val="22"/>
          <w:szCs w:val="22"/>
        </w:rPr>
      </w:pPr>
    </w:p>
    <w:p w14:paraId="6072CDAA" w14:textId="212B041D" w:rsidR="00525140" w:rsidRPr="000709B9" w:rsidRDefault="00114D98" w:rsidP="00564172">
      <w:pPr>
        <w:pStyle w:val="ListParagraph"/>
        <w:numPr>
          <w:ilvl w:val="1"/>
          <w:numId w:val="2"/>
        </w:numPr>
        <w:spacing w:after="60" w:line="240" w:lineRule="auto"/>
        <w:ind w:left="567" w:hanging="567"/>
        <w:jc w:val="left"/>
        <w:rPr>
          <w:rFonts w:ascii="Avenir Book" w:hAnsi="Avenir Book" w:cstheme="minorHAnsi"/>
          <w:sz w:val="22"/>
          <w:szCs w:val="22"/>
        </w:rPr>
      </w:pPr>
      <w:r w:rsidRPr="00114D98">
        <w:rPr>
          <w:rFonts w:ascii="Avenir Book" w:hAnsi="Avenir Book" w:cs="Calibri"/>
          <w:sz w:val="22"/>
          <w:szCs w:val="22"/>
        </w:rPr>
        <w:t xml:space="preserve">The Royal Commission should establish an expert advisory group of women and girls with disability and our representative organisations to provide advice on the situation of women and girls with disability in all areas, to provide advice on specific areas of examination that disproportionately impact on women and girls with disability, to provide advice on the process of examinations, findings and recommendations, and on other related matters. </w:t>
      </w:r>
    </w:p>
    <w:p w14:paraId="0A499572" w14:textId="77777777" w:rsidR="000709B9" w:rsidRPr="000709B9" w:rsidRDefault="000709B9" w:rsidP="000709B9">
      <w:pPr>
        <w:pStyle w:val="ListParagraph"/>
        <w:spacing w:after="60" w:line="240" w:lineRule="auto"/>
        <w:ind w:left="567"/>
        <w:jc w:val="left"/>
        <w:rPr>
          <w:rFonts w:ascii="Avenir Book" w:hAnsi="Avenir Book" w:cstheme="minorHAnsi"/>
          <w:sz w:val="22"/>
          <w:szCs w:val="22"/>
        </w:rPr>
      </w:pPr>
    </w:p>
    <w:p w14:paraId="70F392F5" w14:textId="77777777" w:rsidR="000709B9" w:rsidRDefault="000709B9">
      <w:pPr>
        <w:rPr>
          <w:rFonts w:ascii="Avenir Book" w:hAnsi="Avenir Book" w:cs="Calibri"/>
          <w:sz w:val="22"/>
          <w:szCs w:val="22"/>
        </w:rPr>
      </w:pPr>
      <w:r>
        <w:rPr>
          <w:rFonts w:ascii="Avenir Book" w:hAnsi="Avenir Book" w:cs="Calibri"/>
          <w:sz w:val="22"/>
          <w:szCs w:val="22"/>
        </w:rPr>
        <w:br w:type="page"/>
      </w:r>
    </w:p>
    <w:p w14:paraId="3A60BCF9" w14:textId="43F6DFC6" w:rsidR="00114D98" w:rsidRPr="00525140" w:rsidRDefault="00114D98" w:rsidP="00564172">
      <w:pPr>
        <w:pStyle w:val="ListParagraph"/>
        <w:numPr>
          <w:ilvl w:val="1"/>
          <w:numId w:val="2"/>
        </w:numPr>
        <w:spacing w:after="60" w:line="240" w:lineRule="auto"/>
        <w:ind w:left="567" w:hanging="567"/>
        <w:jc w:val="left"/>
        <w:rPr>
          <w:rFonts w:ascii="Avenir Book" w:hAnsi="Avenir Book" w:cstheme="minorHAnsi"/>
          <w:sz w:val="22"/>
          <w:szCs w:val="22"/>
        </w:rPr>
      </w:pPr>
      <w:r w:rsidRPr="00114D98">
        <w:rPr>
          <w:rFonts w:ascii="Avenir Book" w:hAnsi="Avenir Book" w:cs="Calibri"/>
          <w:sz w:val="22"/>
          <w:szCs w:val="22"/>
        </w:rPr>
        <w:lastRenderedPageBreak/>
        <w:t xml:space="preserve">The Royal Commission, in consultation with women with disability and our representative organisations should conduct a stand-alone Public Hearing, as well as forums, roundtables and other engagement activities to </w:t>
      </w:r>
      <w:r w:rsidRPr="00114D98">
        <w:rPr>
          <w:rFonts w:ascii="Avenir Book" w:hAnsi="Avenir Book"/>
          <w:sz w:val="22"/>
          <w:szCs w:val="22"/>
        </w:rPr>
        <w:t xml:space="preserve">examine the specific experiences of women and girls with disability in relation to violence, abuse, neglect and exploitation.  </w:t>
      </w:r>
    </w:p>
    <w:p w14:paraId="22C49149" w14:textId="77777777" w:rsidR="00525140" w:rsidRPr="00525140" w:rsidRDefault="00525140" w:rsidP="000709B9">
      <w:pPr>
        <w:pStyle w:val="ListParagraph"/>
        <w:spacing w:line="240" w:lineRule="auto"/>
        <w:jc w:val="left"/>
        <w:rPr>
          <w:rFonts w:ascii="Avenir Book" w:hAnsi="Avenir Book" w:cstheme="minorHAnsi"/>
          <w:sz w:val="22"/>
          <w:szCs w:val="22"/>
        </w:rPr>
      </w:pPr>
    </w:p>
    <w:p w14:paraId="714D6A4C" w14:textId="3F6FF9B0" w:rsidR="00114D98" w:rsidRPr="00D71C5D" w:rsidRDefault="00114D98" w:rsidP="00564172">
      <w:pPr>
        <w:pStyle w:val="ListParagraph"/>
        <w:numPr>
          <w:ilvl w:val="1"/>
          <w:numId w:val="2"/>
        </w:numPr>
        <w:spacing w:after="60" w:line="240" w:lineRule="auto"/>
        <w:ind w:left="567" w:hanging="567"/>
        <w:jc w:val="left"/>
        <w:rPr>
          <w:rFonts w:ascii="Avenir Book" w:hAnsi="Avenir Book" w:cstheme="minorHAnsi"/>
          <w:sz w:val="22"/>
          <w:szCs w:val="22"/>
        </w:rPr>
      </w:pPr>
      <w:r w:rsidRPr="00525140">
        <w:rPr>
          <w:rFonts w:ascii="Avenir Book" w:hAnsi="Avenir Book" w:cs="Calibri"/>
          <w:sz w:val="22"/>
          <w:szCs w:val="22"/>
        </w:rPr>
        <w:t>In the context of living arrangements, including group homes, the Royal Commission should not only examine the incidence, impact and response to domestic and family violence, but should also examine the incidence, impact and response to violations of sexual and reproductive autonomy as well as harmful gender norms, gender stereotyping and microaggressions.</w:t>
      </w:r>
    </w:p>
    <w:p w14:paraId="09F0AD5E" w14:textId="77777777" w:rsidR="00D71C5D" w:rsidRPr="00D71C5D" w:rsidRDefault="00D71C5D" w:rsidP="00D71C5D">
      <w:pPr>
        <w:pStyle w:val="ListParagraph"/>
        <w:rPr>
          <w:rFonts w:ascii="Avenir Book" w:hAnsi="Avenir Book" w:cstheme="minorHAnsi"/>
          <w:sz w:val="22"/>
          <w:szCs w:val="22"/>
        </w:rPr>
      </w:pPr>
    </w:p>
    <w:p w14:paraId="405628B6" w14:textId="77777777" w:rsidR="00525140" w:rsidRPr="00D71C5D" w:rsidRDefault="00525140" w:rsidP="00564172">
      <w:pPr>
        <w:pStyle w:val="ListParagraph"/>
        <w:numPr>
          <w:ilvl w:val="1"/>
          <w:numId w:val="2"/>
        </w:numPr>
        <w:spacing w:after="60" w:line="240" w:lineRule="auto"/>
        <w:ind w:left="567" w:hanging="567"/>
        <w:contextualSpacing w:val="0"/>
        <w:jc w:val="left"/>
        <w:rPr>
          <w:rFonts w:ascii="Avenir Book" w:hAnsi="Avenir Book" w:cstheme="minorHAnsi"/>
          <w:sz w:val="22"/>
          <w:szCs w:val="22"/>
        </w:rPr>
      </w:pPr>
      <w:r w:rsidRPr="00D71C5D">
        <w:rPr>
          <w:rFonts w:ascii="Avenir Book" w:hAnsi="Avenir Book" w:cstheme="minorHAnsi"/>
          <w:sz w:val="22"/>
          <w:szCs w:val="22"/>
        </w:rPr>
        <w:t>The Royal Commission should:</w:t>
      </w:r>
    </w:p>
    <w:p w14:paraId="4464A57C" w14:textId="77777777" w:rsidR="00525140" w:rsidRPr="00EA5017" w:rsidRDefault="00525140" w:rsidP="00EA5017">
      <w:pPr>
        <w:pStyle w:val="ListParagraph"/>
        <w:numPr>
          <w:ilvl w:val="0"/>
          <w:numId w:val="36"/>
        </w:numPr>
        <w:spacing w:after="60" w:line="240" w:lineRule="auto"/>
        <w:jc w:val="left"/>
        <w:rPr>
          <w:rFonts w:ascii="Avenir Book" w:hAnsi="Avenir Book" w:cs="Calibri"/>
          <w:sz w:val="22"/>
          <w:szCs w:val="22"/>
        </w:rPr>
      </w:pPr>
      <w:r w:rsidRPr="00EA5017">
        <w:rPr>
          <w:rFonts w:ascii="Avenir Book" w:hAnsi="Avenir Book" w:cs="Calibri"/>
          <w:sz w:val="22"/>
          <w:szCs w:val="22"/>
        </w:rPr>
        <w:t>recognise ableism and intersecting forms of inequality and discrimination as the underlying drivers of violence, abuse, neglect and exploitation of people with disability, including women and girls with disability;</w:t>
      </w:r>
    </w:p>
    <w:p w14:paraId="642D57F1" w14:textId="77777777" w:rsidR="00525140" w:rsidRPr="00EA5017" w:rsidRDefault="00525140" w:rsidP="00EA5017">
      <w:pPr>
        <w:pStyle w:val="ListParagraph"/>
        <w:numPr>
          <w:ilvl w:val="0"/>
          <w:numId w:val="36"/>
        </w:numPr>
        <w:spacing w:after="60" w:line="240" w:lineRule="auto"/>
        <w:jc w:val="left"/>
        <w:rPr>
          <w:rFonts w:ascii="Avenir Book" w:hAnsi="Avenir Book" w:cs="Calibri"/>
          <w:sz w:val="22"/>
          <w:szCs w:val="22"/>
        </w:rPr>
      </w:pPr>
      <w:r w:rsidRPr="00EA5017">
        <w:rPr>
          <w:rFonts w:ascii="Avenir Book" w:hAnsi="Avenir Book" w:cs="Calibri"/>
          <w:sz w:val="22"/>
          <w:szCs w:val="22"/>
        </w:rPr>
        <w:t xml:space="preserve">recognise that segregated living arrangements constitute discrimination, and facilitate violence, abuse, neglect and exploitation; </w:t>
      </w:r>
    </w:p>
    <w:p w14:paraId="3A93A6D9" w14:textId="77777777" w:rsidR="00525140" w:rsidRPr="00EA5017" w:rsidRDefault="00525140" w:rsidP="00EA5017">
      <w:pPr>
        <w:pStyle w:val="ListParagraph"/>
        <w:numPr>
          <w:ilvl w:val="0"/>
          <w:numId w:val="36"/>
        </w:numPr>
        <w:spacing w:after="60" w:line="240" w:lineRule="auto"/>
        <w:jc w:val="left"/>
        <w:rPr>
          <w:rFonts w:ascii="Avenir Book" w:hAnsi="Avenir Book" w:cs="Calibri"/>
          <w:sz w:val="22"/>
          <w:szCs w:val="22"/>
        </w:rPr>
      </w:pPr>
      <w:r w:rsidRPr="00EA5017">
        <w:rPr>
          <w:rFonts w:ascii="Avenir Book" w:hAnsi="Avenir Book" w:cs="Calibri"/>
          <w:sz w:val="22"/>
          <w:szCs w:val="22"/>
        </w:rPr>
        <w:t>examine how ableism and intersecting forms of inequality and discrimination operate within Australian legal, policy and practice frameworks and through community attitudes generally, and how they underpin violence, abuse, neglect and exploitation;</w:t>
      </w:r>
    </w:p>
    <w:p w14:paraId="0C793D8B" w14:textId="266C40C3" w:rsidR="00525140" w:rsidRPr="00EA5017" w:rsidRDefault="00525140" w:rsidP="00EA5017">
      <w:pPr>
        <w:pStyle w:val="ListParagraph"/>
        <w:numPr>
          <w:ilvl w:val="0"/>
          <w:numId w:val="36"/>
        </w:numPr>
        <w:spacing w:line="240" w:lineRule="auto"/>
        <w:jc w:val="left"/>
        <w:rPr>
          <w:rFonts w:ascii="Avenir Book" w:hAnsi="Avenir Book" w:cs="Calibri"/>
          <w:sz w:val="22"/>
          <w:szCs w:val="22"/>
        </w:rPr>
      </w:pPr>
      <w:r w:rsidRPr="00EA5017">
        <w:rPr>
          <w:rFonts w:ascii="Avenir Book" w:hAnsi="Avenir Book" w:cs="Calibri"/>
          <w:sz w:val="22"/>
          <w:szCs w:val="22"/>
        </w:rPr>
        <w:t>make recommendations that address the root causes of violence, abuse, neglect and exploitation and that facilitate large scale responses and social transformation.</w:t>
      </w:r>
    </w:p>
    <w:p w14:paraId="21FD4891" w14:textId="77777777" w:rsidR="00D71C5D" w:rsidRPr="00D71C5D" w:rsidRDefault="00D71C5D" w:rsidP="00D71C5D">
      <w:pPr>
        <w:pStyle w:val="ListParagraph"/>
        <w:spacing w:line="240" w:lineRule="auto"/>
        <w:ind w:left="851"/>
        <w:jc w:val="left"/>
        <w:rPr>
          <w:rFonts w:ascii="Avenir Book" w:hAnsi="Avenir Book" w:cs="Calibri"/>
          <w:sz w:val="22"/>
          <w:szCs w:val="22"/>
        </w:rPr>
      </w:pPr>
    </w:p>
    <w:p w14:paraId="223ABEE9" w14:textId="77777777" w:rsidR="00525140" w:rsidRPr="005025C4" w:rsidRDefault="00525140" w:rsidP="00564172">
      <w:pPr>
        <w:pStyle w:val="ListParagraph"/>
        <w:numPr>
          <w:ilvl w:val="1"/>
          <w:numId w:val="2"/>
        </w:numPr>
        <w:spacing w:after="60" w:line="240" w:lineRule="auto"/>
        <w:ind w:left="567" w:hanging="567"/>
        <w:contextualSpacing w:val="0"/>
        <w:jc w:val="left"/>
        <w:rPr>
          <w:rFonts w:ascii="Avenir Book" w:hAnsi="Avenir Book" w:cstheme="minorHAnsi"/>
          <w:sz w:val="22"/>
          <w:szCs w:val="22"/>
        </w:rPr>
      </w:pPr>
      <w:r w:rsidRPr="005025C4">
        <w:rPr>
          <w:rFonts w:ascii="Avenir Book" w:hAnsi="Avenir Book" w:cs="Calibri"/>
          <w:sz w:val="22"/>
          <w:szCs w:val="22"/>
        </w:rPr>
        <w:t>A coordinated, nationally consistent violence prevention and response strategy should be developed by Australian governments, with active participation of people with disability, that comprehensively combats ableism and intersecting forms of inequality and discrimination through a range of measures aimed at social transformation, such as through:</w:t>
      </w:r>
    </w:p>
    <w:p w14:paraId="42BABA13" w14:textId="77777777" w:rsidR="00525140" w:rsidRPr="00EA5017" w:rsidRDefault="00525140" w:rsidP="00EA5017">
      <w:pPr>
        <w:pStyle w:val="ListParagraph"/>
        <w:numPr>
          <w:ilvl w:val="0"/>
          <w:numId w:val="35"/>
        </w:numPr>
        <w:snapToGrid w:val="0"/>
        <w:spacing w:after="60" w:line="240" w:lineRule="auto"/>
        <w:jc w:val="left"/>
        <w:rPr>
          <w:rFonts w:ascii="Avenir Book" w:hAnsi="Avenir Book" w:cs="Calibri"/>
          <w:sz w:val="22"/>
          <w:szCs w:val="22"/>
        </w:rPr>
      </w:pPr>
      <w:r w:rsidRPr="00EA5017">
        <w:rPr>
          <w:rFonts w:ascii="Avenir Book" w:hAnsi="Avenir Book" w:cs="Calibri"/>
          <w:sz w:val="22"/>
          <w:szCs w:val="22"/>
        </w:rPr>
        <w:t>Review, amendment or repeal of laws, policies and practice that do not comply with the CRPD and that give rise to violence, abuse, neglect and exploitation of people with disability, including women and girls with disability;</w:t>
      </w:r>
    </w:p>
    <w:p w14:paraId="1081450B" w14:textId="77777777" w:rsidR="00525140" w:rsidRPr="00EA5017" w:rsidRDefault="00525140" w:rsidP="00EA5017">
      <w:pPr>
        <w:pStyle w:val="ListParagraph"/>
        <w:numPr>
          <w:ilvl w:val="0"/>
          <w:numId w:val="35"/>
        </w:numPr>
        <w:snapToGrid w:val="0"/>
        <w:spacing w:after="60" w:line="240" w:lineRule="auto"/>
        <w:jc w:val="left"/>
        <w:rPr>
          <w:rFonts w:ascii="Avenir Book" w:hAnsi="Avenir Book" w:cs="Calibri"/>
          <w:sz w:val="22"/>
          <w:szCs w:val="22"/>
        </w:rPr>
      </w:pPr>
      <w:r w:rsidRPr="00EA5017">
        <w:rPr>
          <w:rFonts w:ascii="Avenir Book" w:hAnsi="Avenir Book" w:cs="Calibri"/>
          <w:sz w:val="22"/>
          <w:szCs w:val="22"/>
        </w:rPr>
        <w:t xml:space="preserve">Establishing independent bodies, such as an independent Office of Disability Inclusion, to drive and coordinate intersectional research and policy and law reform; </w:t>
      </w:r>
    </w:p>
    <w:p w14:paraId="4A427E2D" w14:textId="77777777" w:rsidR="00525140" w:rsidRPr="00EA5017" w:rsidRDefault="00525140" w:rsidP="00EA5017">
      <w:pPr>
        <w:pStyle w:val="ListParagraph"/>
        <w:numPr>
          <w:ilvl w:val="0"/>
          <w:numId w:val="35"/>
        </w:numPr>
        <w:snapToGrid w:val="0"/>
        <w:spacing w:after="60" w:line="240" w:lineRule="auto"/>
        <w:jc w:val="left"/>
        <w:rPr>
          <w:rFonts w:ascii="Avenir Book" w:hAnsi="Avenir Book" w:cs="Calibri"/>
          <w:sz w:val="22"/>
          <w:szCs w:val="22"/>
        </w:rPr>
      </w:pPr>
      <w:r w:rsidRPr="00EA5017">
        <w:rPr>
          <w:rFonts w:ascii="Avenir Book" w:hAnsi="Avenir Book" w:cs="Calibri"/>
          <w:sz w:val="22"/>
          <w:szCs w:val="22"/>
        </w:rPr>
        <w:t xml:space="preserve">Co-designed violence prevention and response programs and resources; </w:t>
      </w:r>
    </w:p>
    <w:p w14:paraId="73EF739D" w14:textId="77777777" w:rsidR="00525140" w:rsidRPr="00EA5017" w:rsidRDefault="00525140" w:rsidP="00EA5017">
      <w:pPr>
        <w:pStyle w:val="ListParagraph"/>
        <w:numPr>
          <w:ilvl w:val="0"/>
          <w:numId w:val="35"/>
        </w:numPr>
        <w:snapToGrid w:val="0"/>
        <w:spacing w:after="60" w:line="240" w:lineRule="auto"/>
        <w:jc w:val="left"/>
        <w:rPr>
          <w:rFonts w:ascii="Avenir Book" w:hAnsi="Avenir Book" w:cs="Calibri"/>
          <w:sz w:val="22"/>
          <w:szCs w:val="22"/>
        </w:rPr>
      </w:pPr>
      <w:r w:rsidRPr="00EA5017">
        <w:rPr>
          <w:rFonts w:ascii="Avenir Book" w:hAnsi="Avenir Book" w:cs="Calibri"/>
          <w:sz w:val="22"/>
          <w:szCs w:val="22"/>
        </w:rPr>
        <w:t>National surveys and awareness raising campaigns;</w:t>
      </w:r>
    </w:p>
    <w:p w14:paraId="4433441F" w14:textId="77777777" w:rsidR="00525140" w:rsidRPr="00EA5017" w:rsidRDefault="00525140" w:rsidP="00EA5017">
      <w:pPr>
        <w:pStyle w:val="ListParagraph"/>
        <w:numPr>
          <w:ilvl w:val="0"/>
          <w:numId w:val="35"/>
        </w:numPr>
        <w:snapToGrid w:val="0"/>
        <w:spacing w:after="60" w:line="240" w:lineRule="auto"/>
        <w:jc w:val="left"/>
        <w:rPr>
          <w:rFonts w:ascii="Avenir Book" w:hAnsi="Avenir Book" w:cs="Calibri"/>
          <w:sz w:val="22"/>
          <w:szCs w:val="22"/>
        </w:rPr>
      </w:pPr>
      <w:r w:rsidRPr="00EA5017">
        <w:rPr>
          <w:rFonts w:ascii="Avenir Book" w:hAnsi="Avenir Book" w:cs="Calibri"/>
          <w:sz w:val="22"/>
          <w:szCs w:val="22"/>
        </w:rPr>
        <w:t>Political commitments and leadership from governments;</w:t>
      </w:r>
    </w:p>
    <w:p w14:paraId="7DC93D4A" w14:textId="77777777" w:rsidR="00525140" w:rsidRPr="00EA5017" w:rsidRDefault="00525140" w:rsidP="00EA5017">
      <w:pPr>
        <w:pStyle w:val="ListParagraph"/>
        <w:numPr>
          <w:ilvl w:val="0"/>
          <w:numId w:val="35"/>
        </w:numPr>
        <w:snapToGrid w:val="0"/>
        <w:spacing w:after="60" w:line="240" w:lineRule="auto"/>
        <w:jc w:val="left"/>
        <w:rPr>
          <w:rFonts w:ascii="Avenir Book" w:hAnsi="Avenir Book" w:cs="Calibri"/>
          <w:sz w:val="22"/>
          <w:szCs w:val="22"/>
        </w:rPr>
      </w:pPr>
      <w:r w:rsidRPr="00EA5017">
        <w:rPr>
          <w:rFonts w:ascii="Avenir Book" w:hAnsi="Avenir Book" w:cs="Calibri"/>
          <w:sz w:val="22"/>
          <w:szCs w:val="22"/>
        </w:rPr>
        <w:t>Budget allocations and resourcing;</w:t>
      </w:r>
    </w:p>
    <w:p w14:paraId="64D53D55" w14:textId="618A3127" w:rsidR="004957C6" w:rsidRPr="00EA5017" w:rsidRDefault="00525140" w:rsidP="00EA5017">
      <w:pPr>
        <w:pStyle w:val="ListParagraph"/>
        <w:numPr>
          <w:ilvl w:val="0"/>
          <w:numId w:val="35"/>
        </w:numPr>
        <w:snapToGrid w:val="0"/>
        <w:spacing w:after="120" w:line="240" w:lineRule="auto"/>
        <w:jc w:val="left"/>
        <w:rPr>
          <w:rFonts w:ascii="Avenir Book" w:hAnsi="Avenir Book" w:cs="Calibri"/>
          <w:sz w:val="22"/>
          <w:szCs w:val="22"/>
        </w:rPr>
      </w:pPr>
      <w:r w:rsidRPr="00EA5017">
        <w:rPr>
          <w:rFonts w:ascii="Avenir Book" w:hAnsi="Avenir Book" w:cs="Calibri"/>
          <w:sz w:val="22"/>
          <w:szCs w:val="22"/>
        </w:rPr>
        <w:t>Educational programs delivered as part of early childhood, school and tertiary curricula.</w:t>
      </w:r>
    </w:p>
    <w:p w14:paraId="0D8C8CCC" w14:textId="77777777" w:rsidR="00D71C5D" w:rsidRPr="00D71C5D" w:rsidRDefault="00D71C5D" w:rsidP="00D71C5D">
      <w:pPr>
        <w:pStyle w:val="ListParagraph"/>
        <w:snapToGrid w:val="0"/>
        <w:spacing w:after="120" w:line="240" w:lineRule="auto"/>
        <w:ind w:left="851"/>
        <w:jc w:val="left"/>
        <w:rPr>
          <w:rFonts w:ascii="Avenir Book" w:hAnsi="Avenir Book" w:cs="Calibri"/>
          <w:sz w:val="22"/>
          <w:szCs w:val="22"/>
        </w:rPr>
      </w:pPr>
    </w:p>
    <w:p w14:paraId="178D0902" w14:textId="2BD61CB6" w:rsidR="005025C4" w:rsidRPr="00917C08" w:rsidRDefault="005025C4" w:rsidP="00564172">
      <w:pPr>
        <w:pStyle w:val="ListParagraph"/>
        <w:numPr>
          <w:ilvl w:val="1"/>
          <w:numId w:val="2"/>
        </w:numPr>
        <w:spacing w:after="60" w:line="240" w:lineRule="auto"/>
        <w:ind w:left="567" w:hanging="567"/>
        <w:jc w:val="left"/>
        <w:rPr>
          <w:rFonts w:ascii="Avenir Roman" w:hAnsi="Avenir Roman" w:cstheme="minorHAnsi"/>
          <w:sz w:val="22"/>
          <w:szCs w:val="22"/>
        </w:rPr>
      </w:pPr>
      <w:r w:rsidRPr="005025C4">
        <w:rPr>
          <w:rFonts w:ascii="Avenir Book" w:hAnsi="Avenir Book" w:cstheme="minorHAnsi"/>
          <w:sz w:val="22"/>
          <w:szCs w:val="22"/>
        </w:rPr>
        <w:t xml:space="preserve">Australia should commission a comprehensive assessment, using intersectional research methodologies, on the situation and rights of women and girls with disability in Australia, in order to establish a baseline of disaggregated data and intersectional evidence to measure progress toward implementation of CRPD in all areas, including in the area of independently </w:t>
      </w:r>
      <w:r w:rsidRPr="00917C08">
        <w:rPr>
          <w:rFonts w:ascii="Avenir Roman" w:hAnsi="Avenir Roman" w:cstheme="minorHAnsi"/>
          <w:sz w:val="22"/>
          <w:szCs w:val="22"/>
        </w:rPr>
        <w:t>living and being included in the community.</w:t>
      </w:r>
    </w:p>
    <w:p w14:paraId="50182A8A" w14:textId="77777777" w:rsidR="005025C4" w:rsidRPr="00917C08" w:rsidRDefault="005025C4" w:rsidP="00917C08">
      <w:pPr>
        <w:pStyle w:val="ListParagraph"/>
        <w:spacing w:after="60" w:line="240" w:lineRule="auto"/>
        <w:ind w:left="567"/>
        <w:jc w:val="left"/>
        <w:rPr>
          <w:rFonts w:ascii="Avenir Roman" w:hAnsi="Avenir Roman" w:cstheme="minorHAnsi"/>
          <w:sz w:val="22"/>
          <w:szCs w:val="22"/>
        </w:rPr>
      </w:pPr>
    </w:p>
    <w:p w14:paraId="7F1A95FF" w14:textId="77777777" w:rsidR="005025C4" w:rsidRPr="00917C08" w:rsidRDefault="005025C4" w:rsidP="00917C08">
      <w:pPr>
        <w:spacing w:line="240" w:lineRule="auto"/>
        <w:jc w:val="left"/>
        <w:rPr>
          <w:rFonts w:ascii="Avenir Roman" w:eastAsiaTheme="minorHAnsi" w:hAnsi="Avenir Roman" w:cstheme="minorHAnsi"/>
          <w:sz w:val="22"/>
          <w:szCs w:val="22"/>
        </w:rPr>
      </w:pPr>
      <w:r w:rsidRPr="00917C08">
        <w:rPr>
          <w:rFonts w:ascii="Avenir Roman" w:hAnsi="Avenir Roman" w:cstheme="minorHAnsi"/>
          <w:sz w:val="22"/>
          <w:szCs w:val="22"/>
        </w:rPr>
        <w:br w:type="page"/>
      </w:r>
    </w:p>
    <w:p w14:paraId="3059F722" w14:textId="29FA7031" w:rsidR="005025C4" w:rsidRDefault="005025C4" w:rsidP="00564172">
      <w:pPr>
        <w:pStyle w:val="ListParagraph"/>
        <w:numPr>
          <w:ilvl w:val="1"/>
          <w:numId w:val="2"/>
        </w:numPr>
        <w:spacing w:after="60" w:line="240" w:lineRule="auto"/>
        <w:ind w:left="567" w:hanging="567"/>
        <w:jc w:val="left"/>
        <w:rPr>
          <w:rFonts w:ascii="Avenir Roman" w:hAnsi="Avenir Roman" w:cstheme="minorHAnsi"/>
          <w:sz w:val="22"/>
          <w:szCs w:val="22"/>
        </w:rPr>
      </w:pPr>
      <w:r w:rsidRPr="00917C08">
        <w:rPr>
          <w:rFonts w:ascii="Avenir Roman" w:hAnsi="Avenir Roman" w:cstheme="minorHAnsi"/>
          <w:sz w:val="22"/>
          <w:szCs w:val="22"/>
        </w:rPr>
        <w:lastRenderedPageBreak/>
        <w:t xml:space="preserve">Australian governments should implement a nationally consistent framework to enable the collection, analysis and public reporting of disaggregated data across all jurisdictions, on all forms of gender-based violence, abuse, neglect and exploitation experienced by women and girls with disability. </w:t>
      </w:r>
    </w:p>
    <w:p w14:paraId="07AED8A7" w14:textId="77777777" w:rsidR="00917C08" w:rsidRDefault="00917C08" w:rsidP="00917C08">
      <w:pPr>
        <w:pStyle w:val="ListParagraph"/>
        <w:spacing w:after="60" w:line="240" w:lineRule="auto"/>
        <w:ind w:left="567"/>
        <w:jc w:val="left"/>
        <w:rPr>
          <w:rFonts w:ascii="Avenir Roman" w:hAnsi="Avenir Roman" w:cstheme="minorHAnsi"/>
          <w:sz w:val="22"/>
          <w:szCs w:val="22"/>
        </w:rPr>
      </w:pPr>
    </w:p>
    <w:p w14:paraId="4527069C" w14:textId="63331559" w:rsidR="005025C4" w:rsidRPr="00917C08" w:rsidRDefault="005025C4" w:rsidP="00564172">
      <w:pPr>
        <w:pStyle w:val="ListParagraph"/>
        <w:numPr>
          <w:ilvl w:val="1"/>
          <w:numId w:val="2"/>
        </w:numPr>
        <w:spacing w:after="60" w:line="240" w:lineRule="auto"/>
        <w:ind w:left="567" w:hanging="567"/>
        <w:jc w:val="left"/>
        <w:rPr>
          <w:rFonts w:ascii="Avenir Roman" w:hAnsi="Avenir Roman" w:cstheme="minorHAnsi"/>
          <w:sz w:val="22"/>
          <w:szCs w:val="22"/>
        </w:rPr>
      </w:pPr>
      <w:r w:rsidRPr="00917C08">
        <w:rPr>
          <w:rFonts w:ascii="Avenir Roman" w:hAnsi="Avenir Roman" w:cstheme="minorHAnsi"/>
          <w:sz w:val="22"/>
          <w:szCs w:val="22"/>
        </w:rPr>
        <w:t xml:space="preserve">The Australian Bureau of Statistics (ABS) should address the methodological restrictions and limitations of the Personal Safety Survey (PSS) </w:t>
      </w:r>
      <w:r w:rsidRPr="00917C08">
        <w:rPr>
          <w:rFonts w:ascii="Avenir Roman" w:hAnsi="Avenir Roman" w:cs="Arial"/>
          <w:bCs/>
          <w:sz w:val="22"/>
          <w:szCs w:val="22"/>
        </w:rPr>
        <w:t xml:space="preserve">in order to ensure a more accurate and comprehensive picture of gender-based violence in Australia. </w:t>
      </w:r>
    </w:p>
    <w:p w14:paraId="1FA604DE" w14:textId="77777777" w:rsidR="00917C08" w:rsidRPr="00917C08" w:rsidRDefault="00917C08" w:rsidP="00917C08">
      <w:pPr>
        <w:pStyle w:val="ListParagraph"/>
        <w:rPr>
          <w:rFonts w:ascii="Avenir Roman" w:hAnsi="Avenir Roman" w:cstheme="minorHAnsi"/>
          <w:sz w:val="22"/>
          <w:szCs w:val="22"/>
        </w:rPr>
      </w:pPr>
    </w:p>
    <w:p w14:paraId="3E4FCA3B" w14:textId="1E11C692" w:rsidR="003978DA" w:rsidRPr="00917C08" w:rsidRDefault="005025C4" w:rsidP="00564172">
      <w:pPr>
        <w:pStyle w:val="ListParagraph"/>
        <w:numPr>
          <w:ilvl w:val="1"/>
          <w:numId w:val="2"/>
        </w:numPr>
        <w:spacing w:after="60" w:line="240" w:lineRule="auto"/>
        <w:ind w:left="567" w:hanging="567"/>
        <w:jc w:val="left"/>
        <w:rPr>
          <w:rFonts w:ascii="Avenir Roman" w:hAnsi="Avenir Roman" w:cstheme="minorHAnsi"/>
          <w:sz w:val="22"/>
          <w:szCs w:val="22"/>
        </w:rPr>
      </w:pPr>
      <w:r w:rsidRPr="00917C08">
        <w:rPr>
          <w:rFonts w:ascii="Avenir Roman" w:hAnsi="Avenir Roman" w:cs="Calibri"/>
          <w:sz w:val="22"/>
          <w:szCs w:val="22"/>
        </w:rPr>
        <w:t xml:space="preserve">Australian governments should develop nationally consistent legislation on the prevention of all forms of gender-based violence for all women and girls that reflects the definition of ‘gender-based violence’ outlined in the </w:t>
      </w:r>
      <w:r w:rsidRPr="00917C08">
        <w:rPr>
          <w:rFonts w:ascii="Avenir Roman" w:hAnsi="Avenir Roman"/>
          <w:sz w:val="22"/>
          <w:szCs w:val="22"/>
        </w:rPr>
        <w:t>Committee on the Elimination of All Forms of Discrimination Against Women (CEDAW) General Recommendation 35 ‘Gender-based Violence Against Women’ (2017).</w:t>
      </w:r>
    </w:p>
    <w:p w14:paraId="126DFE37" w14:textId="77777777" w:rsidR="00917C08" w:rsidRPr="00917C08" w:rsidRDefault="00917C08" w:rsidP="00917C08">
      <w:pPr>
        <w:pStyle w:val="ListParagraph"/>
        <w:rPr>
          <w:rFonts w:ascii="Avenir Roman" w:hAnsi="Avenir Roman" w:cstheme="minorHAnsi"/>
          <w:sz w:val="22"/>
          <w:szCs w:val="22"/>
        </w:rPr>
      </w:pPr>
    </w:p>
    <w:p w14:paraId="7C9BF959" w14:textId="4D070B38" w:rsidR="003978DA" w:rsidRDefault="005025C4" w:rsidP="00564172">
      <w:pPr>
        <w:pStyle w:val="ListParagraph"/>
        <w:numPr>
          <w:ilvl w:val="1"/>
          <w:numId w:val="2"/>
        </w:numPr>
        <w:spacing w:after="60" w:line="240" w:lineRule="auto"/>
        <w:ind w:left="567" w:hanging="567"/>
        <w:jc w:val="left"/>
        <w:rPr>
          <w:rFonts w:ascii="Avenir Roman" w:hAnsi="Avenir Roman" w:cstheme="minorHAnsi"/>
          <w:sz w:val="22"/>
          <w:szCs w:val="22"/>
        </w:rPr>
      </w:pPr>
      <w:r w:rsidRPr="00917C08">
        <w:rPr>
          <w:rFonts w:ascii="Avenir Roman" w:hAnsi="Avenir Roman" w:cstheme="minorHAnsi"/>
          <w:sz w:val="22"/>
          <w:szCs w:val="22"/>
        </w:rPr>
        <w:t>The Royal Commission should specifically examine the area of sexual and reproductive rights for people with disability, with a particular focus on women and girls with disability.</w:t>
      </w:r>
    </w:p>
    <w:p w14:paraId="7D411340" w14:textId="77777777" w:rsidR="00917C08" w:rsidRPr="00917C08" w:rsidRDefault="00917C08" w:rsidP="00917C08">
      <w:pPr>
        <w:pStyle w:val="ListParagraph"/>
        <w:rPr>
          <w:rFonts w:ascii="Avenir Roman" w:hAnsi="Avenir Roman" w:cstheme="minorHAnsi"/>
          <w:sz w:val="22"/>
          <w:szCs w:val="22"/>
        </w:rPr>
      </w:pPr>
    </w:p>
    <w:p w14:paraId="49F34DC7" w14:textId="689D0AAA" w:rsidR="005025C4" w:rsidRPr="00917C08" w:rsidRDefault="005025C4" w:rsidP="00564172">
      <w:pPr>
        <w:pStyle w:val="ListParagraph"/>
        <w:numPr>
          <w:ilvl w:val="1"/>
          <w:numId w:val="2"/>
        </w:numPr>
        <w:spacing w:after="60" w:line="240" w:lineRule="auto"/>
        <w:ind w:left="567" w:hanging="567"/>
        <w:contextualSpacing w:val="0"/>
        <w:jc w:val="left"/>
        <w:rPr>
          <w:rFonts w:ascii="Avenir Roman" w:hAnsi="Avenir Roman" w:cstheme="minorHAnsi"/>
          <w:sz w:val="22"/>
          <w:szCs w:val="22"/>
        </w:rPr>
      </w:pPr>
      <w:r w:rsidRPr="00917C08">
        <w:rPr>
          <w:rFonts w:ascii="Avenir Roman" w:hAnsi="Avenir Roman" w:cstheme="minorHAnsi"/>
          <w:sz w:val="22"/>
          <w:szCs w:val="22"/>
        </w:rPr>
        <w:t>The Royal Commission should explicitly recognise restrictive practices as violations of article 15 of the CRPD and violations of the Convention against Torture and other Cruel, Inhuman or Degrading Treatment or Punishment (CAT), and as part of its examination of these practices, it should:</w:t>
      </w:r>
    </w:p>
    <w:p w14:paraId="15FB9EEA" w14:textId="77777777" w:rsidR="005025C4" w:rsidRPr="00EA5017" w:rsidRDefault="005025C4" w:rsidP="00EA5017">
      <w:pPr>
        <w:pStyle w:val="ListParagraph"/>
        <w:numPr>
          <w:ilvl w:val="0"/>
          <w:numId w:val="34"/>
        </w:numPr>
        <w:spacing w:after="60" w:line="240" w:lineRule="auto"/>
        <w:jc w:val="left"/>
        <w:rPr>
          <w:rFonts w:ascii="Avenir Roman" w:hAnsi="Avenir Roman" w:cstheme="minorHAnsi"/>
          <w:sz w:val="22"/>
          <w:szCs w:val="22"/>
        </w:rPr>
      </w:pPr>
      <w:r w:rsidRPr="00EA5017">
        <w:rPr>
          <w:rFonts w:ascii="Avenir Roman" w:hAnsi="Avenir Roman" w:cstheme="minorHAnsi"/>
          <w:sz w:val="22"/>
          <w:szCs w:val="22"/>
        </w:rPr>
        <w:t>Examine the adequacy of the oversight function of the NDIS Quality and Safeguards Commission in relation to the elimination of restrictive practices, and the gaps in oversight for people with disability who are not NDIS participants;</w:t>
      </w:r>
    </w:p>
    <w:p w14:paraId="710C45C1" w14:textId="77777777" w:rsidR="005025C4" w:rsidRPr="00EA5017" w:rsidRDefault="005025C4" w:rsidP="00EA5017">
      <w:pPr>
        <w:pStyle w:val="ListParagraph"/>
        <w:numPr>
          <w:ilvl w:val="0"/>
          <w:numId w:val="34"/>
        </w:numPr>
        <w:spacing w:after="60" w:line="240" w:lineRule="auto"/>
        <w:jc w:val="left"/>
        <w:rPr>
          <w:rFonts w:ascii="Avenir Roman" w:hAnsi="Avenir Roman" w:cstheme="minorHAnsi"/>
          <w:sz w:val="22"/>
          <w:szCs w:val="22"/>
        </w:rPr>
      </w:pPr>
      <w:r w:rsidRPr="00EA5017">
        <w:rPr>
          <w:rFonts w:ascii="Avenir Roman" w:hAnsi="Avenir Roman" w:cstheme="minorHAnsi"/>
          <w:sz w:val="22"/>
          <w:szCs w:val="22"/>
        </w:rPr>
        <w:t xml:space="preserve">Actively engage with the Commonwealth Ombudsman and its OPCAT Advisory Group, with the aim of discussing the evidence it has received regarding torture and ill-treatment, and to demonstrate support for the design and scope of the Australian National Preventive Mechanism (NPM) to be disability inclusive, including for the inclusion of disability specific places of detention, such as segregated living arrangements; </w:t>
      </w:r>
    </w:p>
    <w:p w14:paraId="4DCF69A5" w14:textId="45C77922" w:rsidR="005025C4" w:rsidRPr="00EA5017" w:rsidRDefault="005025C4" w:rsidP="00EA5017">
      <w:pPr>
        <w:pStyle w:val="ListParagraph"/>
        <w:numPr>
          <w:ilvl w:val="0"/>
          <w:numId w:val="34"/>
        </w:numPr>
        <w:spacing w:line="240" w:lineRule="auto"/>
        <w:jc w:val="left"/>
        <w:rPr>
          <w:rFonts w:ascii="Avenir Roman" w:hAnsi="Avenir Roman" w:cstheme="minorHAnsi"/>
          <w:sz w:val="22"/>
          <w:szCs w:val="22"/>
        </w:rPr>
      </w:pPr>
      <w:r w:rsidRPr="00EA5017">
        <w:rPr>
          <w:rFonts w:ascii="Avenir Roman" w:hAnsi="Avenir Roman" w:cstheme="minorHAnsi"/>
          <w:sz w:val="22"/>
          <w:szCs w:val="22"/>
        </w:rPr>
        <w:t xml:space="preserve">Make findings and recommendations for the urgent and immediate elimination of restrictive practices. </w:t>
      </w:r>
    </w:p>
    <w:p w14:paraId="107ED73C" w14:textId="77777777" w:rsidR="00917C08" w:rsidRPr="00917C08" w:rsidRDefault="00917C08" w:rsidP="00917C08">
      <w:pPr>
        <w:pStyle w:val="ListParagraph"/>
        <w:spacing w:line="240" w:lineRule="auto"/>
        <w:ind w:left="851"/>
        <w:jc w:val="left"/>
        <w:rPr>
          <w:rFonts w:ascii="Avenir Roman" w:hAnsi="Avenir Roman" w:cstheme="minorHAnsi"/>
          <w:sz w:val="22"/>
          <w:szCs w:val="22"/>
        </w:rPr>
      </w:pPr>
    </w:p>
    <w:p w14:paraId="1156B9A6" w14:textId="77777777" w:rsidR="005025C4" w:rsidRPr="00917C08" w:rsidRDefault="005025C4" w:rsidP="00564172">
      <w:pPr>
        <w:pStyle w:val="ListParagraph"/>
        <w:numPr>
          <w:ilvl w:val="1"/>
          <w:numId w:val="2"/>
        </w:numPr>
        <w:spacing w:after="60" w:line="240" w:lineRule="auto"/>
        <w:ind w:left="567" w:hanging="567"/>
        <w:contextualSpacing w:val="0"/>
        <w:jc w:val="left"/>
        <w:rPr>
          <w:rFonts w:ascii="Avenir Roman" w:hAnsi="Avenir Roman" w:cstheme="minorHAnsi"/>
          <w:sz w:val="22"/>
          <w:szCs w:val="22"/>
        </w:rPr>
      </w:pPr>
      <w:r w:rsidRPr="00917C08">
        <w:rPr>
          <w:rFonts w:ascii="Avenir Roman" w:hAnsi="Avenir Roman" w:cs="Calibri"/>
          <w:color w:val="000000" w:themeColor="text1"/>
          <w:sz w:val="22"/>
          <w:szCs w:val="22"/>
        </w:rPr>
        <w:t>A comprehensive suite of violence prevention and response programs and resources should be funded by Australian governments, co-designed with women with disability for women with disability, and delivered across the life span and in institutional settings with the aim of:</w:t>
      </w:r>
    </w:p>
    <w:p w14:paraId="471CCFF9" w14:textId="77777777" w:rsidR="005025C4" w:rsidRPr="00EA5017" w:rsidRDefault="005025C4" w:rsidP="00EA5017">
      <w:pPr>
        <w:pStyle w:val="ListParagraph"/>
        <w:numPr>
          <w:ilvl w:val="0"/>
          <w:numId w:val="33"/>
        </w:numPr>
        <w:spacing w:after="60" w:line="240" w:lineRule="auto"/>
        <w:jc w:val="left"/>
        <w:rPr>
          <w:rFonts w:ascii="Avenir Roman" w:hAnsi="Avenir Roman" w:cs="Calibri"/>
          <w:color w:val="000000" w:themeColor="text1"/>
          <w:sz w:val="22"/>
          <w:szCs w:val="22"/>
        </w:rPr>
      </w:pPr>
      <w:r w:rsidRPr="00EA5017">
        <w:rPr>
          <w:rFonts w:ascii="Avenir Roman" w:hAnsi="Avenir Roman" w:cs="Calibri"/>
          <w:color w:val="000000" w:themeColor="text1"/>
          <w:sz w:val="22"/>
          <w:szCs w:val="22"/>
        </w:rPr>
        <w:t>Fostering and valuing diversity and inclusion;</w:t>
      </w:r>
    </w:p>
    <w:p w14:paraId="376365EA" w14:textId="77777777" w:rsidR="005025C4" w:rsidRPr="00EA5017" w:rsidRDefault="005025C4" w:rsidP="00EA5017">
      <w:pPr>
        <w:pStyle w:val="ListParagraph"/>
        <w:numPr>
          <w:ilvl w:val="0"/>
          <w:numId w:val="33"/>
        </w:numPr>
        <w:spacing w:after="60" w:line="240" w:lineRule="auto"/>
        <w:jc w:val="left"/>
        <w:rPr>
          <w:rFonts w:ascii="Avenir Roman" w:hAnsi="Avenir Roman" w:cs="Calibri"/>
          <w:color w:val="000000" w:themeColor="text1"/>
          <w:sz w:val="22"/>
          <w:szCs w:val="22"/>
        </w:rPr>
      </w:pPr>
      <w:r w:rsidRPr="00EA5017">
        <w:rPr>
          <w:rFonts w:ascii="Avenir Roman" w:hAnsi="Avenir Roman" w:cs="Calibri"/>
          <w:color w:val="000000" w:themeColor="text1"/>
          <w:sz w:val="22"/>
          <w:szCs w:val="22"/>
        </w:rPr>
        <w:t>Challenging ableism and intersecting forms of inequality and discrimination, including for women and girls with disability;</w:t>
      </w:r>
    </w:p>
    <w:p w14:paraId="7B498F68" w14:textId="77777777" w:rsidR="005025C4" w:rsidRPr="00EA5017" w:rsidRDefault="005025C4" w:rsidP="00EA5017">
      <w:pPr>
        <w:pStyle w:val="ListParagraph"/>
        <w:numPr>
          <w:ilvl w:val="0"/>
          <w:numId w:val="33"/>
        </w:numPr>
        <w:spacing w:after="60" w:line="240" w:lineRule="auto"/>
        <w:jc w:val="left"/>
        <w:rPr>
          <w:rFonts w:ascii="Avenir Roman" w:hAnsi="Avenir Roman" w:cs="Calibri"/>
          <w:color w:val="000000" w:themeColor="text1"/>
          <w:sz w:val="22"/>
          <w:szCs w:val="22"/>
        </w:rPr>
      </w:pPr>
      <w:r w:rsidRPr="00EA5017">
        <w:rPr>
          <w:rFonts w:ascii="Avenir Roman" w:hAnsi="Avenir Roman" w:cs="Calibri"/>
          <w:color w:val="000000" w:themeColor="text1"/>
          <w:sz w:val="22"/>
          <w:szCs w:val="22"/>
        </w:rPr>
        <w:t>Building knowledge, skills and strengths in recognising rights to bodily integrity, to be free from violence, abuse, neglect and exploitation, and to be free from torture and ill-treatment;</w:t>
      </w:r>
    </w:p>
    <w:p w14:paraId="500F7AF9" w14:textId="77777777" w:rsidR="005025C4" w:rsidRPr="00EA5017" w:rsidRDefault="005025C4" w:rsidP="00EA5017">
      <w:pPr>
        <w:pStyle w:val="ListParagraph"/>
        <w:numPr>
          <w:ilvl w:val="0"/>
          <w:numId w:val="33"/>
        </w:numPr>
        <w:spacing w:line="240" w:lineRule="auto"/>
        <w:jc w:val="left"/>
        <w:rPr>
          <w:rFonts w:ascii="Avenir Roman" w:hAnsi="Avenir Roman" w:cs="Calibri"/>
          <w:color w:val="000000" w:themeColor="text1"/>
          <w:sz w:val="22"/>
          <w:szCs w:val="22"/>
        </w:rPr>
      </w:pPr>
      <w:r w:rsidRPr="00EA5017">
        <w:rPr>
          <w:rFonts w:ascii="Avenir Roman" w:hAnsi="Avenir Roman" w:cs="Calibri"/>
          <w:color w:val="000000" w:themeColor="text1"/>
          <w:sz w:val="22"/>
          <w:szCs w:val="22"/>
        </w:rPr>
        <w:t>Increasing opportunities and participation in decision-making and in speaking up about rights.</w:t>
      </w:r>
    </w:p>
    <w:p w14:paraId="7CED7566" w14:textId="77777777" w:rsidR="005025C4" w:rsidRPr="00917C08" w:rsidRDefault="005025C4" w:rsidP="00917C08">
      <w:pPr>
        <w:pStyle w:val="ListParagraph"/>
        <w:snapToGrid w:val="0"/>
        <w:spacing w:line="240" w:lineRule="auto"/>
        <w:ind w:left="426"/>
        <w:jc w:val="left"/>
        <w:rPr>
          <w:rFonts w:ascii="Avenir Roman" w:hAnsi="Avenir Roman" w:cstheme="minorHAnsi"/>
          <w:sz w:val="22"/>
          <w:szCs w:val="22"/>
        </w:rPr>
      </w:pPr>
    </w:p>
    <w:p w14:paraId="3CBDCD2E" w14:textId="2A3265B7" w:rsidR="005025C4" w:rsidRPr="00917C08" w:rsidRDefault="005025C4" w:rsidP="00564172">
      <w:pPr>
        <w:pStyle w:val="ListParagraph"/>
        <w:numPr>
          <w:ilvl w:val="1"/>
          <w:numId w:val="2"/>
        </w:numPr>
        <w:spacing w:after="60" w:line="240" w:lineRule="auto"/>
        <w:ind w:left="567" w:hanging="567"/>
        <w:jc w:val="left"/>
        <w:rPr>
          <w:rFonts w:ascii="Avenir Roman" w:hAnsi="Avenir Roman" w:cstheme="minorHAnsi"/>
          <w:sz w:val="22"/>
          <w:szCs w:val="22"/>
        </w:rPr>
      </w:pPr>
      <w:r w:rsidRPr="00917C08">
        <w:rPr>
          <w:rFonts w:ascii="Avenir Roman" w:hAnsi="Avenir Roman" w:cstheme="minorHAnsi"/>
          <w:sz w:val="22"/>
          <w:szCs w:val="22"/>
        </w:rPr>
        <w:lastRenderedPageBreak/>
        <w:t xml:space="preserve">Australian governments should develop nationally consistent domestic and family violence legislation that covers institutional settings and includes a broad definition of domestic relationships; ensure this legislation is integrated into domestic and family violence response training for police, the judiciary and domestic and family violence services; and ensure that the </w:t>
      </w:r>
      <w:r w:rsidRPr="00917C08">
        <w:rPr>
          <w:rFonts w:ascii="Avenir Roman" w:hAnsi="Avenir Roman" w:cstheme="minorHAnsi"/>
          <w:i/>
          <w:sz w:val="22"/>
          <w:szCs w:val="22"/>
        </w:rPr>
        <w:t>National Plan to Reduce Violence Against Women and Their Children</w:t>
      </w:r>
      <w:r w:rsidRPr="00917C08">
        <w:rPr>
          <w:rFonts w:ascii="Avenir Roman" w:hAnsi="Avenir Roman" w:cstheme="minorHAnsi"/>
          <w:sz w:val="22"/>
          <w:szCs w:val="22"/>
        </w:rPr>
        <w:t xml:space="preserve"> is amended to reflect this legislation by including institutional settings and a broad definition of domestic relationships. </w:t>
      </w:r>
    </w:p>
    <w:p w14:paraId="6A74DB5E" w14:textId="77777777" w:rsidR="003978DA" w:rsidRPr="00917C08" w:rsidRDefault="003978DA" w:rsidP="00917C08">
      <w:pPr>
        <w:pStyle w:val="ListParagraph"/>
        <w:spacing w:after="60" w:line="240" w:lineRule="auto"/>
        <w:ind w:left="567"/>
        <w:jc w:val="left"/>
        <w:rPr>
          <w:rFonts w:ascii="Avenir Roman" w:hAnsi="Avenir Roman" w:cstheme="minorHAnsi"/>
          <w:sz w:val="22"/>
          <w:szCs w:val="22"/>
        </w:rPr>
      </w:pPr>
    </w:p>
    <w:p w14:paraId="2328F62C" w14:textId="157AACBC" w:rsidR="005025C4" w:rsidRPr="00917C08" w:rsidRDefault="005025C4" w:rsidP="00564172">
      <w:pPr>
        <w:pStyle w:val="ListParagraph"/>
        <w:numPr>
          <w:ilvl w:val="1"/>
          <w:numId w:val="2"/>
        </w:numPr>
        <w:spacing w:after="60" w:line="240" w:lineRule="auto"/>
        <w:ind w:left="567" w:hanging="567"/>
        <w:jc w:val="left"/>
        <w:rPr>
          <w:rFonts w:ascii="Avenir Roman" w:hAnsi="Avenir Roman" w:cstheme="minorHAnsi"/>
          <w:sz w:val="22"/>
          <w:szCs w:val="22"/>
        </w:rPr>
      </w:pPr>
      <w:r w:rsidRPr="00917C08">
        <w:rPr>
          <w:rFonts w:ascii="Avenir Roman" w:hAnsi="Avenir Roman" w:cstheme="minorHAnsi"/>
          <w:sz w:val="22"/>
          <w:szCs w:val="22"/>
        </w:rPr>
        <w:t xml:space="preserve">The Australian Government should implement Recommendation 2 from the Senate Inquiry, which would establish a national, independent, statutory protection watchdog that has broad functions and powers, that covers all forms of violence against all people with disability, and that is not limited to the NDIS.  </w:t>
      </w:r>
    </w:p>
    <w:p w14:paraId="4E6475D7" w14:textId="77777777" w:rsidR="003978DA" w:rsidRPr="00917C08" w:rsidRDefault="003978DA" w:rsidP="00917C08">
      <w:pPr>
        <w:pStyle w:val="ListParagraph"/>
        <w:spacing w:line="240" w:lineRule="auto"/>
        <w:jc w:val="left"/>
        <w:rPr>
          <w:rFonts w:ascii="Avenir Roman" w:hAnsi="Avenir Roman" w:cstheme="minorHAnsi"/>
          <w:sz w:val="22"/>
          <w:szCs w:val="22"/>
        </w:rPr>
      </w:pPr>
    </w:p>
    <w:p w14:paraId="36006C61" w14:textId="24A37B73" w:rsidR="005025C4" w:rsidRPr="00917C08" w:rsidRDefault="005025C4" w:rsidP="00564172">
      <w:pPr>
        <w:pStyle w:val="ListParagraph"/>
        <w:numPr>
          <w:ilvl w:val="1"/>
          <w:numId w:val="2"/>
        </w:numPr>
        <w:spacing w:after="60" w:line="240" w:lineRule="auto"/>
        <w:ind w:left="567" w:hanging="567"/>
        <w:jc w:val="left"/>
        <w:rPr>
          <w:rFonts w:ascii="Avenir Roman" w:hAnsi="Avenir Roman" w:cstheme="minorHAnsi"/>
          <w:sz w:val="22"/>
          <w:szCs w:val="22"/>
        </w:rPr>
      </w:pPr>
      <w:r w:rsidRPr="00917C08">
        <w:rPr>
          <w:rFonts w:ascii="Avenir Roman" w:hAnsi="Avenir Roman" w:cstheme="minorHAnsi"/>
          <w:sz w:val="22"/>
          <w:szCs w:val="22"/>
        </w:rPr>
        <w:t xml:space="preserve">The National Disability Insurance Agency should develop, in close consultation with women with disability and their representative organisations, an NDIS Gender Strategy which should include measures to ensure that all forms of violence, including gender-based violence are identified and addressed through the NDIS planning process, that crisis </w:t>
      </w:r>
      <w:r w:rsidR="003978DA" w:rsidRPr="00917C08">
        <w:rPr>
          <w:rFonts w:ascii="Avenir Roman" w:hAnsi="Avenir Roman" w:cstheme="minorHAnsi"/>
          <w:sz w:val="22"/>
          <w:szCs w:val="22"/>
        </w:rPr>
        <w:t xml:space="preserve">response </w:t>
      </w:r>
      <w:r w:rsidRPr="00917C08">
        <w:rPr>
          <w:rFonts w:ascii="Avenir Roman" w:hAnsi="Avenir Roman" w:cstheme="minorHAnsi"/>
          <w:sz w:val="22"/>
          <w:szCs w:val="22"/>
        </w:rPr>
        <w:t xml:space="preserve">procedures are established for </w:t>
      </w:r>
      <w:r w:rsidR="003978DA" w:rsidRPr="00917C08">
        <w:rPr>
          <w:rFonts w:ascii="Avenir Roman" w:hAnsi="Avenir Roman" w:cstheme="minorHAnsi"/>
          <w:sz w:val="22"/>
          <w:szCs w:val="22"/>
        </w:rPr>
        <w:t>urgent</w:t>
      </w:r>
      <w:r w:rsidRPr="00917C08">
        <w:rPr>
          <w:rFonts w:ascii="Avenir Roman" w:hAnsi="Avenir Roman" w:cstheme="minorHAnsi"/>
          <w:sz w:val="22"/>
          <w:szCs w:val="22"/>
        </w:rPr>
        <w:t xml:space="preserve"> plan revi</w:t>
      </w:r>
      <w:r w:rsidR="003978DA" w:rsidRPr="00917C08">
        <w:rPr>
          <w:rFonts w:ascii="Avenir Roman" w:hAnsi="Avenir Roman" w:cstheme="minorHAnsi"/>
          <w:sz w:val="22"/>
          <w:szCs w:val="22"/>
        </w:rPr>
        <w:t>ews</w:t>
      </w:r>
      <w:r w:rsidRPr="00917C08">
        <w:rPr>
          <w:rFonts w:ascii="Avenir Roman" w:hAnsi="Avenir Roman" w:cstheme="minorHAnsi"/>
          <w:sz w:val="22"/>
          <w:szCs w:val="22"/>
        </w:rPr>
        <w:t xml:space="preserve">, and that pathways and protocols are established with domestic violence services and supports. </w:t>
      </w:r>
    </w:p>
    <w:p w14:paraId="494A8C32" w14:textId="77777777" w:rsidR="005025C4" w:rsidRPr="00917C08" w:rsidRDefault="005025C4" w:rsidP="00917C08">
      <w:pPr>
        <w:snapToGrid w:val="0"/>
        <w:spacing w:line="240" w:lineRule="auto"/>
        <w:jc w:val="left"/>
        <w:rPr>
          <w:rFonts w:ascii="Avenir Roman" w:hAnsi="Avenir Roman" w:cstheme="minorHAnsi"/>
          <w:sz w:val="22"/>
          <w:szCs w:val="22"/>
        </w:rPr>
      </w:pPr>
    </w:p>
    <w:p w14:paraId="4BF13487" w14:textId="77777777" w:rsidR="005025C4" w:rsidRPr="00917C08" w:rsidRDefault="005025C4" w:rsidP="00917C08">
      <w:pPr>
        <w:spacing w:line="240" w:lineRule="auto"/>
        <w:jc w:val="left"/>
        <w:rPr>
          <w:rFonts w:ascii="Avenir Roman" w:hAnsi="Avenir Roman" w:cs="Calibri"/>
          <w:color w:val="000000" w:themeColor="text1"/>
          <w:sz w:val="22"/>
          <w:szCs w:val="22"/>
        </w:rPr>
      </w:pPr>
    </w:p>
    <w:p w14:paraId="0195FE2C" w14:textId="77777777" w:rsidR="004957C6" w:rsidRPr="00917C08" w:rsidRDefault="004957C6" w:rsidP="00917C08">
      <w:pPr>
        <w:pStyle w:val="ListParagraph"/>
        <w:spacing w:line="240" w:lineRule="auto"/>
        <w:ind w:left="0"/>
        <w:jc w:val="left"/>
        <w:rPr>
          <w:rFonts w:ascii="Avenir Roman" w:hAnsi="Avenir Roman" w:cs="Calibri"/>
          <w:sz w:val="22"/>
          <w:szCs w:val="22"/>
        </w:rPr>
      </w:pPr>
    </w:p>
    <w:p w14:paraId="6E67E8D9" w14:textId="712CC16D" w:rsidR="007A27CF" w:rsidRPr="00917C08" w:rsidRDefault="007A27CF" w:rsidP="00917C08">
      <w:pPr>
        <w:pStyle w:val="Heading2"/>
        <w:spacing w:line="240" w:lineRule="auto"/>
        <w:rPr>
          <w:rFonts w:ascii="Avenir Roman" w:hAnsi="Avenir Roman" w:cs="Calibri"/>
          <w:color w:val="7030A0"/>
          <w:sz w:val="20"/>
          <w:szCs w:val="20"/>
        </w:rPr>
      </w:pPr>
      <w:r w:rsidRPr="00917C08">
        <w:rPr>
          <w:rFonts w:ascii="Avenir Roman" w:hAnsi="Avenir Roman" w:cs="Calibri"/>
          <w:color w:val="7030A0"/>
        </w:rPr>
        <w:br w:type="page"/>
      </w:r>
    </w:p>
    <w:p w14:paraId="608E520A" w14:textId="399CDCBD" w:rsidR="00E6765F" w:rsidRPr="003876EE" w:rsidRDefault="00B35330" w:rsidP="00564172">
      <w:pPr>
        <w:pStyle w:val="Heading2"/>
        <w:numPr>
          <w:ilvl w:val="0"/>
          <w:numId w:val="6"/>
        </w:numPr>
        <w:spacing w:line="240" w:lineRule="auto"/>
        <w:ind w:left="426" w:hanging="426"/>
        <w:rPr>
          <w:rFonts w:ascii="Avenir Book" w:hAnsi="Avenir Book" w:cs="Calibri"/>
          <w:color w:val="AC1F79"/>
          <w:sz w:val="20"/>
          <w:szCs w:val="20"/>
        </w:rPr>
      </w:pPr>
      <w:bookmarkStart w:id="105" w:name="_Toc43919147"/>
      <w:r w:rsidRPr="003E5226">
        <w:rPr>
          <w:rFonts w:ascii="Avenir Book" w:hAnsi="Avenir Book" w:cs="Calibri"/>
          <w:color w:val="AC1F79"/>
        </w:rPr>
        <w:lastRenderedPageBreak/>
        <w:t>Background</w:t>
      </w:r>
      <w:bookmarkStart w:id="106" w:name="_Toc514420446"/>
      <w:bookmarkEnd w:id="105"/>
    </w:p>
    <w:p w14:paraId="2933B6C7" w14:textId="085744C0" w:rsidR="00B35330" w:rsidRPr="003E5226" w:rsidRDefault="00B35330" w:rsidP="00564172">
      <w:pPr>
        <w:pStyle w:val="ListParagraph"/>
        <w:numPr>
          <w:ilvl w:val="1"/>
          <w:numId w:val="7"/>
        </w:numPr>
        <w:snapToGrid w:val="0"/>
        <w:spacing w:after="120" w:line="240" w:lineRule="auto"/>
        <w:ind w:left="993" w:hanging="567"/>
        <w:jc w:val="left"/>
        <w:rPr>
          <w:rFonts w:ascii="Avenir Book" w:hAnsi="Avenir Book" w:cstheme="minorHAnsi"/>
          <w:sz w:val="22"/>
          <w:szCs w:val="22"/>
        </w:rPr>
      </w:pPr>
      <w:r w:rsidRPr="003E5226">
        <w:rPr>
          <w:rFonts w:ascii="Avenir Book" w:hAnsi="Avenir Book"/>
          <w:sz w:val="22"/>
          <w:szCs w:val="22"/>
        </w:rPr>
        <w:t>The Royal Commission into Violence, Abuse, Neglect and Exploitation of People with Disability (the Royal Commission) was established after many years of campaigning by people with disability and our representative organisations at both the domestic and international levels.</w:t>
      </w:r>
      <w:r w:rsidR="004A5D47" w:rsidRPr="003E5226">
        <w:rPr>
          <w:rStyle w:val="FootnoteReference"/>
          <w:rFonts w:ascii="Avenir Book" w:hAnsi="Avenir Book"/>
          <w:sz w:val="22"/>
          <w:szCs w:val="22"/>
        </w:rPr>
        <w:footnoteReference w:id="1"/>
      </w:r>
      <w:r w:rsidRPr="003E5226">
        <w:rPr>
          <w:rFonts w:ascii="Avenir Book" w:hAnsi="Avenir Book"/>
          <w:sz w:val="22"/>
          <w:szCs w:val="22"/>
        </w:rPr>
        <w:t xml:space="preserve"> </w:t>
      </w:r>
    </w:p>
    <w:p w14:paraId="16F52224" w14:textId="77777777" w:rsidR="00062B74" w:rsidRPr="003E5226" w:rsidRDefault="00062B74" w:rsidP="00217BD3">
      <w:pPr>
        <w:pStyle w:val="ListParagraph"/>
        <w:snapToGrid w:val="0"/>
        <w:spacing w:line="240" w:lineRule="auto"/>
        <w:ind w:left="0"/>
        <w:jc w:val="left"/>
        <w:rPr>
          <w:rFonts w:ascii="Avenir Book" w:hAnsi="Avenir Book" w:cstheme="minorHAnsi"/>
          <w:sz w:val="22"/>
          <w:szCs w:val="22"/>
        </w:rPr>
      </w:pPr>
    </w:p>
    <w:p w14:paraId="1EB95B8B" w14:textId="09C2C7F0" w:rsidR="00B35330" w:rsidRPr="003E5226" w:rsidRDefault="00B35330" w:rsidP="00564172">
      <w:pPr>
        <w:pStyle w:val="ListParagraph"/>
        <w:numPr>
          <w:ilvl w:val="1"/>
          <w:numId w:val="7"/>
        </w:numPr>
        <w:snapToGrid w:val="0"/>
        <w:spacing w:after="120" w:line="240" w:lineRule="auto"/>
        <w:ind w:left="993" w:hanging="567"/>
        <w:jc w:val="left"/>
        <w:rPr>
          <w:rFonts w:ascii="Avenir Book" w:hAnsi="Avenir Book" w:cstheme="minorHAnsi"/>
          <w:sz w:val="22"/>
          <w:szCs w:val="22"/>
        </w:rPr>
      </w:pPr>
      <w:r w:rsidRPr="003E5226">
        <w:rPr>
          <w:rFonts w:ascii="Avenir Book" w:hAnsi="Avenir Book"/>
          <w:sz w:val="22"/>
          <w:szCs w:val="22"/>
        </w:rPr>
        <w:t>W</w:t>
      </w:r>
      <w:r w:rsidR="009507E9" w:rsidRPr="003E5226">
        <w:rPr>
          <w:rFonts w:ascii="Avenir Book" w:hAnsi="Avenir Book"/>
          <w:sz w:val="22"/>
          <w:szCs w:val="22"/>
        </w:rPr>
        <w:t>omen With Disabilities Australia (W</w:t>
      </w:r>
      <w:r w:rsidRPr="003E5226">
        <w:rPr>
          <w:rFonts w:ascii="Avenir Book" w:hAnsi="Avenir Book"/>
          <w:sz w:val="22"/>
          <w:szCs w:val="22"/>
        </w:rPr>
        <w:t>WDA</w:t>
      </w:r>
      <w:r w:rsidR="009507E9" w:rsidRPr="003E5226">
        <w:rPr>
          <w:rFonts w:ascii="Avenir Book" w:hAnsi="Avenir Book"/>
          <w:sz w:val="22"/>
          <w:szCs w:val="22"/>
        </w:rPr>
        <w:t>)</w:t>
      </w:r>
      <w:r w:rsidRPr="003E5226">
        <w:rPr>
          <w:rFonts w:ascii="Avenir Book" w:hAnsi="Avenir Book"/>
          <w:sz w:val="22"/>
          <w:szCs w:val="22"/>
        </w:rPr>
        <w:t xml:space="preserve">, as part of Disabled People’s Organisations Australia (DPO Australia) played a leading role in these advocacy efforts, and in particular, in exposing the gendered nature of violence against people with disability. </w:t>
      </w:r>
    </w:p>
    <w:p w14:paraId="22E9A374" w14:textId="77777777" w:rsidR="00062B74" w:rsidRPr="003E5226" w:rsidRDefault="00062B74" w:rsidP="00217BD3">
      <w:pPr>
        <w:pStyle w:val="ListParagraph"/>
        <w:spacing w:line="240" w:lineRule="auto"/>
        <w:ind w:left="0"/>
        <w:jc w:val="left"/>
        <w:rPr>
          <w:rFonts w:ascii="Avenir Book" w:hAnsi="Avenir Book" w:cstheme="minorHAnsi"/>
          <w:sz w:val="22"/>
          <w:szCs w:val="22"/>
        </w:rPr>
      </w:pPr>
    </w:p>
    <w:p w14:paraId="6D8D629D" w14:textId="18F9A8F7" w:rsidR="004E0FD2" w:rsidRPr="003E5226" w:rsidRDefault="00B35330" w:rsidP="00564172">
      <w:pPr>
        <w:pStyle w:val="ListParagraph"/>
        <w:numPr>
          <w:ilvl w:val="1"/>
          <w:numId w:val="7"/>
        </w:numPr>
        <w:snapToGrid w:val="0"/>
        <w:spacing w:after="120" w:line="240" w:lineRule="auto"/>
        <w:ind w:left="993" w:hanging="567"/>
        <w:jc w:val="left"/>
        <w:rPr>
          <w:rFonts w:ascii="Avenir Book" w:hAnsi="Avenir Book" w:cstheme="minorHAnsi"/>
          <w:sz w:val="22"/>
          <w:szCs w:val="22"/>
        </w:rPr>
      </w:pPr>
      <w:r w:rsidRPr="003E5226">
        <w:rPr>
          <w:rFonts w:ascii="Avenir Book" w:hAnsi="Avenir Book"/>
          <w:sz w:val="22"/>
          <w:szCs w:val="22"/>
        </w:rPr>
        <w:t xml:space="preserve">In 2015, our campaign efforts led to the establishment of the Senate Inquiry into </w:t>
      </w:r>
      <w:r w:rsidR="00E70586">
        <w:rPr>
          <w:rFonts w:ascii="Avenir Book" w:hAnsi="Avenir Book"/>
          <w:sz w:val="22"/>
          <w:szCs w:val="22"/>
        </w:rPr>
        <w:t>V</w:t>
      </w:r>
      <w:r w:rsidRPr="003E5226">
        <w:rPr>
          <w:rFonts w:ascii="Avenir Book" w:hAnsi="Avenir Book"/>
          <w:sz w:val="22"/>
          <w:szCs w:val="22"/>
        </w:rPr>
        <w:t xml:space="preserve">iolence, </w:t>
      </w:r>
      <w:r w:rsidR="00E70586">
        <w:rPr>
          <w:rFonts w:ascii="Avenir Book" w:hAnsi="Avenir Book"/>
          <w:sz w:val="22"/>
          <w:szCs w:val="22"/>
        </w:rPr>
        <w:t>A</w:t>
      </w:r>
      <w:r w:rsidRPr="003E5226">
        <w:rPr>
          <w:rFonts w:ascii="Avenir Book" w:hAnsi="Avenir Book"/>
          <w:sz w:val="22"/>
          <w:szCs w:val="22"/>
        </w:rPr>
        <w:t xml:space="preserve">buse and </w:t>
      </w:r>
      <w:r w:rsidR="00E70586">
        <w:rPr>
          <w:rFonts w:ascii="Avenir Book" w:hAnsi="Avenir Book"/>
          <w:sz w:val="22"/>
          <w:szCs w:val="22"/>
        </w:rPr>
        <w:t>N</w:t>
      </w:r>
      <w:r w:rsidRPr="003E5226">
        <w:rPr>
          <w:rFonts w:ascii="Avenir Book" w:hAnsi="Avenir Book"/>
          <w:sz w:val="22"/>
          <w:szCs w:val="22"/>
        </w:rPr>
        <w:t xml:space="preserve">eglect </w:t>
      </w:r>
      <w:r w:rsidR="00E70586">
        <w:rPr>
          <w:rFonts w:ascii="Avenir Book" w:hAnsi="Avenir Book"/>
          <w:sz w:val="22"/>
          <w:szCs w:val="22"/>
        </w:rPr>
        <w:t>A</w:t>
      </w:r>
      <w:r w:rsidRPr="003E5226">
        <w:rPr>
          <w:rFonts w:ascii="Avenir Book" w:hAnsi="Avenir Book"/>
          <w:sz w:val="22"/>
          <w:szCs w:val="22"/>
        </w:rPr>
        <w:t xml:space="preserve">gainst </w:t>
      </w:r>
      <w:r w:rsidR="00E70586">
        <w:rPr>
          <w:rFonts w:ascii="Avenir Book" w:hAnsi="Avenir Book"/>
          <w:sz w:val="22"/>
          <w:szCs w:val="22"/>
        </w:rPr>
        <w:t>P</w:t>
      </w:r>
      <w:r w:rsidRPr="003E5226">
        <w:rPr>
          <w:rFonts w:ascii="Avenir Book" w:hAnsi="Avenir Book"/>
          <w:sz w:val="22"/>
          <w:szCs w:val="22"/>
        </w:rPr>
        <w:t xml:space="preserve">eople with </w:t>
      </w:r>
      <w:r w:rsidR="00E70586">
        <w:rPr>
          <w:rFonts w:ascii="Avenir Book" w:hAnsi="Avenir Book"/>
          <w:sz w:val="22"/>
          <w:szCs w:val="22"/>
        </w:rPr>
        <w:t>D</w:t>
      </w:r>
      <w:r w:rsidRPr="003E5226">
        <w:rPr>
          <w:rFonts w:ascii="Avenir Book" w:hAnsi="Avenir Book"/>
          <w:sz w:val="22"/>
          <w:szCs w:val="22"/>
        </w:rPr>
        <w:t xml:space="preserve">isability in </w:t>
      </w:r>
      <w:r w:rsidR="00E70586">
        <w:rPr>
          <w:rFonts w:ascii="Avenir Book" w:hAnsi="Avenir Book"/>
          <w:sz w:val="22"/>
          <w:szCs w:val="22"/>
        </w:rPr>
        <w:t>I</w:t>
      </w:r>
      <w:r w:rsidRPr="003E5226">
        <w:rPr>
          <w:rFonts w:ascii="Avenir Book" w:hAnsi="Avenir Book"/>
          <w:sz w:val="22"/>
          <w:szCs w:val="22"/>
        </w:rPr>
        <w:t xml:space="preserve">nstitutional and </w:t>
      </w:r>
      <w:r w:rsidR="00E70586">
        <w:rPr>
          <w:rFonts w:ascii="Avenir Book" w:hAnsi="Avenir Book"/>
          <w:sz w:val="22"/>
          <w:szCs w:val="22"/>
        </w:rPr>
        <w:t>R</w:t>
      </w:r>
      <w:r w:rsidRPr="003E5226">
        <w:rPr>
          <w:rFonts w:ascii="Avenir Book" w:hAnsi="Avenir Book"/>
          <w:sz w:val="22"/>
          <w:szCs w:val="22"/>
        </w:rPr>
        <w:t>esidential settings, including the gender and age-related dimensions, and the particular situation of Aboriginal and Torres Strait Islander people with disability, and culturally and linguistically diverse people with disability</w:t>
      </w:r>
      <w:r w:rsidR="00266627">
        <w:rPr>
          <w:rFonts w:ascii="Avenir Book" w:hAnsi="Avenir Book"/>
          <w:sz w:val="22"/>
          <w:szCs w:val="22"/>
        </w:rPr>
        <w:t xml:space="preserve"> (Senate Inquiry)</w:t>
      </w:r>
      <w:r w:rsidR="00BB26EC">
        <w:rPr>
          <w:rFonts w:ascii="Avenir Book" w:hAnsi="Avenir Book"/>
          <w:sz w:val="22"/>
          <w:szCs w:val="22"/>
        </w:rPr>
        <w:t>.</w:t>
      </w:r>
      <w:r w:rsidR="009507E9" w:rsidRPr="003E5226">
        <w:rPr>
          <w:rStyle w:val="FootnoteReference"/>
          <w:rFonts w:ascii="Avenir Book" w:hAnsi="Avenir Book"/>
          <w:sz w:val="22"/>
          <w:szCs w:val="22"/>
        </w:rPr>
        <w:footnoteReference w:id="2"/>
      </w:r>
      <w:r w:rsidRPr="003E5226">
        <w:rPr>
          <w:rFonts w:ascii="Avenir Book" w:hAnsi="Avenir Book"/>
          <w:sz w:val="22"/>
          <w:szCs w:val="22"/>
        </w:rPr>
        <w:t xml:space="preserve"> Recommendation 1 from that Senate Inquiry was that a Royal Commission be established.</w:t>
      </w:r>
      <w:r w:rsidR="00C179F3" w:rsidRPr="003E5226">
        <w:rPr>
          <w:rStyle w:val="FootnoteReference"/>
          <w:rFonts w:ascii="Avenir Book" w:hAnsi="Avenir Book"/>
          <w:sz w:val="22"/>
          <w:szCs w:val="22"/>
        </w:rPr>
        <w:footnoteReference w:id="3"/>
      </w:r>
    </w:p>
    <w:p w14:paraId="498DC2D5" w14:textId="77777777" w:rsidR="00062B74" w:rsidRPr="003E5226" w:rsidRDefault="00062B74" w:rsidP="00217BD3">
      <w:pPr>
        <w:pStyle w:val="ListParagraph"/>
        <w:spacing w:line="240" w:lineRule="auto"/>
        <w:ind w:left="0"/>
        <w:jc w:val="left"/>
        <w:rPr>
          <w:rFonts w:ascii="Avenir Book" w:hAnsi="Avenir Book" w:cstheme="minorHAnsi"/>
          <w:sz w:val="22"/>
          <w:szCs w:val="22"/>
        </w:rPr>
      </w:pPr>
    </w:p>
    <w:p w14:paraId="39E2B57E" w14:textId="3CD514E4" w:rsidR="00220013" w:rsidRPr="008F2F21" w:rsidRDefault="00220013" w:rsidP="00564172">
      <w:pPr>
        <w:pStyle w:val="ListParagraph"/>
        <w:numPr>
          <w:ilvl w:val="1"/>
          <w:numId w:val="7"/>
        </w:numPr>
        <w:snapToGrid w:val="0"/>
        <w:spacing w:after="120" w:line="240" w:lineRule="auto"/>
        <w:ind w:left="992" w:hanging="567"/>
        <w:contextualSpacing w:val="0"/>
        <w:jc w:val="left"/>
        <w:rPr>
          <w:rFonts w:ascii="Avenir Book" w:hAnsi="Avenir Book" w:cstheme="minorHAnsi"/>
          <w:sz w:val="22"/>
          <w:szCs w:val="22"/>
        </w:rPr>
      </w:pPr>
      <w:r w:rsidRPr="003E5226">
        <w:rPr>
          <w:rFonts w:ascii="Avenir Book" w:hAnsi="Avenir Book"/>
          <w:sz w:val="22"/>
          <w:szCs w:val="22"/>
        </w:rPr>
        <w:t>However, i</w:t>
      </w:r>
      <w:r w:rsidR="00B35330" w:rsidRPr="003E5226">
        <w:rPr>
          <w:rFonts w:ascii="Avenir Book" w:hAnsi="Avenir Book"/>
          <w:sz w:val="22"/>
          <w:szCs w:val="22"/>
        </w:rPr>
        <w:t>t wasn’t until 201</w:t>
      </w:r>
      <w:r w:rsidR="00CC41A6">
        <w:rPr>
          <w:rFonts w:ascii="Avenir Book" w:hAnsi="Avenir Book"/>
          <w:sz w:val="22"/>
          <w:szCs w:val="22"/>
        </w:rPr>
        <w:t>9</w:t>
      </w:r>
      <w:r w:rsidR="00B35330" w:rsidRPr="003E5226">
        <w:rPr>
          <w:rFonts w:ascii="Avenir Book" w:hAnsi="Avenir Book"/>
          <w:sz w:val="22"/>
          <w:szCs w:val="22"/>
        </w:rPr>
        <w:t xml:space="preserve">, and after further concerted advocacy efforts that the Royal Commission was finally established by the Australian Government.  </w:t>
      </w:r>
      <w:r w:rsidR="00B35330" w:rsidRPr="008F2F21">
        <w:rPr>
          <w:rFonts w:ascii="Avenir Book" w:hAnsi="Avenir Book"/>
          <w:sz w:val="22"/>
          <w:szCs w:val="22"/>
        </w:rPr>
        <w:t xml:space="preserve">The </w:t>
      </w:r>
      <w:r w:rsidR="004E0FD2" w:rsidRPr="008F2F21">
        <w:rPr>
          <w:rFonts w:ascii="Avenir Book" w:hAnsi="Avenir Book"/>
          <w:sz w:val="22"/>
          <w:szCs w:val="22"/>
        </w:rPr>
        <w:t xml:space="preserve">Terms of Reference for the Royal Commission are contained in the Commonwealth </w:t>
      </w:r>
      <w:r w:rsidR="00B35330" w:rsidRPr="008F2F21">
        <w:rPr>
          <w:rFonts w:ascii="Avenir Book" w:hAnsi="Avenir Book"/>
          <w:sz w:val="22"/>
          <w:szCs w:val="22"/>
        </w:rPr>
        <w:t xml:space="preserve">Letters Patent </w:t>
      </w:r>
      <w:r w:rsidR="004E0FD2" w:rsidRPr="008F2F21">
        <w:rPr>
          <w:rFonts w:ascii="Avenir Book" w:hAnsi="Avenir Book"/>
          <w:sz w:val="22"/>
          <w:szCs w:val="22"/>
        </w:rPr>
        <w:t>that were signed by the Governor General on 4 April 201</w:t>
      </w:r>
      <w:r w:rsidR="00CC41A6" w:rsidRPr="008F2F21">
        <w:rPr>
          <w:rFonts w:ascii="Avenir Book" w:hAnsi="Avenir Book"/>
          <w:sz w:val="22"/>
          <w:szCs w:val="22"/>
        </w:rPr>
        <w:t>9</w:t>
      </w:r>
      <w:r w:rsidR="004E0FD2" w:rsidRPr="008F2F21">
        <w:rPr>
          <w:rFonts w:ascii="Avenir Book" w:hAnsi="Avenir Book"/>
          <w:sz w:val="22"/>
          <w:szCs w:val="22"/>
        </w:rPr>
        <w:t>.</w:t>
      </w:r>
      <w:r w:rsidR="004E0FD2" w:rsidRPr="003E5226">
        <w:rPr>
          <w:rStyle w:val="FootnoteReference"/>
          <w:rFonts w:ascii="Avenir Book" w:hAnsi="Avenir Book"/>
          <w:sz w:val="22"/>
          <w:szCs w:val="22"/>
        </w:rPr>
        <w:footnoteReference w:id="4"/>
      </w:r>
      <w:r w:rsidR="004E0FD2" w:rsidRPr="008F2F21">
        <w:rPr>
          <w:rFonts w:ascii="Avenir Book" w:hAnsi="Avenir Book"/>
          <w:sz w:val="22"/>
          <w:szCs w:val="22"/>
        </w:rPr>
        <w:t xml:space="preserve">  These Terms of Reference </w:t>
      </w:r>
      <w:r w:rsidR="00B35330" w:rsidRPr="008F2F21">
        <w:rPr>
          <w:rFonts w:ascii="Avenir Book" w:hAnsi="Avenir Book"/>
          <w:sz w:val="22"/>
          <w:szCs w:val="22"/>
        </w:rPr>
        <w:t xml:space="preserve">explicitly </w:t>
      </w:r>
      <w:r w:rsidRPr="008F2F21">
        <w:rPr>
          <w:rFonts w:ascii="Avenir Book" w:hAnsi="Avenir Book"/>
          <w:sz w:val="22"/>
          <w:szCs w:val="22"/>
        </w:rPr>
        <w:t>state that:</w:t>
      </w:r>
    </w:p>
    <w:p w14:paraId="2931532F" w14:textId="34A0A1F4" w:rsidR="00B35330" w:rsidRPr="003E5226" w:rsidRDefault="00220013" w:rsidP="00217BD3">
      <w:pPr>
        <w:pStyle w:val="ListParagraph"/>
        <w:snapToGrid w:val="0"/>
        <w:spacing w:after="120" w:line="240" w:lineRule="auto"/>
        <w:ind w:left="1276" w:right="720"/>
        <w:jc w:val="left"/>
        <w:rPr>
          <w:rFonts w:ascii="Avenir Book" w:hAnsi="Avenir Book" w:cstheme="minorHAnsi"/>
          <w:color w:val="000000"/>
          <w:sz w:val="22"/>
          <w:szCs w:val="22"/>
          <w:shd w:val="clear" w:color="auto" w:fill="FFFFFF"/>
        </w:rPr>
      </w:pPr>
      <w:r w:rsidRPr="003E5226">
        <w:rPr>
          <w:rFonts w:ascii="Avenir Book" w:hAnsi="Avenir Book" w:cstheme="minorHAnsi"/>
          <w:color w:val="000000"/>
          <w:sz w:val="22"/>
          <w:szCs w:val="22"/>
          <w:shd w:val="clear" w:color="auto" w:fill="FFFFFF"/>
        </w:rPr>
        <w:t>“Australia has international obligations to take appropriate legislative, administrative and other measures to promote the human rights of people with disability, including to protect people with disability from all forms of exploitation, violence and abuse under the Convention on the Rights of Persons with Disabilities.”</w:t>
      </w:r>
      <w:r w:rsidR="00DD523D">
        <w:rPr>
          <w:rStyle w:val="FootnoteReference"/>
          <w:rFonts w:ascii="Avenir Book" w:hAnsi="Avenir Book" w:cstheme="minorHAnsi"/>
          <w:color w:val="000000"/>
          <w:sz w:val="22"/>
          <w:szCs w:val="22"/>
          <w:shd w:val="clear" w:color="auto" w:fill="FFFFFF"/>
        </w:rPr>
        <w:footnoteReference w:id="5"/>
      </w:r>
    </w:p>
    <w:p w14:paraId="6A666B61" w14:textId="77777777" w:rsidR="00062B74" w:rsidRPr="003E5226" w:rsidRDefault="00062B74" w:rsidP="00217BD3">
      <w:pPr>
        <w:pStyle w:val="ListParagraph"/>
        <w:snapToGrid w:val="0"/>
        <w:spacing w:line="240" w:lineRule="auto"/>
        <w:ind w:left="0" w:right="232"/>
        <w:jc w:val="left"/>
        <w:rPr>
          <w:rFonts w:ascii="Avenir Book" w:hAnsi="Avenir Book" w:cstheme="minorHAnsi"/>
          <w:color w:val="000000"/>
          <w:sz w:val="22"/>
          <w:szCs w:val="22"/>
          <w:shd w:val="clear" w:color="auto" w:fill="FFFFFF"/>
        </w:rPr>
      </w:pPr>
    </w:p>
    <w:p w14:paraId="418AB7B6" w14:textId="142F6277" w:rsidR="006E73AC" w:rsidRPr="003E5226" w:rsidRDefault="00B35330" w:rsidP="00564172">
      <w:pPr>
        <w:pStyle w:val="ListParagraph"/>
        <w:numPr>
          <w:ilvl w:val="1"/>
          <w:numId w:val="7"/>
        </w:numPr>
        <w:snapToGrid w:val="0"/>
        <w:spacing w:after="120" w:line="240" w:lineRule="auto"/>
        <w:ind w:left="993" w:hanging="567"/>
        <w:jc w:val="left"/>
        <w:rPr>
          <w:rFonts w:ascii="Avenir Book" w:hAnsi="Avenir Book" w:cstheme="minorHAnsi"/>
          <w:sz w:val="22"/>
          <w:szCs w:val="22"/>
        </w:rPr>
      </w:pPr>
      <w:r w:rsidRPr="003E5226">
        <w:rPr>
          <w:rFonts w:ascii="Avenir Book" w:hAnsi="Avenir Book"/>
          <w:sz w:val="22"/>
          <w:szCs w:val="22"/>
        </w:rPr>
        <w:t xml:space="preserve">The </w:t>
      </w:r>
      <w:r w:rsidR="00F137B0" w:rsidRPr="003E5226">
        <w:rPr>
          <w:rFonts w:ascii="Avenir Book" w:hAnsi="Avenir Book"/>
          <w:sz w:val="22"/>
          <w:szCs w:val="22"/>
        </w:rPr>
        <w:t>Terms of Reference</w:t>
      </w:r>
      <w:r w:rsidRPr="003E5226">
        <w:rPr>
          <w:rFonts w:ascii="Avenir Book" w:hAnsi="Avenir Book"/>
          <w:sz w:val="22"/>
          <w:szCs w:val="22"/>
        </w:rPr>
        <w:t xml:space="preserve"> reflect our </w:t>
      </w:r>
      <w:r w:rsidR="00EC074E" w:rsidRPr="003E5226">
        <w:rPr>
          <w:rFonts w:ascii="Avenir Book" w:hAnsi="Avenir Book"/>
          <w:sz w:val="22"/>
          <w:szCs w:val="22"/>
        </w:rPr>
        <w:t xml:space="preserve">campaign </w:t>
      </w:r>
      <w:r w:rsidRPr="003E5226">
        <w:rPr>
          <w:rFonts w:ascii="Avenir Book" w:hAnsi="Avenir Book"/>
          <w:sz w:val="22"/>
          <w:szCs w:val="22"/>
        </w:rPr>
        <w:t xml:space="preserve">calls that the Royal Commission should </w:t>
      </w:r>
      <w:r w:rsidR="00EC074E" w:rsidRPr="003E5226">
        <w:rPr>
          <w:rFonts w:ascii="Avenir Book" w:hAnsi="Avenir Book"/>
          <w:sz w:val="22"/>
          <w:szCs w:val="22"/>
        </w:rPr>
        <w:t>have regard to</w:t>
      </w:r>
      <w:r w:rsidRPr="003E5226">
        <w:rPr>
          <w:rFonts w:ascii="Avenir Book" w:hAnsi="Avenir Book"/>
          <w:sz w:val="22"/>
          <w:szCs w:val="22"/>
        </w:rPr>
        <w:t xml:space="preserve"> </w:t>
      </w:r>
      <w:r w:rsidR="00EC074E" w:rsidRPr="003E5226">
        <w:rPr>
          <w:rFonts w:ascii="Avenir Book" w:hAnsi="Avenir Book"/>
          <w:sz w:val="22"/>
          <w:szCs w:val="22"/>
        </w:rPr>
        <w:t>“</w:t>
      </w:r>
      <w:r w:rsidRPr="003E5226">
        <w:rPr>
          <w:rFonts w:ascii="Avenir Book" w:hAnsi="Avenir Book"/>
          <w:sz w:val="22"/>
          <w:szCs w:val="22"/>
        </w:rPr>
        <w:t>all forms of violence against</w:t>
      </w:r>
      <w:r w:rsidR="00EC074E" w:rsidRPr="003E5226">
        <w:rPr>
          <w:rFonts w:ascii="Avenir Book" w:hAnsi="Avenir Book"/>
          <w:sz w:val="22"/>
          <w:szCs w:val="22"/>
        </w:rPr>
        <w:t xml:space="preserve">, and abuse, neglect and exploitation of, </w:t>
      </w:r>
      <w:r w:rsidRPr="003E5226">
        <w:rPr>
          <w:rFonts w:ascii="Avenir Book" w:hAnsi="Avenir Book"/>
          <w:sz w:val="22"/>
          <w:szCs w:val="22"/>
        </w:rPr>
        <w:t>people with disability</w:t>
      </w:r>
      <w:r w:rsidR="00EC074E" w:rsidRPr="003E5226">
        <w:rPr>
          <w:rFonts w:ascii="Avenir Book" w:hAnsi="Avenir Book"/>
          <w:sz w:val="22"/>
          <w:szCs w:val="22"/>
        </w:rPr>
        <w:t>, whatever the setting or context”</w:t>
      </w:r>
      <w:r w:rsidR="006E73AC" w:rsidRPr="003E5226">
        <w:rPr>
          <w:rFonts w:ascii="Avenir Book" w:hAnsi="Avenir Book"/>
          <w:sz w:val="22"/>
          <w:szCs w:val="22"/>
        </w:rPr>
        <w:t>.</w:t>
      </w:r>
      <w:r w:rsidR="00EC074E" w:rsidRPr="003E5226">
        <w:rPr>
          <w:rStyle w:val="FootnoteReference"/>
          <w:rFonts w:ascii="Avenir Book" w:hAnsi="Avenir Book"/>
          <w:sz w:val="22"/>
          <w:szCs w:val="22"/>
        </w:rPr>
        <w:footnoteReference w:id="6"/>
      </w:r>
      <w:r w:rsidR="00EC074E" w:rsidRPr="003E5226">
        <w:rPr>
          <w:rFonts w:ascii="Avenir Book" w:hAnsi="Avenir Book"/>
          <w:sz w:val="22"/>
          <w:szCs w:val="22"/>
        </w:rPr>
        <w:t xml:space="preserve"> </w:t>
      </w:r>
    </w:p>
    <w:p w14:paraId="78E131D7" w14:textId="77777777" w:rsidR="00062B74" w:rsidRPr="003E5226" w:rsidRDefault="00062B74" w:rsidP="00217BD3">
      <w:pPr>
        <w:pStyle w:val="ListParagraph"/>
        <w:snapToGrid w:val="0"/>
        <w:spacing w:line="240" w:lineRule="auto"/>
        <w:ind w:left="0"/>
        <w:jc w:val="left"/>
        <w:rPr>
          <w:rFonts w:ascii="Avenir Book" w:hAnsi="Avenir Book" w:cstheme="minorHAnsi"/>
          <w:sz w:val="22"/>
          <w:szCs w:val="22"/>
        </w:rPr>
      </w:pPr>
    </w:p>
    <w:p w14:paraId="4889A3AC" w14:textId="79048500" w:rsidR="006E73AC" w:rsidRPr="003E5226" w:rsidRDefault="006E73AC" w:rsidP="00564172">
      <w:pPr>
        <w:pStyle w:val="ListParagraph"/>
        <w:numPr>
          <w:ilvl w:val="1"/>
          <w:numId w:val="7"/>
        </w:numPr>
        <w:snapToGrid w:val="0"/>
        <w:spacing w:after="120" w:line="240" w:lineRule="auto"/>
        <w:ind w:left="992" w:hanging="567"/>
        <w:contextualSpacing w:val="0"/>
        <w:jc w:val="left"/>
        <w:rPr>
          <w:rFonts w:ascii="Avenir Book" w:hAnsi="Avenir Book" w:cstheme="minorHAnsi"/>
          <w:sz w:val="22"/>
          <w:szCs w:val="22"/>
        </w:rPr>
      </w:pPr>
      <w:r w:rsidRPr="003E5226">
        <w:rPr>
          <w:rFonts w:ascii="Avenir Book" w:hAnsi="Avenir Book"/>
          <w:sz w:val="22"/>
          <w:szCs w:val="22"/>
        </w:rPr>
        <w:t>The Terms of Reference also reflect our calls for recognition of the intersectional dimensions of people with disability that make the experiences of violence, abuse, neglect and exploitation specific, unique and diverse:</w:t>
      </w:r>
    </w:p>
    <w:p w14:paraId="6450F129" w14:textId="5DBC3AD9" w:rsidR="00B35330" w:rsidRPr="003E5226" w:rsidRDefault="00EC074E" w:rsidP="00217BD3">
      <w:pPr>
        <w:pStyle w:val="ListParagraph"/>
        <w:snapToGrid w:val="0"/>
        <w:spacing w:line="240" w:lineRule="auto"/>
        <w:ind w:left="1276" w:right="720"/>
        <w:jc w:val="left"/>
        <w:rPr>
          <w:rFonts w:ascii="Avenir Book" w:hAnsi="Avenir Book" w:cstheme="minorHAnsi"/>
          <w:sz w:val="22"/>
          <w:szCs w:val="22"/>
        </w:rPr>
      </w:pPr>
      <w:r w:rsidRPr="003E5226">
        <w:rPr>
          <w:rFonts w:ascii="Avenir Book" w:hAnsi="Avenir Book"/>
          <w:sz w:val="22"/>
          <w:szCs w:val="22"/>
        </w:rPr>
        <w:t>“</w:t>
      </w:r>
      <w:r w:rsidR="00B35330" w:rsidRPr="003E5226">
        <w:rPr>
          <w:rFonts w:ascii="Avenir Book" w:hAnsi="Avenir Book"/>
          <w:sz w:val="22"/>
          <w:szCs w:val="22"/>
        </w:rPr>
        <w:t xml:space="preserve">the specific experiences of violence </w:t>
      </w:r>
      <w:r w:rsidRPr="003E5226">
        <w:rPr>
          <w:rFonts w:ascii="Avenir Book" w:hAnsi="Avenir Book"/>
          <w:sz w:val="22"/>
          <w:szCs w:val="22"/>
        </w:rPr>
        <w:t>against, and abuse</w:t>
      </w:r>
      <w:r w:rsidR="006E73AC" w:rsidRPr="003E5226">
        <w:rPr>
          <w:rFonts w:ascii="Avenir Book" w:hAnsi="Avenir Book"/>
          <w:sz w:val="22"/>
          <w:szCs w:val="22"/>
        </w:rPr>
        <w:t xml:space="preserve">, neglect and exploitation of, people with disability are multi-layered and influenced by experiences </w:t>
      </w:r>
      <w:r w:rsidR="00B35330" w:rsidRPr="003E5226">
        <w:rPr>
          <w:rFonts w:ascii="Avenir Book" w:hAnsi="Avenir Book"/>
          <w:sz w:val="22"/>
          <w:szCs w:val="22"/>
        </w:rPr>
        <w:t xml:space="preserve">associated with </w:t>
      </w:r>
      <w:r w:rsidR="006E73AC" w:rsidRPr="003E5226">
        <w:rPr>
          <w:rFonts w:ascii="Avenir Book" w:hAnsi="Avenir Book"/>
          <w:sz w:val="22"/>
          <w:szCs w:val="22"/>
        </w:rPr>
        <w:t xml:space="preserve">their </w:t>
      </w:r>
      <w:r w:rsidR="00B35330" w:rsidRPr="003E5226">
        <w:rPr>
          <w:rFonts w:ascii="Avenir Book" w:hAnsi="Avenir Book"/>
          <w:sz w:val="22"/>
          <w:szCs w:val="22"/>
        </w:rPr>
        <w:t>age, sex, gender, gender identity, sexual orientation, intersex status, ethnic origin or race, including the particular situation of Aboriginal and Torres Strait Islander people and culturally and linguistically diverse people with disability</w:t>
      </w:r>
      <w:r w:rsidR="0089001B" w:rsidRPr="003E5226">
        <w:rPr>
          <w:rFonts w:ascii="Avenir Book" w:hAnsi="Avenir Book"/>
          <w:sz w:val="22"/>
          <w:szCs w:val="22"/>
        </w:rPr>
        <w:t>.</w:t>
      </w:r>
      <w:r w:rsidR="006E73AC" w:rsidRPr="003E5226">
        <w:rPr>
          <w:rFonts w:ascii="Avenir Book" w:hAnsi="Avenir Book"/>
          <w:sz w:val="22"/>
          <w:szCs w:val="22"/>
        </w:rPr>
        <w:t>”</w:t>
      </w:r>
      <w:r w:rsidR="0089001B" w:rsidRPr="003E5226">
        <w:rPr>
          <w:rStyle w:val="FootnoteReference"/>
          <w:rFonts w:ascii="Avenir Book" w:hAnsi="Avenir Book"/>
          <w:sz w:val="22"/>
          <w:szCs w:val="22"/>
        </w:rPr>
        <w:footnoteReference w:id="7"/>
      </w:r>
    </w:p>
    <w:p w14:paraId="1040AFDA" w14:textId="77777777" w:rsidR="00B35330" w:rsidRPr="003E5226" w:rsidRDefault="00B35330" w:rsidP="00217BD3">
      <w:pPr>
        <w:pStyle w:val="ListParagraph"/>
        <w:spacing w:line="240" w:lineRule="auto"/>
        <w:ind w:left="993" w:hanging="567"/>
        <w:jc w:val="left"/>
        <w:rPr>
          <w:rFonts w:ascii="Avenir Book" w:hAnsi="Avenir Book" w:cstheme="minorHAnsi"/>
          <w:sz w:val="22"/>
          <w:szCs w:val="22"/>
        </w:rPr>
      </w:pPr>
    </w:p>
    <w:p w14:paraId="1CA6FEA3" w14:textId="63072066" w:rsidR="00B35330" w:rsidRPr="003E5226" w:rsidRDefault="00B35330" w:rsidP="00564172">
      <w:pPr>
        <w:pStyle w:val="ListParagraph"/>
        <w:numPr>
          <w:ilvl w:val="1"/>
          <w:numId w:val="7"/>
        </w:numPr>
        <w:snapToGrid w:val="0"/>
        <w:spacing w:after="120" w:line="240" w:lineRule="auto"/>
        <w:ind w:left="993" w:hanging="567"/>
        <w:jc w:val="left"/>
        <w:rPr>
          <w:rFonts w:ascii="Avenir Book" w:hAnsi="Avenir Book" w:cstheme="minorHAnsi"/>
          <w:sz w:val="22"/>
          <w:szCs w:val="22"/>
        </w:rPr>
      </w:pPr>
      <w:r w:rsidRPr="003E5226">
        <w:rPr>
          <w:rFonts w:ascii="Avenir Book" w:hAnsi="Avenir Book"/>
          <w:sz w:val="22"/>
          <w:szCs w:val="22"/>
        </w:rPr>
        <w:t>The multi</w:t>
      </w:r>
      <w:r w:rsidR="0089001B" w:rsidRPr="003E5226">
        <w:rPr>
          <w:rFonts w:ascii="Avenir Book" w:hAnsi="Avenir Book"/>
          <w:sz w:val="22"/>
          <w:szCs w:val="22"/>
        </w:rPr>
        <w:t>-</w:t>
      </w:r>
      <w:r w:rsidRPr="003E5226">
        <w:rPr>
          <w:rFonts w:ascii="Avenir Book" w:hAnsi="Avenir Book"/>
          <w:sz w:val="22"/>
          <w:szCs w:val="22"/>
        </w:rPr>
        <w:t xml:space="preserve">layered or intersectional analysis required by the </w:t>
      </w:r>
      <w:r w:rsidR="0089001B" w:rsidRPr="003E5226">
        <w:rPr>
          <w:rFonts w:ascii="Avenir Book" w:hAnsi="Avenir Book"/>
          <w:sz w:val="22"/>
          <w:szCs w:val="22"/>
        </w:rPr>
        <w:t>Terms of Reference</w:t>
      </w:r>
      <w:r w:rsidRPr="003E5226">
        <w:rPr>
          <w:rFonts w:ascii="Avenir Book" w:hAnsi="Avenir Book"/>
          <w:sz w:val="22"/>
          <w:szCs w:val="22"/>
        </w:rPr>
        <w:t xml:space="preserve">, and enshrined in the </w:t>
      </w:r>
      <w:r w:rsidR="00F229DA" w:rsidRPr="003E5226">
        <w:rPr>
          <w:rFonts w:ascii="Avenir Book" w:hAnsi="Avenir Book"/>
          <w:sz w:val="22"/>
          <w:szCs w:val="22"/>
        </w:rPr>
        <w:t>Convention on the Rights of Persons with Disabilities (</w:t>
      </w:r>
      <w:r w:rsidRPr="003E5226">
        <w:rPr>
          <w:rFonts w:ascii="Avenir Book" w:hAnsi="Avenir Book"/>
          <w:sz w:val="22"/>
          <w:szCs w:val="22"/>
        </w:rPr>
        <w:t>CRPD</w:t>
      </w:r>
      <w:r w:rsidR="00F229DA" w:rsidRPr="003E5226">
        <w:rPr>
          <w:rFonts w:ascii="Avenir Book" w:hAnsi="Avenir Book"/>
          <w:sz w:val="22"/>
          <w:szCs w:val="22"/>
        </w:rPr>
        <w:t>)</w:t>
      </w:r>
      <w:r w:rsidR="00C05DA2">
        <w:rPr>
          <w:rStyle w:val="FootnoteReference"/>
          <w:rFonts w:ascii="Avenir Book" w:hAnsi="Avenir Book"/>
          <w:sz w:val="22"/>
          <w:szCs w:val="22"/>
        </w:rPr>
        <w:footnoteReference w:id="8"/>
      </w:r>
      <w:r w:rsidRPr="003E5226">
        <w:rPr>
          <w:rFonts w:ascii="Avenir Book" w:hAnsi="Avenir Book"/>
          <w:sz w:val="22"/>
          <w:szCs w:val="22"/>
        </w:rPr>
        <w:t xml:space="preserve"> are critical to ensuring that all forms of violence in all settings experienced by people with disability, including women and girls with disability is identified, understood and addressed.  </w:t>
      </w:r>
    </w:p>
    <w:p w14:paraId="77E2DCC5" w14:textId="77777777" w:rsidR="00062B74" w:rsidRPr="003E5226" w:rsidRDefault="00062B74" w:rsidP="00217BD3">
      <w:pPr>
        <w:pStyle w:val="ListParagraph"/>
        <w:snapToGrid w:val="0"/>
        <w:spacing w:line="240" w:lineRule="auto"/>
        <w:ind w:left="0"/>
        <w:jc w:val="left"/>
        <w:rPr>
          <w:rFonts w:ascii="Avenir Book" w:hAnsi="Avenir Book" w:cstheme="minorHAnsi"/>
          <w:sz w:val="22"/>
          <w:szCs w:val="22"/>
        </w:rPr>
      </w:pPr>
    </w:p>
    <w:p w14:paraId="463DD801" w14:textId="450EDCA8" w:rsidR="00B35330" w:rsidRPr="003E5226" w:rsidRDefault="00293C78" w:rsidP="00564172">
      <w:pPr>
        <w:pStyle w:val="ListParagraph"/>
        <w:numPr>
          <w:ilvl w:val="1"/>
          <w:numId w:val="7"/>
        </w:numPr>
        <w:snapToGrid w:val="0"/>
        <w:spacing w:after="120" w:line="240" w:lineRule="auto"/>
        <w:ind w:left="993" w:hanging="567"/>
        <w:jc w:val="left"/>
        <w:rPr>
          <w:rFonts w:ascii="Avenir Book" w:hAnsi="Avenir Book" w:cstheme="minorHAnsi"/>
          <w:sz w:val="22"/>
          <w:szCs w:val="22"/>
        </w:rPr>
      </w:pPr>
      <w:r w:rsidRPr="003E5226">
        <w:rPr>
          <w:rFonts w:ascii="Avenir Book" w:hAnsi="Avenir Book"/>
          <w:sz w:val="22"/>
          <w:szCs w:val="22"/>
        </w:rPr>
        <w:t xml:space="preserve">As noted in the Royal Commission’s </w:t>
      </w:r>
      <w:r w:rsidR="008A47FA" w:rsidRPr="003E5226">
        <w:rPr>
          <w:rFonts w:ascii="Avenir Book" w:hAnsi="Avenir Book"/>
          <w:i/>
          <w:sz w:val="22"/>
          <w:szCs w:val="22"/>
        </w:rPr>
        <w:t>Accessibility and Inclusion Strategy</w:t>
      </w:r>
      <w:r w:rsidRPr="003E5226">
        <w:rPr>
          <w:rFonts w:ascii="Avenir Book" w:hAnsi="Avenir Book"/>
          <w:sz w:val="22"/>
          <w:szCs w:val="22"/>
        </w:rPr>
        <w:t>, i</w:t>
      </w:r>
      <w:r w:rsidR="00B35330" w:rsidRPr="003E5226">
        <w:rPr>
          <w:rFonts w:ascii="Avenir Book" w:hAnsi="Avenir Book"/>
          <w:sz w:val="22"/>
          <w:szCs w:val="22"/>
        </w:rPr>
        <w:t>t is now well established and recognised internationally and domestically that women and girls with disability are “far more likely to experience violence and abuse than women and girls without disability, and they are less likely to report this abuse for both personal and systemic reasons”.</w:t>
      </w:r>
      <w:r w:rsidR="00B158E3" w:rsidRPr="003E5226">
        <w:rPr>
          <w:rStyle w:val="FootnoteReference"/>
          <w:rFonts w:ascii="Avenir Book" w:hAnsi="Avenir Book"/>
          <w:sz w:val="22"/>
          <w:szCs w:val="22"/>
        </w:rPr>
        <w:footnoteReference w:id="9"/>
      </w:r>
    </w:p>
    <w:p w14:paraId="726381E5" w14:textId="77777777" w:rsidR="00062B74" w:rsidRPr="003E5226" w:rsidRDefault="00062B74" w:rsidP="00217BD3">
      <w:pPr>
        <w:pStyle w:val="ListParagraph"/>
        <w:spacing w:line="240" w:lineRule="auto"/>
        <w:ind w:left="0"/>
        <w:jc w:val="left"/>
        <w:rPr>
          <w:rFonts w:ascii="Avenir Book" w:hAnsi="Avenir Book" w:cstheme="minorHAnsi"/>
          <w:sz w:val="22"/>
          <w:szCs w:val="22"/>
        </w:rPr>
      </w:pPr>
    </w:p>
    <w:p w14:paraId="3F1A9AA7" w14:textId="2EC155A3" w:rsidR="00EC074E" w:rsidRPr="003E5226" w:rsidRDefault="00B35330" w:rsidP="00564172">
      <w:pPr>
        <w:pStyle w:val="ListParagraph"/>
        <w:numPr>
          <w:ilvl w:val="1"/>
          <w:numId w:val="7"/>
        </w:numPr>
        <w:snapToGrid w:val="0"/>
        <w:spacing w:after="120" w:line="240" w:lineRule="auto"/>
        <w:ind w:left="993" w:hanging="567"/>
        <w:jc w:val="left"/>
        <w:rPr>
          <w:rFonts w:ascii="Avenir Book" w:hAnsi="Avenir Book" w:cstheme="minorHAnsi"/>
          <w:sz w:val="22"/>
          <w:szCs w:val="22"/>
        </w:rPr>
      </w:pPr>
      <w:r w:rsidRPr="003E5226">
        <w:rPr>
          <w:rFonts w:ascii="Avenir Book" w:hAnsi="Avenir Book"/>
          <w:sz w:val="22"/>
          <w:szCs w:val="22"/>
        </w:rPr>
        <w:t xml:space="preserve">Australia has received numerous recommendations </w:t>
      </w:r>
      <w:r w:rsidR="00C632F9" w:rsidRPr="003E5226">
        <w:rPr>
          <w:rFonts w:ascii="Avenir Book" w:hAnsi="Avenir Book"/>
          <w:sz w:val="22"/>
          <w:szCs w:val="22"/>
        </w:rPr>
        <w:t xml:space="preserve">from the United Nations </w:t>
      </w:r>
      <w:r w:rsidR="000B5BD0" w:rsidRPr="003E5226">
        <w:rPr>
          <w:rFonts w:ascii="Avenir Book" w:hAnsi="Avenir Book"/>
          <w:sz w:val="22"/>
          <w:szCs w:val="22"/>
        </w:rPr>
        <w:t xml:space="preserve">(UN) </w:t>
      </w:r>
      <w:r w:rsidRPr="003E5226">
        <w:rPr>
          <w:rFonts w:ascii="Avenir Book" w:hAnsi="Avenir Book"/>
          <w:sz w:val="22"/>
          <w:szCs w:val="22"/>
        </w:rPr>
        <w:t>to investigate, address and remedy this situation for women and girls with disability. Very few of these recommendations have been implemented</w:t>
      </w:r>
      <w:r w:rsidR="00064D97" w:rsidRPr="003E5226">
        <w:rPr>
          <w:rFonts w:ascii="Avenir Book" w:hAnsi="Avenir Book"/>
          <w:sz w:val="22"/>
          <w:szCs w:val="22"/>
        </w:rPr>
        <w:t xml:space="preserve"> by successive Australian </w:t>
      </w:r>
      <w:r w:rsidR="00064D97" w:rsidRPr="00DD523D">
        <w:rPr>
          <w:rFonts w:ascii="Avenir Book" w:hAnsi="Avenir Book"/>
          <w:sz w:val="22"/>
          <w:szCs w:val="22"/>
        </w:rPr>
        <w:t>governments</w:t>
      </w:r>
      <w:r w:rsidRPr="00DD523D">
        <w:rPr>
          <w:rFonts w:ascii="Avenir Book" w:hAnsi="Avenir Book"/>
          <w:sz w:val="22"/>
          <w:szCs w:val="22"/>
        </w:rPr>
        <w:t>.</w:t>
      </w:r>
      <w:r w:rsidR="00E73533" w:rsidRPr="00DD523D">
        <w:rPr>
          <w:rFonts w:ascii="Avenir Book" w:hAnsi="Avenir Book"/>
          <w:sz w:val="22"/>
          <w:szCs w:val="22"/>
          <w:lang w:val="en-AU"/>
        </w:rPr>
        <w:t xml:space="preserve"> The most recent </w:t>
      </w:r>
      <w:r w:rsidR="00D5442E" w:rsidRPr="00DD523D">
        <w:rPr>
          <w:rFonts w:ascii="Avenir Book" w:hAnsi="Avenir Book"/>
          <w:sz w:val="22"/>
          <w:szCs w:val="22"/>
          <w:lang w:val="en-AU"/>
        </w:rPr>
        <w:t xml:space="preserve">key </w:t>
      </w:r>
      <w:r w:rsidR="00E73533" w:rsidRPr="00DD523D">
        <w:rPr>
          <w:rFonts w:ascii="Avenir Book" w:hAnsi="Avenir Book"/>
          <w:sz w:val="22"/>
          <w:szCs w:val="22"/>
          <w:lang w:val="en-AU"/>
        </w:rPr>
        <w:t>recommendations from UN Treaty Bodies relevant to the area</w:t>
      </w:r>
      <w:r w:rsidR="00573FB4">
        <w:rPr>
          <w:rFonts w:ascii="Avenir Book" w:hAnsi="Avenir Book"/>
          <w:sz w:val="22"/>
          <w:szCs w:val="22"/>
          <w:lang w:val="en-AU"/>
        </w:rPr>
        <w:t>s</w:t>
      </w:r>
      <w:r w:rsidR="00E73533" w:rsidRPr="00DD523D">
        <w:rPr>
          <w:rFonts w:ascii="Avenir Book" w:hAnsi="Avenir Book"/>
          <w:sz w:val="22"/>
          <w:szCs w:val="22"/>
          <w:lang w:val="en-AU"/>
        </w:rPr>
        <w:t xml:space="preserve"> of </w:t>
      </w:r>
      <w:r w:rsidR="00BF51F1" w:rsidRPr="00DD523D">
        <w:rPr>
          <w:rFonts w:ascii="Avenir Book" w:hAnsi="Avenir Book"/>
          <w:sz w:val="22"/>
          <w:szCs w:val="22"/>
          <w:lang w:val="en-AU"/>
        </w:rPr>
        <w:t>independent living</w:t>
      </w:r>
      <w:r w:rsidR="000D7C0F">
        <w:rPr>
          <w:rFonts w:ascii="Avenir Book" w:hAnsi="Avenir Book"/>
          <w:sz w:val="22"/>
          <w:szCs w:val="22"/>
          <w:lang w:val="en-AU"/>
        </w:rPr>
        <w:t xml:space="preserve"> and being included in the community</w:t>
      </w:r>
      <w:r w:rsidR="00DD523D">
        <w:rPr>
          <w:rFonts w:ascii="Avenir Book" w:hAnsi="Avenir Book"/>
          <w:sz w:val="22"/>
          <w:szCs w:val="22"/>
          <w:lang w:val="en-AU"/>
        </w:rPr>
        <w:t xml:space="preserve">, </w:t>
      </w:r>
      <w:r w:rsidR="00DD523D" w:rsidRPr="00DD523D">
        <w:rPr>
          <w:rFonts w:ascii="Avenir Book" w:hAnsi="Avenir Book"/>
          <w:sz w:val="22"/>
          <w:szCs w:val="22"/>
          <w:lang w:val="en-AU"/>
        </w:rPr>
        <w:t xml:space="preserve">and </w:t>
      </w:r>
      <w:r w:rsidR="00D5442E" w:rsidRPr="00DD523D">
        <w:rPr>
          <w:rFonts w:ascii="Avenir Book" w:hAnsi="Avenir Book"/>
          <w:sz w:val="22"/>
          <w:szCs w:val="22"/>
          <w:lang w:val="en-AU"/>
        </w:rPr>
        <w:t>violence, abuse, neglect and</w:t>
      </w:r>
      <w:r w:rsidR="00D5442E" w:rsidRPr="003E5226">
        <w:rPr>
          <w:rFonts w:ascii="Avenir Book" w:hAnsi="Avenir Book"/>
          <w:sz w:val="22"/>
          <w:szCs w:val="22"/>
          <w:lang w:val="en-AU"/>
        </w:rPr>
        <w:t xml:space="preserve"> exploitation </w:t>
      </w:r>
      <w:r w:rsidR="00E73533" w:rsidRPr="003E5226">
        <w:rPr>
          <w:rFonts w:ascii="Avenir Book" w:hAnsi="Avenir Book"/>
          <w:sz w:val="22"/>
          <w:szCs w:val="22"/>
          <w:lang w:val="en-AU"/>
        </w:rPr>
        <w:t>are outlined in the Appendix to this submission.</w:t>
      </w:r>
    </w:p>
    <w:p w14:paraId="2BFF9F2D" w14:textId="77777777" w:rsidR="00EC074E" w:rsidRPr="003E5226" w:rsidRDefault="00EC074E" w:rsidP="00217BD3">
      <w:pPr>
        <w:spacing w:line="240" w:lineRule="auto"/>
        <w:jc w:val="left"/>
        <w:rPr>
          <w:rFonts w:ascii="Avenir Book" w:hAnsi="Avenir Book" w:cs="Calibri"/>
          <w:color w:val="000000" w:themeColor="text1"/>
          <w:sz w:val="22"/>
          <w:szCs w:val="22"/>
          <w:lang w:bidi="en-US"/>
        </w:rPr>
      </w:pPr>
    </w:p>
    <w:p w14:paraId="3E159AE7" w14:textId="6C14C7EF" w:rsidR="00EC074E" w:rsidRPr="003E5226" w:rsidRDefault="00EC074E" w:rsidP="00217BD3">
      <w:pPr>
        <w:spacing w:line="240" w:lineRule="auto"/>
        <w:jc w:val="left"/>
        <w:rPr>
          <w:rFonts w:ascii="Avenir Book" w:hAnsi="Avenir Book" w:cs="Calibri"/>
          <w:color w:val="000000" w:themeColor="text1"/>
          <w:sz w:val="22"/>
          <w:szCs w:val="22"/>
          <w:lang w:bidi="en-US"/>
        </w:rPr>
      </w:pPr>
    </w:p>
    <w:bookmarkEnd w:id="106"/>
    <w:p w14:paraId="19D94C9E" w14:textId="77777777" w:rsidR="00415C95" w:rsidRPr="003E5226" w:rsidRDefault="00415C95" w:rsidP="00121931">
      <w:pPr>
        <w:rPr>
          <w:rFonts w:ascii="Avenir Book" w:hAnsi="Avenir Book" w:cs="Calibri"/>
          <w:sz w:val="22"/>
          <w:szCs w:val="22"/>
        </w:rPr>
      </w:pPr>
    </w:p>
    <w:p w14:paraId="3812CE51" w14:textId="305E0075" w:rsidR="0094397F" w:rsidRPr="006575D7" w:rsidRDefault="0094397F" w:rsidP="00121931">
      <w:pPr>
        <w:rPr>
          <w:rFonts w:ascii="Calibri" w:hAnsi="Calibri" w:cs="Calibri"/>
          <w:b/>
          <w:color w:val="000000"/>
        </w:rPr>
      </w:pPr>
      <w:r w:rsidRPr="006575D7">
        <w:rPr>
          <w:rFonts w:ascii="Calibri" w:hAnsi="Calibri" w:cs="Calibri"/>
          <w:b/>
        </w:rPr>
        <w:br w:type="page"/>
      </w:r>
    </w:p>
    <w:p w14:paraId="3861D403" w14:textId="5AF738FB" w:rsidR="00A56DB8" w:rsidRPr="00217BD3" w:rsidRDefault="00430D9C" w:rsidP="00564172">
      <w:pPr>
        <w:pStyle w:val="Heading2"/>
        <w:numPr>
          <w:ilvl w:val="0"/>
          <w:numId w:val="6"/>
        </w:numPr>
        <w:spacing w:line="240" w:lineRule="auto"/>
        <w:ind w:left="426" w:hanging="426"/>
        <w:rPr>
          <w:rFonts w:ascii="Avenir Book" w:hAnsi="Avenir Book" w:cs="Calibri"/>
          <w:color w:val="AC1F79"/>
          <w:sz w:val="22"/>
        </w:rPr>
      </w:pPr>
      <w:bookmarkStart w:id="107" w:name="_Toc43919148"/>
      <w:r w:rsidRPr="006D22F9">
        <w:rPr>
          <w:rFonts w:ascii="Avenir Book" w:hAnsi="Avenir Book" w:cs="Calibri"/>
          <w:color w:val="AC1F79"/>
        </w:rPr>
        <w:lastRenderedPageBreak/>
        <w:t>Introduction</w:t>
      </w:r>
      <w:bookmarkEnd w:id="107"/>
      <w:r w:rsidRPr="006D22F9">
        <w:rPr>
          <w:rFonts w:ascii="Avenir Book" w:hAnsi="Avenir Book" w:cs="Calibri"/>
          <w:color w:val="AC1F79"/>
        </w:rPr>
        <w:t xml:space="preserve"> </w:t>
      </w:r>
    </w:p>
    <w:p w14:paraId="4742A081" w14:textId="6214494E" w:rsidR="00C05DA2" w:rsidRDefault="00430D9C" w:rsidP="00564172">
      <w:pPr>
        <w:pStyle w:val="ListParagraph"/>
        <w:numPr>
          <w:ilvl w:val="1"/>
          <w:numId w:val="15"/>
        </w:numPr>
        <w:spacing w:line="240" w:lineRule="auto"/>
        <w:ind w:left="993" w:hanging="567"/>
        <w:jc w:val="left"/>
        <w:rPr>
          <w:rFonts w:ascii="Avenir Book" w:hAnsi="Avenir Book"/>
          <w:sz w:val="22"/>
          <w:szCs w:val="22"/>
        </w:rPr>
      </w:pPr>
      <w:r w:rsidRPr="006D22F9">
        <w:rPr>
          <w:rFonts w:ascii="Avenir Book" w:hAnsi="Avenir Book"/>
          <w:sz w:val="22"/>
          <w:szCs w:val="22"/>
        </w:rPr>
        <w:t xml:space="preserve">WWDA welcomes the opportunity to make this submission in response to the Royal Commission’s </w:t>
      </w:r>
      <w:r w:rsidR="00F8653B">
        <w:rPr>
          <w:rFonts w:ascii="Avenir Book" w:hAnsi="Avenir Book"/>
          <w:sz w:val="22"/>
          <w:szCs w:val="22"/>
        </w:rPr>
        <w:t>Group Homes</w:t>
      </w:r>
      <w:r w:rsidRPr="006D22F9">
        <w:rPr>
          <w:rFonts w:ascii="Avenir Book" w:hAnsi="Avenir Book"/>
          <w:sz w:val="22"/>
          <w:szCs w:val="22"/>
        </w:rPr>
        <w:t xml:space="preserve"> Issues Paper (the Issues Paper). </w:t>
      </w:r>
      <w:r w:rsidR="00C63A80">
        <w:rPr>
          <w:rFonts w:ascii="Avenir Book" w:hAnsi="Avenir Book"/>
          <w:sz w:val="22"/>
          <w:szCs w:val="22"/>
        </w:rPr>
        <w:t xml:space="preserve"> </w:t>
      </w:r>
    </w:p>
    <w:p w14:paraId="3F4D2A60" w14:textId="77777777" w:rsidR="00C05DA2" w:rsidRDefault="00C05DA2" w:rsidP="00217BD3">
      <w:pPr>
        <w:pStyle w:val="ListParagraph"/>
        <w:spacing w:line="240" w:lineRule="auto"/>
        <w:ind w:left="993"/>
        <w:jc w:val="left"/>
        <w:rPr>
          <w:rFonts w:ascii="Avenir Book" w:hAnsi="Avenir Book"/>
          <w:sz w:val="22"/>
          <w:szCs w:val="22"/>
        </w:rPr>
      </w:pPr>
    </w:p>
    <w:p w14:paraId="7FFB505A" w14:textId="763BD160" w:rsidR="00C05DA2" w:rsidRDefault="00234E0F" w:rsidP="00564172">
      <w:pPr>
        <w:pStyle w:val="ListParagraph"/>
        <w:numPr>
          <w:ilvl w:val="1"/>
          <w:numId w:val="15"/>
        </w:numPr>
        <w:spacing w:line="240" w:lineRule="auto"/>
        <w:ind w:left="993" w:hanging="567"/>
        <w:jc w:val="left"/>
        <w:rPr>
          <w:rFonts w:ascii="Avenir Book" w:hAnsi="Avenir Book"/>
          <w:sz w:val="22"/>
          <w:szCs w:val="22"/>
        </w:rPr>
      </w:pPr>
      <w:r w:rsidRPr="00C05DA2">
        <w:rPr>
          <w:rFonts w:ascii="Avenir Book" w:hAnsi="Avenir Book"/>
          <w:sz w:val="22"/>
          <w:szCs w:val="22"/>
        </w:rPr>
        <w:t xml:space="preserve">As noted in the Issues Paper, </w:t>
      </w:r>
      <w:r w:rsidR="00C05DA2" w:rsidRPr="00C05DA2">
        <w:rPr>
          <w:rFonts w:ascii="Avenir Book" w:hAnsi="Avenir Book"/>
          <w:sz w:val="22"/>
          <w:szCs w:val="22"/>
        </w:rPr>
        <w:t xml:space="preserve">the living arrangements of people with disability are a site of violence, abuse, neglect and exploitation.  The examination of group homes is placed within the context of article 19 of the CRPD, </w:t>
      </w:r>
      <w:r w:rsidR="00C05DA2" w:rsidRPr="00C05DA2">
        <w:rPr>
          <w:rFonts w:ascii="Avenir Book" w:hAnsi="Avenir Book"/>
          <w:i/>
          <w:sz w:val="22"/>
          <w:szCs w:val="22"/>
        </w:rPr>
        <w:t>Living independently and being included in the community</w:t>
      </w:r>
      <w:r w:rsidR="00C05DA2" w:rsidRPr="00C05DA2">
        <w:rPr>
          <w:rFonts w:ascii="Avenir Book" w:hAnsi="Avenir Book"/>
          <w:sz w:val="22"/>
          <w:szCs w:val="22"/>
        </w:rPr>
        <w:t xml:space="preserve">. The questions in the Issues Paper seek views in relation to violence, abuse, neglect and exploitation experienced by people with disability in group homes as well as examples of good practice in group homes. </w:t>
      </w:r>
      <w:r w:rsidR="00C05DA2">
        <w:rPr>
          <w:rFonts w:ascii="Avenir Book" w:hAnsi="Avenir Book"/>
          <w:sz w:val="22"/>
          <w:szCs w:val="22"/>
        </w:rPr>
        <w:t>However, this focus is limiting as</w:t>
      </w:r>
      <w:r w:rsidR="00C05DA2" w:rsidRPr="00C05DA2">
        <w:rPr>
          <w:rFonts w:ascii="Avenir Book" w:hAnsi="Avenir Book"/>
          <w:sz w:val="22"/>
          <w:szCs w:val="22"/>
        </w:rPr>
        <w:t xml:space="preserve"> article 19 is much broader and all-encompassing of CRPD rights than a discussion of appropriate and safe housing or accommodation models for people with disability.  </w:t>
      </w:r>
    </w:p>
    <w:p w14:paraId="6DC5D161" w14:textId="77777777" w:rsidR="00C05DA2" w:rsidRPr="00C05DA2" w:rsidRDefault="00C05DA2" w:rsidP="00217BD3">
      <w:pPr>
        <w:pStyle w:val="ListParagraph"/>
        <w:spacing w:line="240" w:lineRule="auto"/>
        <w:jc w:val="left"/>
        <w:rPr>
          <w:rFonts w:ascii="Avenir Book" w:hAnsi="Avenir Book"/>
          <w:sz w:val="22"/>
          <w:szCs w:val="22"/>
        </w:rPr>
      </w:pPr>
    </w:p>
    <w:p w14:paraId="1A3332E3" w14:textId="34EAC8B1" w:rsidR="00C05DA2" w:rsidRPr="00283616" w:rsidRDefault="00C05DA2" w:rsidP="00564172">
      <w:pPr>
        <w:pStyle w:val="ListParagraph"/>
        <w:numPr>
          <w:ilvl w:val="1"/>
          <w:numId w:val="15"/>
        </w:numPr>
        <w:spacing w:line="240" w:lineRule="auto"/>
        <w:ind w:left="993" w:hanging="567"/>
        <w:jc w:val="left"/>
        <w:rPr>
          <w:rFonts w:ascii="Avenir Book" w:hAnsi="Avenir Book"/>
          <w:sz w:val="22"/>
          <w:szCs w:val="22"/>
        </w:rPr>
      </w:pPr>
      <w:r>
        <w:rPr>
          <w:rFonts w:ascii="Avenir Book" w:hAnsi="Avenir Book"/>
          <w:sz w:val="22"/>
          <w:szCs w:val="22"/>
        </w:rPr>
        <w:t xml:space="preserve">Section 4 of this submission provides a discussion of article 19 and its integral importance to the implementation of all rights contained in the CRPD.  </w:t>
      </w:r>
      <w:r w:rsidR="00283616" w:rsidRPr="0090109C">
        <w:rPr>
          <w:rFonts w:ascii="Avenir Book" w:hAnsi="Avenir Book"/>
          <w:sz w:val="22"/>
          <w:szCs w:val="22"/>
        </w:rPr>
        <w:t>Implementation of all of the elements of article 19 is interdependent on implementation of other CRPD articles.</w:t>
      </w:r>
      <w:r w:rsidR="00283616">
        <w:rPr>
          <w:rFonts w:ascii="Avenir Book" w:hAnsi="Avenir Book"/>
          <w:sz w:val="22"/>
          <w:szCs w:val="22"/>
        </w:rPr>
        <w:t xml:space="preserve">  This means that an examination of living arrangements for people with disability cannot be </w:t>
      </w:r>
      <w:r w:rsidR="00E36D9B">
        <w:rPr>
          <w:rFonts w:ascii="Avenir Book" w:hAnsi="Avenir Book"/>
          <w:sz w:val="22"/>
          <w:szCs w:val="22"/>
        </w:rPr>
        <w:t>limited to discussions of safe</w:t>
      </w:r>
      <w:r w:rsidR="00283616">
        <w:rPr>
          <w:rFonts w:ascii="Avenir Book" w:hAnsi="Avenir Book"/>
          <w:sz w:val="22"/>
          <w:szCs w:val="22"/>
        </w:rPr>
        <w:t xml:space="preserve"> </w:t>
      </w:r>
      <w:r w:rsidR="00E36D9B">
        <w:rPr>
          <w:rFonts w:ascii="Avenir Book" w:hAnsi="Avenir Book"/>
          <w:sz w:val="22"/>
          <w:szCs w:val="22"/>
        </w:rPr>
        <w:t xml:space="preserve">housing </w:t>
      </w:r>
      <w:r w:rsidR="00283616">
        <w:rPr>
          <w:rFonts w:ascii="Avenir Book" w:hAnsi="Avenir Book"/>
          <w:sz w:val="22"/>
          <w:szCs w:val="22"/>
        </w:rPr>
        <w:t>and support arrangements. A</w:t>
      </w:r>
      <w:r w:rsidR="00E36D9B">
        <w:rPr>
          <w:rFonts w:ascii="Avenir Book" w:hAnsi="Avenir Book"/>
          <w:sz w:val="22"/>
          <w:szCs w:val="22"/>
        </w:rPr>
        <w:t xml:space="preserve">rticle 19 is </w:t>
      </w:r>
      <w:r w:rsidRPr="00E36D9B">
        <w:rPr>
          <w:rFonts w:ascii="Avenir Roman" w:hAnsi="Avenir Roman"/>
          <w:sz w:val="22"/>
          <w:szCs w:val="22"/>
          <w:lang w:eastAsia="en-AU"/>
        </w:rPr>
        <w:t xml:space="preserve">about autonomy and individual choice, liberty and security, freedom of movement and being a full participating member of the community on an equal basis with others. </w:t>
      </w:r>
    </w:p>
    <w:p w14:paraId="6B5FB615" w14:textId="77777777" w:rsidR="00283616" w:rsidRPr="00283616" w:rsidRDefault="00283616" w:rsidP="00217BD3">
      <w:pPr>
        <w:pStyle w:val="ListParagraph"/>
        <w:spacing w:line="240" w:lineRule="auto"/>
        <w:jc w:val="left"/>
        <w:rPr>
          <w:rFonts w:ascii="Avenir Book" w:hAnsi="Avenir Book"/>
          <w:sz w:val="22"/>
          <w:szCs w:val="22"/>
        </w:rPr>
      </w:pPr>
    </w:p>
    <w:p w14:paraId="40B786B1" w14:textId="1AE52223" w:rsidR="00283616" w:rsidRDefault="00283616" w:rsidP="00564172">
      <w:pPr>
        <w:pStyle w:val="ListParagraph"/>
        <w:numPr>
          <w:ilvl w:val="1"/>
          <w:numId w:val="15"/>
        </w:numPr>
        <w:spacing w:line="240" w:lineRule="auto"/>
        <w:ind w:left="993" w:hanging="567"/>
        <w:jc w:val="left"/>
        <w:rPr>
          <w:rFonts w:ascii="Avenir Book" w:hAnsi="Avenir Book"/>
          <w:sz w:val="22"/>
          <w:szCs w:val="22"/>
        </w:rPr>
      </w:pPr>
      <w:r>
        <w:rPr>
          <w:rFonts w:ascii="Avenir Book" w:hAnsi="Avenir Book"/>
          <w:sz w:val="22"/>
          <w:szCs w:val="22"/>
        </w:rPr>
        <w:t>V</w:t>
      </w:r>
      <w:r w:rsidRPr="00283616">
        <w:rPr>
          <w:rFonts w:ascii="Avenir Book" w:hAnsi="Avenir Book"/>
          <w:sz w:val="22"/>
          <w:szCs w:val="22"/>
        </w:rPr>
        <w:t xml:space="preserve">iolence, abuse, neglect and exploitation that is experienced by people with disability in various living arrangements, </w:t>
      </w:r>
      <w:r>
        <w:rPr>
          <w:rFonts w:ascii="Avenir Book" w:hAnsi="Avenir Book"/>
          <w:sz w:val="22"/>
          <w:szCs w:val="22"/>
        </w:rPr>
        <w:t>is often facilitated by</w:t>
      </w:r>
      <w:r w:rsidRPr="00283616">
        <w:rPr>
          <w:rFonts w:ascii="Avenir Book" w:hAnsi="Avenir Book"/>
          <w:sz w:val="22"/>
          <w:szCs w:val="22"/>
        </w:rPr>
        <w:t xml:space="preserve"> Australian law, policy and practice that, in a number of areas continues to prevent the right to live independently and be included in the community. </w:t>
      </w:r>
      <w:r>
        <w:rPr>
          <w:rFonts w:ascii="Avenir Book" w:hAnsi="Avenir Book"/>
          <w:sz w:val="22"/>
          <w:szCs w:val="22"/>
        </w:rPr>
        <w:t>These areas are also outlined in Section 4.</w:t>
      </w:r>
    </w:p>
    <w:p w14:paraId="3FC34E44" w14:textId="77777777" w:rsidR="004C667E" w:rsidRPr="004C667E" w:rsidRDefault="004C667E" w:rsidP="00217BD3">
      <w:pPr>
        <w:pStyle w:val="ListParagraph"/>
        <w:spacing w:line="240" w:lineRule="auto"/>
        <w:jc w:val="left"/>
        <w:rPr>
          <w:rFonts w:ascii="Avenir Book" w:hAnsi="Avenir Book"/>
          <w:sz w:val="22"/>
          <w:szCs w:val="22"/>
        </w:rPr>
      </w:pPr>
    </w:p>
    <w:p w14:paraId="68395E97" w14:textId="602CC74B" w:rsidR="004C667E" w:rsidRPr="004C667E" w:rsidRDefault="004C667E" w:rsidP="00564172">
      <w:pPr>
        <w:pStyle w:val="ListParagraph"/>
        <w:numPr>
          <w:ilvl w:val="1"/>
          <w:numId w:val="15"/>
        </w:numPr>
        <w:spacing w:line="240" w:lineRule="auto"/>
        <w:ind w:left="993" w:hanging="567"/>
        <w:jc w:val="left"/>
        <w:rPr>
          <w:rFonts w:ascii="Avenir Book" w:hAnsi="Avenir Book"/>
          <w:sz w:val="22"/>
          <w:szCs w:val="22"/>
        </w:rPr>
      </w:pPr>
      <w:r w:rsidRPr="004C667E">
        <w:rPr>
          <w:rFonts w:ascii="Avenir Book" w:hAnsi="Avenir Book"/>
          <w:sz w:val="22"/>
          <w:szCs w:val="22"/>
        </w:rPr>
        <w:t xml:space="preserve">For women and girls with disability, it is imperative that the intersection between ableism and gender inequality and discrimination is explicitly identified, examined and addressed.  </w:t>
      </w:r>
      <w:r>
        <w:rPr>
          <w:rFonts w:ascii="Avenir Book" w:hAnsi="Avenir Book"/>
          <w:sz w:val="22"/>
          <w:szCs w:val="22"/>
        </w:rPr>
        <w:t>I</w:t>
      </w:r>
      <w:r w:rsidRPr="004C667E">
        <w:rPr>
          <w:rFonts w:ascii="Avenir Book" w:hAnsi="Avenir Book"/>
          <w:sz w:val="22"/>
          <w:szCs w:val="22"/>
        </w:rPr>
        <w:t>ntersectional discrimination results in greater limitations on personal development, autonomy, liberty and security and freedom to choose where and with whom to live.</w:t>
      </w:r>
      <w:r>
        <w:rPr>
          <w:rFonts w:ascii="Avenir Book" w:hAnsi="Avenir Book"/>
          <w:sz w:val="22"/>
          <w:szCs w:val="22"/>
        </w:rPr>
        <w:t xml:space="preserve">  </w:t>
      </w:r>
      <w:r w:rsidRPr="004C667E">
        <w:rPr>
          <w:rFonts w:ascii="Avenir Book" w:hAnsi="Avenir Book"/>
          <w:sz w:val="22"/>
          <w:szCs w:val="22"/>
        </w:rPr>
        <w:t xml:space="preserve">Recognition of intersectionality is critical </w:t>
      </w:r>
      <w:r>
        <w:rPr>
          <w:rFonts w:ascii="Avenir Book" w:hAnsi="Avenir Book"/>
          <w:sz w:val="22"/>
          <w:szCs w:val="22"/>
        </w:rPr>
        <w:t>to the full implementation of article 19, and this is discuss</w:t>
      </w:r>
      <w:r w:rsidR="00BE174F">
        <w:rPr>
          <w:rFonts w:ascii="Avenir Book" w:hAnsi="Avenir Book"/>
          <w:sz w:val="22"/>
          <w:szCs w:val="22"/>
        </w:rPr>
        <w:t>ed</w:t>
      </w:r>
      <w:r>
        <w:rPr>
          <w:rFonts w:ascii="Avenir Book" w:hAnsi="Avenir Book"/>
          <w:sz w:val="22"/>
          <w:szCs w:val="22"/>
        </w:rPr>
        <w:t xml:space="preserve"> </w:t>
      </w:r>
      <w:r w:rsidRPr="004C667E">
        <w:rPr>
          <w:rFonts w:ascii="Avenir Book" w:hAnsi="Avenir Book"/>
          <w:sz w:val="22"/>
          <w:szCs w:val="22"/>
        </w:rPr>
        <w:t>in section 5 of this submission.</w:t>
      </w:r>
    </w:p>
    <w:p w14:paraId="12B1E9C2" w14:textId="21973420" w:rsidR="00283616" w:rsidRPr="00283616" w:rsidRDefault="00283616" w:rsidP="00217BD3">
      <w:pPr>
        <w:pStyle w:val="ListParagraph"/>
        <w:spacing w:line="240" w:lineRule="auto"/>
        <w:ind w:left="993"/>
        <w:jc w:val="left"/>
        <w:rPr>
          <w:rFonts w:ascii="Avenir Book" w:hAnsi="Avenir Book"/>
          <w:sz w:val="22"/>
          <w:szCs w:val="22"/>
        </w:rPr>
      </w:pPr>
      <w:r>
        <w:rPr>
          <w:rFonts w:ascii="Avenir Book" w:hAnsi="Avenir Book"/>
          <w:sz w:val="22"/>
          <w:szCs w:val="22"/>
        </w:rPr>
        <w:t xml:space="preserve"> </w:t>
      </w:r>
    </w:p>
    <w:p w14:paraId="7D7FB81A" w14:textId="1AF123F3" w:rsidR="007C3B26" w:rsidRDefault="007C3B26" w:rsidP="00564172">
      <w:pPr>
        <w:pStyle w:val="ListParagraph"/>
        <w:numPr>
          <w:ilvl w:val="1"/>
          <w:numId w:val="15"/>
        </w:numPr>
        <w:spacing w:line="240" w:lineRule="auto"/>
        <w:ind w:left="992" w:hanging="567"/>
        <w:jc w:val="left"/>
        <w:rPr>
          <w:rFonts w:ascii="Avenir Book" w:hAnsi="Avenir Book"/>
          <w:sz w:val="22"/>
          <w:szCs w:val="22"/>
        </w:rPr>
      </w:pPr>
      <w:r>
        <w:rPr>
          <w:rFonts w:ascii="Avenir Book" w:hAnsi="Avenir Book"/>
          <w:sz w:val="22"/>
          <w:szCs w:val="22"/>
        </w:rPr>
        <w:t xml:space="preserve">Article 19 requires the end of segregation and isolation of people with disability from the community in institutional environments including group homes.  Segregation </w:t>
      </w:r>
      <w:r w:rsidR="00BE174F">
        <w:rPr>
          <w:rFonts w:ascii="Avenir Book" w:hAnsi="Avenir Book"/>
          <w:sz w:val="22"/>
          <w:szCs w:val="22"/>
        </w:rPr>
        <w:t xml:space="preserve">on the basis of impairment </w:t>
      </w:r>
      <w:r>
        <w:rPr>
          <w:rFonts w:ascii="Avenir Book" w:hAnsi="Avenir Book"/>
          <w:sz w:val="22"/>
          <w:szCs w:val="22"/>
        </w:rPr>
        <w:t xml:space="preserve">is discrimination and this </w:t>
      </w:r>
      <w:r w:rsidRPr="006D22F9">
        <w:rPr>
          <w:rFonts w:ascii="Avenir Book" w:hAnsi="Avenir Book"/>
          <w:sz w:val="22"/>
          <w:szCs w:val="22"/>
        </w:rPr>
        <w:t xml:space="preserve">must be explicitly articulated and explored by the Royal Commission. </w:t>
      </w:r>
      <w:r>
        <w:rPr>
          <w:rFonts w:ascii="Avenir Book" w:hAnsi="Avenir Book"/>
          <w:sz w:val="22"/>
          <w:szCs w:val="22"/>
        </w:rPr>
        <w:t xml:space="preserve">The ongoing reliance on </w:t>
      </w:r>
      <w:r w:rsidR="00BE174F">
        <w:rPr>
          <w:rFonts w:ascii="Avenir Book" w:hAnsi="Avenir Book"/>
          <w:sz w:val="22"/>
          <w:szCs w:val="22"/>
        </w:rPr>
        <w:t xml:space="preserve">institutional living arrangements, including group homes should also be considered as systemic neglect.  </w:t>
      </w:r>
    </w:p>
    <w:p w14:paraId="27C6C598" w14:textId="77777777" w:rsidR="007C3B26" w:rsidRPr="007C3B26" w:rsidRDefault="007C3B26" w:rsidP="00217BD3">
      <w:pPr>
        <w:pStyle w:val="ListParagraph"/>
        <w:spacing w:line="240" w:lineRule="auto"/>
        <w:jc w:val="left"/>
        <w:rPr>
          <w:rFonts w:ascii="Avenir Book" w:hAnsi="Avenir Book"/>
          <w:sz w:val="22"/>
          <w:szCs w:val="22"/>
        </w:rPr>
      </w:pPr>
    </w:p>
    <w:p w14:paraId="5B0B2511" w14:textId="70C4F91D" w:rsidR="00BE174F" w:rsidRDefault="00BE174F" w:rsidP="00564172">
      <w:pPr>
        <w:pStyle w:val="ListParagraph"/>
        <w:numPr>
          <w:ilvl w:val="1"/>
          <w:numId w:val="15"/>
        </w:numPr>
        <w:spacing w:line="240" w:lineRule="auto"/>
        <w:ind w:left="992" w:hanging="567"/>
        <w:jc w:val="left"/>
        <w:rPr>
          <w:rFonts w:ascii="Avenir Book" w:hAnsi="Avenir Book"/>
          <w:sz w:val="22"/>
          <w:szCs w:val="22"/>
        </w:rPr>
      </w:pPr>
      <w:r w:rsidRPr="0034226D">
        <w:rPr>
          <w:rFonts w:ascii="Avenir Book" w:hAnsi="Avenir Book"/>
          <w:sz w:val="22"/>
          <w:szCs w:val="22"/>
        </w:rPr>
        <w:t>The pervasiveness of institutional living arrangements</w:t>
      </w:r>
      <w:r w:rsidR="00901D71">
        <w:rPr>
          <w:rFonts w:ascii="Avenir Book" w:hAnsi="Avenir Book"/>
          <w:sz w:val="22"/>
          <w:szCs w:val="22"/>
        </w:rPr>
        <w:t xml:space="preserve"> </w:t>
      </w:r>
      <w:r w:rsidRPr="0034226D">
        <w:rPr>
          <w:rFonts w:ascii="Avenir Book" w:hAnsi="Avenir Book"/>
          <w:sz w:val="22"/>
          <w:szCs w:val="22"/>
        </w:rPr>
        <w:t xml:space="preserve">is </w:t>
      </w:r>
      <w:r>
        <w:rPr>
          <w:rFonts w:ascii="Avenir Book" w:hAnsi="Avenir Book"/>
          <w:sz w:val="22"/>
          <w:szCs w:val="22"/>
        </w:rPr>
        <w:t xml:space="preserve">underlined by </w:t>
      </w:r>
      <w:r w:rsidRPr="008E687E">
        <w:rPr>
          <w:rFonts w:ascii="Avenir Book" w:hAnsi="Avenir Book"/>
          <w:sz w:val="22"/>
          <w:szCs w:val="22"/>
        </w:rPr>
        <w:t xml:space="preserve">a predominant ableist view that some people with disability are unable to live outside of institutional settings, such as group homes, or that institutions provide a safer environment for people with disability.  </w:t>
      </w:r>
      <w:r>
        <w:rPr>
          <w:rFonts w:ascii="Avenir Book" w:hAnsi="Avenir Book"/>
          <w:sz w:val="22"/>
          <w:szCs w:val="22"/>
        </w:rPr>
        <w:t xml:space="preserve">Ableism remains prevalent in Australian laws, policy and practice, and it is ableism that enables violence, abuse, neglect and exploitation of people with disability.  </w:t>
      </w:r>
      <w:r w:rsidR="009005AC">
        <w:rPr>
          <w:rFonts w:ascii="Avenir Book" w:hAnsi="Avenir Book"/>
          <w:sz w:val="22"/>
          <w:szCs w:val="22"/>
        </w:rPr>
        <w:t xml:space="preserve">Just as gender inequality is well-recognised as the underpinning </w:t>
      </w:r>
      <w:r w:rsidR="009005AC">
        <w:rPr>
          <w:rFonts w:ascii="Avenir Book" w:hAnsi="Avenir Book"/>
          <w:sz w:val="22"/>
          <w:szCs w:val="22"/>
        </w:rPr>
        <w:lastRenderedPageBreak/>
        <w:t>driver of violence against women, a</w:t>
      </w:r>
      <w:r>
        <w:rPr>
          <w:rFonts w:ascii="Avenir Book" w:hAnsi="Avenir Book"/>
          <w:sz w:val="22"/>
          <w:szCs w:val="22"/>
        </w:rPr>
        <w:t>bleism</w:t>
      </w:r>
      <w:r w:rsidR="009005AC">
        <w:rPr>
          <w:rFonts w:ascii="Avenir Book" w:hAnsi="Avenir Book"/>
          <w:sz w:val="22"/>
          <w:szCs w:val="22"/>
        </w:rPr>
        <w:t xml:space="preserve"> and intersecting forms of inequality and discrimination are the drivers of violence against women with disability. Ableism, </w:t>
      </w:r>
      <w:r>
        <w:rPr>
          <w:rFonts w:ascii="Avenir Book" w:hAnsi="Avenir Book"/>
          <w:sz w:val="22"/>
          <w:szCs w:val="22"/>
        </w:rPr>
        <w:t xml:space="preserve">segregation and violence are discussed in section 6. </w:t>
      </w:r>
    </w:p>
    <w:p w14:paraId="5599E540" w14:textId="77777777" w:rsidR="00BE174F" w:rsidRPr="00BE174F" w:rsidRDefault="00BE174F" w:rsidP="00217BD3">
      <w:pPr>
        <w:pStyle w:val="ListParagraph"/>
        <w:spacing w:line="240" w:lineRule="auto"/>
        <w:jc w:val="left"/>
        <w:rPr>
          <w:rFonts w:ascii="Avenir Book" w:hAnsi="Avenir Book"/>
          <w:sz w:val="22"/>
          <w:szCs w:val="22"/>
        </w:rPr>
      </w:pPr>
    </w:p>
    <w:p w14:paraId="5B5B30A8" w14:textId="30C1E7FF" w:rsidR="00234E0F" w:rsidRDefault="00234E0F" w:rsidP="00564172">
      <w:pPr>
        <w:pStyle w:val="ListParagraph"/>
        <w:numPr>
          <w:ilvl w:val="1"/>
          <w:numId w:val="15"/>
        </w:numPr>
        <w:spacing w:line="240" w:lineRule="auto"/>
        <w:ind w:left="993" w:hanging="567"/>
        <w:jc w:val="left"/>
        <w:rPr>
          <w:rFonts w:ascii="Avenir Book" w:hAnsi="Avenir Book"/>
          <w:sz w:val="22"/>
          <w:szCs w:val="22"/>
        </w:rPr>
      </w:pPr>
      <w:r w:rsidRPr="006D22F9">
        <w:rPr>
          <w:rFonts w:ascii="Avenir Book" w:hAnsi="Avenir Book"/>
          <w:sz w:val="22"/>
          <w:szCs w:val="22"/>
        </w:rPr>
        <w:t>While it is recognised that “the nature of the experience of violence is intensified in frequency, extent and nature when gender and disability intersect”,</w:t>
      </w:r>
      <w:r w:rsidRPr="006D22F9">
        <w:rPr>
          <w:rStyle w:val="FootnoteReference"/>
          <w:rFonts w:ascii="Avenir Book" w:hAnsi="Avenir Book"/>
          <w:sz w:val="22"/>
          <w:szCs w:val="22"/>
        </w:rPr>
        <w:footnoteReference w:id="10"/>
      </w:r>
      <w:r w:rsidRPr="006D22F9">
        <w:rPr>
          <w:rFonts w:ascii="Avenir Book" w:hAnsi="Avenir Book"/>
          <w:sz w:val="22"/>
          <w:szCs w:val="22"/>
        </w:rPr>
        <w:t xml:space="preserve"> the available data, research and evidence about this experience is lacking, and where it exists, it is largely focused within the area of domestic and family violence.</w:t>
      </w:r>
      <w:r w:rsidRPr="006D22F9">
        <w:rPr>
          <w:rStyle w:val="FootnoteReference"/>
          <w:rFonts w:ascii="Avenir Book" w:hAnsi="Avenir Book"/>
          <w:sz w:val="22"/>
          <w:szCs w:val="22"/>
        </w:rPr>
        <w:footnoteReference w:id="11"/>
      </w:r>
      <w:r w:rsidRPr="006D22F9">
        <w:rPr>
          <w:rFonts w:ascii="Avenir Book" w:hAnsi="Avenir Book"/>
          <w:sz w:val="22"/>
          <w:szCs w:val="22"/>
        </w:rPr>
        <w:t xml:space="preserve"> </w:t>
      </w:r>
      <w:r w:rsidRPr="00901D71">
        <w:rPr>
          <w:rFonts w:ascii="Avenir Book" w:hAnsi="Avenir Book"/>
          <w:sz w:val="22"/>
          <w:szCs w:val="22"/>
        </w:rPr>
        <w:t>The significant lack of disaggregated data, research and studies that apply an intersectional analysis makes it extremely difficult to understand the situation of women and girls with disability</w:t>
      </w:r>
      <w:r w:rsidR="00901D71">
        <w:rPr>
          <w:rFonts w:ascii="Avenir Book" w:hAnsi="Avenir Book"/>
          <w:sz w:val="22"/>
          <w:szCs w:val="22"/>
        </w:rPr>
        <w:t>, including in the area of living arrangements</w:t>
      </w:r>
      <w:r w:rsidRPr="00901D71">
        <w:rPr>
          <w:rFonts w:ascii="Avenir Book" w:hAnsi="Avenir Book"/>
          <w:sz w:val="22"/>
          <w:szCs w:val="22"/>
        </w:rPr>
        <w:t xml:space="preserve">. However, as </w:t>
      </w:r>
      <w:r w:rsidR="00901D71">
        <w:rPr>
          <w:rFonts w:ascii="Avenir Book" w:hAnsi="Avenir Book"/>
          <w:sz w:val="22"/>
          <w:szCs w:val="22"/>
        </w:rPr>
        <w:t xml:space="preserve">outlined </w:t>
      </w:r>
      <w:r w:rsidRPr="00901D71">
        <w:rPr>
          <w:rFonts w:ascii="Avenir Book" w:hAnsi="Avenir Book"/>
          <w:sz w:val="22"/>
          <w:szCs w:val="22"/>
        </w:rPr>
        <w:t xml:space="preserve">in section </w:t>
      </w:r>
      <w:r w:rsidR="00901D71">
        <w:rPr>
          <w:rFonts w:ascii="Avenir Book" w:hAnsi="Avenir Book"/>
          <w:sz w:val="22"/>
          <w:szCs w:val="22"/>
        </w:rPr>
        <w:t xml:space="preserve">7, </w:t>
      </w:r>
      <w:r w:rsidRPr="00901D71">
        <w:rPr>
          <w:rFonts w:ascii="Avenir Book" w:hAnsi="Avenir Book"/>
          <w:sz w:val="22"/>
          <w:szCs w:val="22"/>
        </w:rPr>
        <w:t xml:space="preserve">this understanding is critical for identifying the necessary specific measures for violence prevention, response and redress for women and girls with disability. </w:t>
      </w:r>
    </w:p>
    <w:p w14:paraId="4D5D2B59" w14:textId="77777777" w:rsidR="00901D71" w:rsidRPr="00901D71" w:rsidRDefault="00901D71" w:rsidP="00217BD3">
      <w:pPr>
        <w:pStyle w:val="ListParagraph"/>
        <w:spacing w:line="240" w:lineRule="auto"/>
        <w:jc w:val="left"/>
        <w:rPr>
          <w:rFonts w:ascii="Avenir Book" w:hAnsi="Avenir Book"/>
          <w:sz w:val="22"/>
          <w:szCs w:val="22"/>
        </w:rPr>
      </w:pPr>
    </w:p>
    <w:p w14:paraId="4091F471" w14:textId="35B51259" w:rsidR="008F445E" w:rsidRDefault="00901D71" w:rsidP="00564172">
      <w:pPr>
        <w:pStyle w:val="ListParagraph"/>
        <w:numPr>
          <w:ilvl w:val="1"/>
          <w:numId w:val="15"/>
        </w:numPr>
        <w:spacing w:line="240" w:lineRule="auto"/>
        <w:ind w:left="993" w:hanging="567"/>
        <w:jc w:val="left"/>
        <w:rPr>
          <w:rFonts w:ascii="Avenir Book" w:hAnsi="Avenir Book"/>
          <w:sz w:val="22"/>
          <w:szCs w:val="22"/>
        </w:rPr>
      </w:pPr>
      <w:r>
        <w:rPr>
          <w:rFonts w:ascii="Avenir Book" w:hAnsi="Avenir Book"/>
          <w:sz w:val="22"/>
          <w:szCs w:val="22"/>
        </w:rPr>
        <w:t>Section 7 of this submission also outlines the gendered nature of violence, abuse, neglect and exploitation that often arise within living arrangements, including harmful gender norms and stereotypes, intersectional discrimination, domestic and family violence</w:t>
      </w:r>
      <w:r w:rsidR="008F445E">
        <w:rPr>
          <w:rFonts w:ascii="Avenir Book" w:hAnsi="Avenir Book"/>
          <w:sz w:val="22"/>
          <w:szCs w:val="22"/>
        </w:rPr>
        <w:t xml:space="preserve"> and </w:t>
      </w:r>
      <w:r>
        <w:rPr>
          <w:rFonts w:ascii="Avenir Book" w:hAnsi="Avenir Book"/>
          <w:sz w:val="22"/>
          <w:szCs w:val="22"/>
        </w:rPr>
        <w:t>violations of sexual and reproductive rights</w:t>
      </w:r>
      <w:r w:rsidR="008F445E">
        <w:rPr>
          <w:rFonts w:ascii="Avenir Book" w:hAnsi="Avenir Book"/>
          <w:sz w:val="22"/>
          <w:szCs w:val="22"/>
        </w:rPr>
        <w:t xml:space="preserve">. Women with disability are also subjected to restrictive practices within living arrangements, and these practices constitute </w:t>
      </w:r>
      <w:r w:rsidR="008F445E" w:rsidRPr="005D3FA4">
        <w:rPr>
          <w:rFonts w:ascii="Avenir Book" w:hAnsi="Avenir Book" w:cstheme="minorHAnsi"/>
          <w:sz w:val="22"/>
          <w:szCs w:val="22"/>
        </w:rPr>
        <w:t>torture or other cruel, inhuman or degrading treatment or punishment (torture and ill-treatment</w:t>
      </w:r>
      <w:r w:rsidR="008F445E">
        <w:rPr>
          <w:rFonts w:ascii="Avenir Book" w:hAnsi="Avenir Book" w:cstheme="minorHAnsi"/>
          <w:sz w:val="22"/>
          <w:szCs w:val="22"/>
        </w:rPr>
        <w:t>)</w:t>
      </w:r>
      <w:r w:rsidR="008F445E">
        <w:rPr>
          <w:rFonts w:ascii="Avenir Book" w:hAnsi="Avenir Book"/>
          <w:sz w:val="22"/>
          <w:szCs w:val="22"/>
        </w:rPr>
        <w:t xml:space="preserve"> </w:t>
      </w:r>
      <w:r w:rsidR="008F445E" w:rsidRPr="002F5171">
        <w:rPr>
          <w:rFonts w:ascii="Avenir Book" w:hAnsi="Avenir Book"/>
          <w:sz w:val="22"/>
          <w:szCs w:val="22"/>
        </w:rPr>
        <w:t xml:space="preserve">under </w:t>
      </w:r>
      <w:r w:rsidR="008F445E">
        <w:rPr>
          <w:rFonts w:ascii="Avenir Book" w:hAnsi="Avenir Book"/>
          <w:sz w:val="22"/>
          <w:szCs w:val="22"/>
        </w:rPr>
        <w:t>article 15 of the</w:t>
      </w:r>
      <w:r w:rsidR="008F445E" w:rsidRPr="002F5171">
        <w:rPr>
          <w:rFonts w:ascii="Avenir Book" w:hAnsi="Avenir Book"/>
          <w:sz w:val="22"/>
          <w:szCs w:val="22"/>
        </w:rPr>
        <w:t xml:space="preserve"> CRPD and international human rights law</w:t>
      </w:r>
      <w:r w:rsidR="008F445E">
        <w:rPr>
          <w:rFonts w:ascii="Avenir Book" w:hAnsi="Avenir Book"/>
          <w:sz w:val="22"/>
          <w:szCs w:val="22"/>
        </w:rPr>
        <w:t xml:space="preserve">. The </w:t>
      </w:r>
      <w:r w:rsidR="008F445E" w:rsidRPr="002F5171">
        <w:rPr>
          <w:rFonts w:ascii="Avenir Book" w:hAnsi="Avenir Book"/>
          <w:sz w:val="22"/>
          <w:szCs w:val="22"/>
        </w:rPr>
        <w:t xml:space="preserve">Royal Commission </w:t>
      </w:r>
      <w:r w:rsidR="008F445E">
        <w:rPr>
          <w:rFonts w:ascii="Avenir Book" w:hAnsi="Avenir Book"/>
          <w:sz w:val="22"/>
          <w:szCs w:val="22"/>
        </w:rPr>
        <w:t xml:space="preserve">must recognise restrictive practices </w:t>
      </w:r>
      <w:r w:rsidR="008F445E" w:rsidRPr="002F5171">
        <w:rPr>
          <w:rFonts w:ascii="Avenir Book" w:hAnsi="Avenir Book"/>
          <w:sz w:val="22"/>
          <w:szCs w:val="22"/>
        </w:rPr>
        <w:t>within this framework.</w:t>
      </w:r>
      <w:r w:rsidR="008F445E">
        <w:rPr>
          <w:rFonts w:ascii="Avenir Book" w:hAnsi="Avenir Book"/>
          <w:sz w:val="22"/>
          <w:szCs w:val="22"/>
        </w:rPr>
        <w:t xml:space="preserve">  </w:t>
      </w:r>
    </w:p>
    <w:p w14:paraId="3A5B7C53" w14:textId="77777777" w:rsidR="008F445E" w:rsidRPr="008F445E" w:rsidRDefault="008F445E" w:rsidP="00217BD3">
      <w:pPr>
        <w:pStyle w:val="ListParagraph"/>
        <w:spacing w:line="240" w:lineRule="auto"/>
        <w:jc w:val="left"/>
        <w:rPr>
          <w:rFonts w:ascii="Avenir Book" w:hAnsi="Avenir Book"/>
          <w:sz w:val="22"/>
          <w:szCs w:val="22"/>
        </w:rPr>
      </w:pPr>
    </w:p>
    <w:p w14:paraId="1A503110" w14:textId="0FE4BAFD" w:rsidR="00217BD3" w:rsidRPr="00217BD3" w:rsidRDefault="008E6DE1" w:rsidP="00564172">
      <w:pPr>
        <w:pStyle w:val="ListParagraph"/>
        <w:numPr>
          <w:ilvl w:val="1"/>
          <w:numId w:val="15"/>
        </w:numPr>
        <w:spacing w:line="240" w:lineRule="auto"/>
        <w:ind w:left="993" w:hanging="567"/>
        <w:jc w:val="left"/>
        <w:rPr>
          <w:rFonts w:ascii="Avenir Book" w:hAnsi="Avenir Book"/>
          <w:sz w:val="22"/>
          <w:szCs w:val="22"/>
        </w:rPr>
      </w:pPr>
      <w:r>
        <w:rPr>
          <w:rFonts w:ascii="Avenir Book" w:hAnsi="Avenir Book"/>
          <w:sz w:val="22"/>
          <w:szCs w:val="22"/>
        </w:rPr>
        <w:t>Existing law, policy and practice</w:t>
      </w:r>
      <w:r w:rsidR="00C67082">
        <w:rPr>
          <w:rFonts w:ascii="Avenir Book" w:hAnsi="Avenir Book"/>
          <w:sz w:val="22"/>
          <w:szCs w:val="22"/>
        </w:rPr>
        <w:t xml:space="preserve"> are unable to fully respond to and protect women and girls with disability from gender-based violence and intersectional discrimination and inequality.  Gaps in domestic violence laws, the </w:t>
      </w:r>
      <w:r w:rsidR="00C67082" w:rsidRPr="00C67082">
        <w:rPr>
          <w:rFonts w:ascii="Avenir Book" w:hAnsi="Avenir Book"/>
          <w:i/>
          <w:sz w:val="22"/>
          <w:szCs w:val="22"/>
        </w:rPr>
        <w:t>National Disability Strategy 2010-2020</w:t>
      </w:r>
      <w:r w:rsidR="00C67082">
        <w:rPr>
          <w:rFonts w:ascii="Avenir Book" w:hAnsi="Avenir Book"/>
          <w:sz w:val="22"/>
          <w:szCs w:val="22"/>
        </w:rPr>
        <w:t xml:space="preserve">, the </w:t>
      </w:r>
      <w:r w:rsidR="00C67082" w:rsidRPr="00C67082">
        <w:rPr>
          <w:rFonts w:ascii="Avenir Book" w:hAnsi="Avenir Book" w:cstheme="minorHAnsi"/>
          <w:i/>
          <w:color w:val="191619"/>
          <w:sz w:val="22"/>
          <w:szCs w:val="22"/>
        </w:rPr>
        <w:t>National Plan to Reduce Violence Against Women and their Children 2010-2020</w:t>
      </w:r>
      <w:r w:rsidR="00C67082">
        <w:rPr>
          <w:rFonts w:ascii="Avenir Book" w:hAnsi="Avenir Book" w:cstheme="minorHAnsi"/>
          <w:color w:val="191619"/>
          <w:sz w:val="22"/>
          <w:szCs w:val="22"/>
        </w:rPr>
        <w:t>, the National Disability Insurance Scheme (NDIS) and the NDIS Quality and Safeguards Commission are discussed in section 7.</w:t>
      </w:r>
    </w:p>
    <w:p w14:paraId="1EE84CCD" w14:textId="77777777" w:rsidR="00217BD3" w:rsidRPr="00217BD3" w:rsidRDefault="00217BD3" w:rsidP="00217BD3">
      <w:pPr>
        <w:pStyle w:val="ListParagraph"/>
        <w:rPr>
          <w:rFonts w:ascii="Avenir Book" w:hAnsi="Avenir Book"/>
          <w:sz w:val="22"/>
          <w:szCs w:val="22"/>
        </w:rPr>
      </w:pPr>
    </w:p>
    <w:p w14:paraId="79CE5BF9" w14:textId="799D23FF" w:rsidR="00234E0F" w:rsidRPr="00217BD3" w:rsidRDefault="00234E0F" w:rsidP="00564172">
      <w:pPr>
        <w:pStyle w:val="ListParagraph"/>
        <w:numPr>
          <w:ilvl w:val="1"/>
          <w:numId w:val="15"/>
        </w:numPr>
        <w:spacing w:after="120" w:line="240" w:lineRule="auto"/>
        <w:ind w:left="992" w:hanging="567"/>
        <w:contextualSpacing w:val="0"/>
        <w:jc w:val="left"/>
        <w:rPr>
          <w:rFonts w:ascii="Avenir Book" w:hAnsi="Avenir Book"/>
          <w:sz w:val="22"/>
          <w:szCs w:val="22"/>
        </w:rPr>
      </w:pPr>
      <w:r w:rsidRPr="00217BD3">
        <w:rPr>
          <w:rFonts w:ascii="Avenir Book" w:hAnsi="Avenir Book"/>
          <w:sz w:val="22"/>
          <w:szCs w:val="22"/>
        </w:rPr>
        <w:t xml:space="preserve">We note that the Royal Commission is </w:t>
      </w:r>
      <w:r w:rsidR="002C62A4" w:rsidRPr="00217BD3">
        <w:rPr>
          <w:rFonts w:ascii="Avenir Book" w:hAnsi="Avenir Book"/>
          <w:sz w:val="22"/>
          <w:szCs w:val="22"/>
        </w:rPr>
        <w:t xml:space="preserve">largely </w:t>
      </w:r>
      <w:r w:rsidRPr="00217BD3">
        <w:rPr>
          <w:rFonts w:ascii="Avenir Book" w:hAnsi="Avenir Book"/>
          <w:sz w:val="22"/>
          <w:szCs w:val="22"/>
        </w:rPr>
        <w:t xml:space="preserve">examining violence, abuse, neglect and exploitation within separate service and life domains, such as in the area of education and learning, group homes, health and criminal justice. </w:t>
      </w:r>
      <w:r w:rsidR="006B5A19" w:rsidRPr="00217BD3">
        <w:rPr>
          <w:rFonts w:ascii="Avenir Book" w:hAnsi="Avenir Book"/>
          <w:sz w:val="22"/>
          <w:szCs w:val="22"/>
        </w:rPr>
        <w:t>We</w:t>
      </w:r>
      <w:r w:rsidRPr="00217BD3">
        <w:rPr>
          <w:rFonts w:ascii="Avenir Book" w:hAnsi="Avenir Book"/>
          <w:sz w:val="22"/>
          <w:szCs w:val="22"/>
        </w:rPr>
        <w:t xml:space="preserve"> acknowledge</w:t>
      </w:r>
      <w:r w:rsidR="002C62A4" w:rsidRPr="00217BD3">
        <w:rPr>
          <w:rFonts w:ascii="Avenir Book" w:hAnsi="Avenir Book"/>
          <w:sz w:val="22"/>
          <w:szCs w:val="22"/>
        </w:rPr>
        <w:t xml:space="preserve"> and welcome</w:t>
      </w:r>
      <w:r w:rsidR="006B5A19" w:rsidRPr="00217BD3">
        <w:rPr>
          <w:rFonts w:ascii="Avenir Book" w:hAnsi="Avenir Book"/>
          <w:sz w:val="22"/>
          <w:szCs w:val="22"/>
        </w:rPr>
        <w:t xml:space="preserve"> </w:t>
      </w:r>
      <w:r w:rsidR="002C62A4" w:rsidRPr="00217BD3">
        <w:rPr>
          <w:rFonts w:ascii="Avenir Book" w:hAnsi="Avenir Book"/>
          <w:sz w:val="22"/>
          <w:szCs w:val="22"/>
        </w:rPr>
        <w:t>the most recent issues papers that focus on broader issues – Rights and Attitudes and Restrictive Practices –</w:t>
      </w:r>
      <w:r w:rsidRPr="00217BD3">
        <w:rPr>
          <w:rFonts w:ascii="Avenir Book" w:hAnsi="Avenir Book"/>
          <w:sz w:val="22"/>
          <w:szCs w:val="22"/>
        </w:rPr>
        <w:t xml:space="preserve"> </w:t>
      </w:r>
      <w:r w:rsidR="002C62A4" w:rsidRPr="00217BD3">
        <w:rPr>
          <w:rFonts w:ascii="Avenir Book" w:hAnsi="Avenir Book"/>
          <w:sz w:val="22"/>
          <w:szCs w:val="22"/>
        </w:rPr>
        <w:t>or that focus on the experiences of specific groups – First Nations People with Disability.  We</w:t>
      </w:r>
      <w:r w:rsidRPr="00217BD3">
        <w:rPr>
          <w:rFonts w:ascii="Avenir Book" w:hAnsi="Avenir Book"/>
          <w:sz w:val="22"/>
          <w:szCs w:val="22"/>
        </w:rPr>
        <w:t xml:space="preserve"> caution against focusing only on particular service settings </w:t>
      </w:r>
      <w:r w:rsidRPr="00217BD3">
        <w:rPr>
          <w:rFonts w:ascii="Avenir Book" w:hAnsi="Avenir Book"/>
          <w:sz w:val="22"/>
          <w:szCs w:val="22"/>
        </w:rPr>
        <w:lastRenderedPageBreak/>
        <w:t>and domains that merely leads to reform of those domains. A focus only on particular service settings and domains risks:</w:t>
      </w:r>
    </w:p>
    <w:p w14:paraId="7CAB620E" w14:textId="77777777" w:rsidR="00234E0F" w:rsidRPr="002F5171" w:rsidRDefault="00234E0F" w:rsidP="00564172">
      <w:pPr>
        <w:pStyle w:val="ListParagraph"/>
        <w:numPr>
          <w:ilvl w:val="0"/>
          <w:numId w:val="24"/>
        </w:numPr>
        <w:snapToGrid w:val="0"/>
        <w:spacing w:after="120" w:line="240" w:lineRule="auto"/>
        <w:ind w:left="1276" w:hanging="284"/>
        <w:contextualSpacing w:val="0"/>
        <w:jc w:val="left"/>
        <w:rPr>
          <w:rFonts w:ascii="Avenir Book" w:hAnsi="Avenir Book"/>
          <w:sz w:val="22"/>
          <w:szCs w:val="22"/>
        </w:rPr>
      </w:pPr>
      <w:r w:rsidRPr="002F5171">
        <w:rPr>
          <w:rFonts w:ascii="Avenir Book" w:hAnsi="Avenir Book"/>
          <w:sz w:val="22"/>
          <w:szCs w:val="22"/>
        </w:rPr>
        <w:t xml:space="preserve">ignoring the reality of the pervasive nature of violence, abuse, neglect and exploitation that can be experienced by people with disability across all domains and aspects of their lives, and the specific and unique forms of this violence for women and girls with disability; and </w:t>
      </w:r>
    </w:p>
    <w:p w14:paraId="55DDA400" w14:textId="55E876F5" w:rsidR="00234E0F" w:rsidRPr="002F5171" w:rsidRDefault="00234E0F" w:rsidP="00564172">
      <w:pPr>
        <w:pStyle w:val="ListParagraph"/>
        <w:numPr>
          <w:ilvl w:val="0"/>
          <w:numId w:val="24"/>
        </w:numPr>
        <w:spacing w:line="240" w:lineRule="auto"/>
        <w:ind w:left="1276" w:hanging="283"/>
        <w:jc w:val="left"/>
        <w:rPr>
          <w:rFonts w:ascii="Avenir Book" w:hAnsi="Avenir Book"/>
          <w:sz w:val="22"/>
          <w:szCs w:val="22"/>
        </w:rPr>
      </w:pPr>
      <w:r w:rsidRPr="002F5171">
        <w:rPr>
          <w:rFonts w:ascii="Avenir Book" w:hAnsi="Avenir Book"/>
          <w:sz w:val="22"/>
          <w:szCs w:val="22"/>
        </w:rPr>
        <w:t>failing to expose the underpinning driver or enabler of violence, abuse, neglect and exploitation in the Australian law, policy and practice landscape and within society in general</w:t>
      </w:r>
      <w:r w:rsidR="002C62A4">
        <w:rPr>
          <w:rFonts w:ascii="Avenir Book" w:hAnsi="Avenir Book"/>
          <w:sz w:val="22"/>
          <w:szCs w:val="22"/>
        </w:rPr>
        <w:t xml:space="preserve"> - ableism</w:t>
      </w:r>
      <w:r w:rsidRPr="002F5171">
        <w:rPr>
          <w:rFonts w:ascii="Avenir Book" w:hAnsi="Avenir Book"/>
          <w:sz w:val="22"/>
          <w:szCs w:val="22"/>
        </w:rPr>
        <w:t xml:space="preserve">.    </w:t>
      </w:r>
    </w:p>
    <w:p w14:paraId="26B4CEF8" w14:textId="77777777" w:rsidR="00234E0F" w:rsidRPr="002F5171" w:rsidRDefault="00234E0F" w:rsidP="00217BD3">
      <w:pPr>
        <w:pStyle w:val="ListParagraph"/>
        <w:spacing w:line="240" w:lineRule="auto"/>
        <w:ind w:left="0"/>
        <w:jc w:val="left"/>
        <w:rPr>
          <w:rFonts w:ascii="Avenir Book" w:hAnsi="Avenir Book"/>
          <w:sz w:val="22"/>
          <w:szCs w:val="22"/>
        </w:rPr>
      </w:pPr>
    </w:p>
    <w:p w14:paraId="29818422" w14:textId="1D294666" w:rsidR="00234E0F" w:rsidRPr="001833CB" w:rsidRDefault="00234E0F" w:rsidP="00564172">
      <w:pPr>
        <w:pStyle w:val="ListParagraph"/>
        <w:numPr>
          <w:ilvl w:val="1"/>
          <w:numId w:val="15"/>
        </w:numPr>
        <w:spacing w:line="240" w:lineRule="auto"/>
        <w:ind w:left="993" w:hanging="567"/>
        <w:jc w:val="left"/>
        <w:rPr>
          <w:rFonts w:ascii="Avenir Book" w:hAnsi="Avenir Book"/>
          <w:sz w:val="22"/>
          <w:szCs w:val="22"/>
        </w:rPr>
      </w:pPr>
      <w:r w:rsidRPr="00A96034">
        <w:rPr>
          <w:rFonts w:ascii="Avenir Book" w:hAnsi="Avenir Book"/>
          <w:sz w:val="22"/>
          <w:szCs w:val="22"/>
        </w:rPr>
        <w:t xml:space="preserve">Our submission provides an overview of key human rights issues and the intersection between gender and disability in relation to </w:t>
      </w:r>
      <w:r w:rsidR="008D4734">
        <w:rPr>
          <w:rFonts w:ascii="Avenir Book" w:hAnsi="Avenir Book"/>
          <w:sz w:val="22"/>
          <w:szCs w:val="22"/>
        </w:rPr>
        <w:t>living arrangements for people with disability</w:t>
      </w:r>
      <w:r w:rsidRPr="00A96034">
        <w:rPr>
          <w:rFonts w:ascii="Avenir Book" w:hAnsi="Avenir Book"/>
          <w:sz w:val="22"/>
          <w:szCs w:val="22"/>
        </w:rPr>
        <w:t xml:space="preserve">.  We highlight overarching concerns with aspects of the Royal Commission’s </w:t>
      </w:r>
      <w:r w:rsidR="008D4734">
        <w:rPr>
          <w:rFonts w:ascii="Avenir Book" w:hAnsi="Avenir Book"/>
          <w:sz w:val="22"/>
          <w:szCs w:val="22"/>
        </w:rPr>
        <w:t xml:space="preserve">limited adherence to a human rights framework and </w:t>
      </w:r>
      <w:r w:rsidRPr="00A96034">
        <w:rPr>
          <w:rFonts w:ascii="Avenir Book" w:hAnsi="Avenir Book"/>
          <w:sz w:val="22"/>
          <w:szCs w:val="22"/>
        </w:rPr>
        <w:t xml:space="preserve">lack of intersectional analysis in its work to date.  </w:t>
      </w:r>
      <w:r w:rsidR="001833CB">
        <w:rPr>
          <w:rFonts w:ascii="Avenir Book" w:hAnsi="Avenir Book"/>
          <w:sz w:val="22"/>
          <w:szCs w:val="22"/>
        </w:rPr>
        <w:t xml:space="preserve">Several of our comments are the same as comments made in our response to the Education Issues Paper, as they are equally applicable to this Issues Paper.  </w:t>
      </w:r>
      <w:r w:rsidRPr="00A96034">
        <w:rPr>
          <w:rFonts w:ascii="Avenir Book" w:hAnsi="Avenir Book"/>
          <w:sz w:val="22"/>
          <w:szCs w:val="22"/>
        </w:rPr>
        <w:t>We argue that human rights, strong adherence to the CRPD, and intersectionality needs to underpin the work of the Royal Commission</w:t>
      </w:r>
      <w:r w:rsidR="001833CB">
        <w:rPr>
          <w:rFonts w:ascii="Avenir Book" w:hAnsi="Avenir Book"/>
          <w:sz w:val="22"/>
          <w:szCs w:val="22"/>
        </w:rPr>
        <w:t xml:space="preserve">. </w:t>
      </w:r>
      <w:r w:rsidRPr="001833CB">
        <w:rPr>
          <w:rFonts w:ascii="Avenir Book" w:hAnsi="Avenir Book"/>
          <w:sz w:val="22"/>
          <w:szCs w:val="22"/>
        </w:rPr>
        <w:t xml:space="preserve">  </w:t>
      </w:r>
    </w:p>
    <w:p w14:paraId="68B6D029" w14:textId="77777777" w:rsidR="00234E0F" w:rsidRPr="002F5171" w:rsidRDefault="00234E0F" w:rsidP="00217BD3">
      <w:pPr>
        <w:pStyle w:val="ListParagraph"/>
        <w:spacing w:line="240" w:lineRule="auto"/>
        <w:ind w:left="0"/>
        <w:jc w:val="left"/>
        <w:rPr>
          <w:rFonts w:ascii="Avenir Book" w:hAnsi="Avenir Book"/>
          <w:sz w:val="22"/>
          <w:szCs w:val="22"/>
        </w:rPr>
      </w:pPr>
    </w:p>
    <w:p w14:paraId="485C9D7F" w14:textId="6D864672" w:rsidR="00234E0F" w:rsidRPr="002F5171" w:rsidRDefault="00234E0F" w:rsidP="00564172">
      <w:pPr>
        <w:pStyle w:val="ListParagraph"/>
        <w:numPr>
          <w:ilvl w:val="1"/>
          <w:numId w:val="15"/>
        </w:numPr>
        <w:spacing w:line="240" w:lineRule="auto"/>
        <w:ind w:left="993" w:hanging="567"/>
        <w:jc w:val="left"/>
        <w:rPr>
          <w:rFonts w:ascii="Avenir Book" w:hAnsi="Avenir Book"/>
          <w:sz w:val="22"/>
          <w:szCs w:val="22"/>
        </w:rPr>
      </w:pPr>
      <w:r w:rsidRPr="002F5171">
        <w:rPr>
          <w:rFonts w:ascii="Avenir Book" w:hAnsi="Avenir Book"/>
          <w:sz w:val="22"/>
          <w:szCs w:val="22"/>
        </w:rPr>
        <w:t>For a comprehensive discussion of the human rights approach to violence, abuse, neglect and exploitation against people with disability, including women and girls with disability, we draw the attention of the Royal Commission to our submission, as part of DPO Australia (formerly the Australian Cross Disability Alliance) to the Senate Inquiry into violence, abuse and neglect against people with disability.</w:t>
      </w:r>
      <w:r w:rsidRPr="002F5171">
        <w:rPr>
          <w:rStyle w:val="FootnoteReference"/>
          <w:rFonts w:ascii="Avenir Book" w:hAnsi="Avenir Book"/>
          <w:sz w:val="22"/>
          <w:szCs w:val="22"/>
        </w:rPr>
        <w:footnoteReference w:id="12"/>
      </w:r>
      <w:r w:rsidRPr="002F5171">
        <w:rPr>
          <w:rFonts w:ascii="Avenir Book" w:hAnsi="Avenir Book"/>
          <w:sz w:val="22"/>
          <w:szCs w:val="22"/>
        </w:rPr>
        <w:t xml:space="preserve"> This submission comprehensively examines the human rights conceptualisation of ‘disability’, ‘intersectionality’ and ‘violence against people with disability’; provides information on the scope and prevalence of violence, including gender</w:t>
      </w:r>
      <w:r w:rsidR="006B5A19">
        <w:rPr>
          <w:rFonts w:ascii="Avenir Book" w:hAnsi="Avenir Book"/>
          <w:sz w:val="22"/>
          <w:szCs w:val="22"/>
        </w:rPr>
        <w:t xml:space="preserve">-based </w:t>
      </w:r>
      <w:r w:rsidRPr="002F5171">
        <w:rPr>
          <w:rFonts w:ascii="Avenir Book" w:hAnsi="Avenir Book"/>
          <w:sz w:val="22"/>
          <w:szCs w:val="22"/>
        </w:rPr>
        <w:t xml:space="preserve">violence; outlines human rights violations that constitute violence, abuse, neglect and exploitation against people with disability; and highlights failures in the Australian legislative, policy and service landscape in relation to violence.  </w:t>
      </w:r>
    </w:p>
    <w:p w14:paraId="2412DA7E" w14:textId="77777777" w:rsidR="00234E0F" w:rsidRPr="002F5171" w:rsidRDefault="00234E0F" w:rsidP="00217BD3">
      <w:pPr>
        <w:pStyle w:val="ListParagraph"/>
        <w:spacing w:line="240" w:lineRule="auto"/>
        <w:ind w:left="0"/>
        <w:jc w:val="left"/>
        <w:rPr>
          <w:rFonts w:ascii="Avenir Book" w:hAnsi="Avenir Book"/>
          <w:sz w:val="22"/>
          <w:szCs w:val="22"/>
        </w:rPr>
      </w:pPr>
    </w:p>
    <w:p w14:paraId="0254E6F3" w14:textId="77777777" w:rsidR="00234E0F" w:rsidRPr="002F5171" w:rsidRDefault="00234E0F" w:rsidP="00564172">
      <w:pPr>
        <w:pStyle w:val="ListParagraph"/>
        <w:numPr>
          <w:ilvl w:val="1"/>
          <w:numId w:val="15"/>
        </w:numPr>
        <w:spacing w:line="240" w:lineRule="auto"/>
        <w:ind w:left="993" w:hanging="567"/>
        <w:jc w:val="left"/>
        <w:rPr>
          <w:rFonts w:ascii="Avenir Book" w:hAnsi="Avenir Book"/>
          <w:sz w:val="22"/>
          <w:szCs w:val="22"/>
        </w:rPr>
      </w:pPr>
      <w:r w:rsidRPr="002F5171">
        <w:rPr>
          <w:rFonts w:ascii="Avenir Book" w:hAnsi="Avenir Book"/>
          <w:sz w:val="22"/>
          <w:szCs w:val="22"/>
        </w:rPr>
        <w:t xml:space="preserve">For a comprehensive discussion of the human rights approach to violence, abuse, neglect and exploitation specific to women and girls with disability, we draw the attention of the Royal Commission to the paper, </w:t>
      </w:r>
      <w:r w:rsidRPr="002F5171">
        <w:rPr>
          <w:rFonts w:ascii="Avenir Book" w:hAnsi="Avenir Book"/>
          <w:i/>
          <w:sz w:val="22"/>
          <w:szCs w:val="22"/>
        </w:rPr>
        <w:t>Preventing Violence against Women and Girls with Disabilities: Integrating A Human Rights Perspective</w:t>
      </w:r>
      <w:r w:rsidRPr="002F5171">
        <w:rPr>
          <w:rFonts w:ascii="Avenir Book" w:hAnsi="Avenir Book"/>
          <w:sz w:val="22"/>
          <w:szCs w:val="22"/>
        </w:rPr>
        <w:t>.</w:t>
      </w:r>
      <w:r w:rsidRPr="002F5171">
        <w:rPr>
          <w:rStyle w:val="FootnoteReference"/>
          <w:rFonts w:ascii="Avenir Book" w:hAnsi="Avenir Book"/>
          <w:sz w:val="22"/>
          <w:szCs w:val="22"/>
        </w:rPr>
        <w:footnoteReference w:id="13"/>
      </w:r>
      <w:r w:rsidRPr="002F5171">
        <w:rPr>
          <w:rFonts w:ascii="Avenir Book" w:hAnsi="Avenir Book"/>
          <w:sz w:val="22"/>
          <w:szCs w:val="22"/>
        </w:rPr>
        <w:t xml:space="preserve"> This paper elaborates substantially on key points made in this submission. </w:t>
      </w:r>
    </w:p>
    <w:p w14:paraId="019F30AC" w14:textId="77777777" w:rsidR="009802D8" w:rsidRDefault="009802D8" w:rsidP="00217BD3">
      <w:pPr>
        <w:spacing w:line="240" w:lineRule="auto"/>
        <w:jc w:val="left"/>
        <w:rPr>
          <w:rFonts w:ascii="Calibri" w:eastAsiaTheme="minorHAnsi" w:hAnsi="Calibri" w:cs="Calibri"/>
          <w:b/>
          <w:color w:val="7030A0"/>
          <w:sz w:val="28"/>
        </w:rPr>
      </w:pPr>
      <w:r>
        <w:rPr>
          <w:rFonts w:ascii="Calibri" w:hAnsi="Calibri" w:cs="Calibri"/>
          <w:color w:val="7030A0"/>
        </w:rPr>
        <w:br w:type="page"/>
      </w:r>
    </w:p>
    <w:p w14:paraId="043DE837" w14:textId="191F1D23" w:rsidR="00F55A92" w:rsidRPr="007957C5" w:rsidRDefault="001F755A" w:rsidP="00564172">
      <w:pPr>
        <w:pStyle w:val="Heading2"/>
        <w:numPr>
          <w:ilvl w:val="0"/>
          <w:numId w:val="6"/>
        </w:numPr>
        <w:spacing w:line="240" w:lineRule="auto"/>
        <w:ind w:left="425" w:hanging="425"/>
        <w:rPr>
          <w:rFonts w:ascii="Avenir Roman" w:hAnsi="Avenir Roman" w:cs="Calibri"/>
          <w:color w:val="AC1F79"/>
          <w:sz w:val="22"/>
          <w:szCs w:val="22"/>
        </w:rPr>
      </w:pPr>
      <w:bookmarkStart w:id="108" w:name="_Toc43919149"/>
      <w:r w:rsidRPr="007957C5">
        <w:rPr>
          <w:rFonts w:ascii="Avenir Roman" w:hAnsi="Avenir Roman" w:cs="Calibri"/>
          <w:color w:val="AC1F79"/>
          <w:sz w:val="22"/>
          <w:szCs w:val="22"/>
        </w:rPr>
        <w:lastRenderedPageBreak/>
        <w:t>Living independently and being included in the community</w:t>
      </w:r>
      <w:bookmarkEnd w:id="108"/>
    </w:p>
    <w:p w14:paraId="4865E288" w14:textId="1D7660DB" w:rsidR="007713E1" w:rsidRPr="007957C5" w:rsidRDefault="007713E1" w:rsidP="00564172">
      <w:pPr>
        <w:pStyle w:val="Heading3"/>
        <w:numPr>
          <w:ilvl w:val="1"/>
          <w:numId w:val="22"/>
        </w:numPr>
        <w:spacing w:after="120" w:line="240" w:lineRule="auto"/>
        <w:ind w:left="1134" w:hanging="709"/>
        <w:rPr>
          <w:rFonts w:ascii="Avenir Roman" w:hAnsi="Avenir Roman"/>
          <w:i/>
          <w:sz w:val="22"/>
          <w:szCs w:val="22"/>
        </w:rPr>
      </w:pPr>
      <w:bookmarkStart w:id="109" w:name="_Toc43919150"/>
      <w:r w:rsidRPr="007957C5">
        <w:rPr>
          <w:rFonts w:ascii="Avenir Roman" w:hAnsi="Avenir Roman"/>
          <w:i/>
          <w:sz w:val="22"/>
          <w:szCs w:val="22"/>
        </w:rPr>
        <w:t>More than living arrangements and housing</w:t>
      </w:r>
      <w:bookmarkEnd w:id="109"/>
    </w:p>
    <w:p w14:paraId="572EC987" w14:textId="33A394BC" w:rsidR="00523F8B" w:rsidRPr="007957C5" w:rsidRDefault="00A840EC"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The Issues Paper </w:t>
      </w:r>
      <w:r w:rsidR="006F2385" w:rsidRPr="007957C5">
        <w:rPr>
          <w:rFonts w:ascii="Avenir Roman" w:hAnsi="Avenir Roman"/>
          <w:sz w:val="22"/>
          <w:szCs w:val="22"/>
        </w:rPr>
        <w:t>notes that “the living arrangements of people with disability are a key are</w:t>
      </w:r>
      <w:r w:rsidR="001A7898" w:rsidRPr="007957C5">
        <w:rPr>
          <w:rFonts w:ascii="Avenir Roman" w:hAnsi="Avenir Roman"/>
          <w:sz w:val="22"/>
          <w:szCs w:val="22"/>
        </w:rPr>
        <w:t>a</w:t>
      </w:r>
      <w:r w:rsidR="006F2385" w:rsidRPr="007957C5">
        <w:rPr>
          <w:rFonts w:ascii="Avenir Roman" w:hAnsi="Avenir Roman"/>
          <w:sz w:val="22"/>
          <w:szCs w:val="22"/>
        </w:rPr>
        <w:t xml:space="preserve"> of inquiry for the Royal Commission”</w:t>
      </w:r>
      <w:r w:rsidR="00581568" w:rsidRPr="007957C5">
        <w:rPr>
          <w:rStyle w:val="FootnoteReference"/>
          <w:rFonts w:ascii="Avenir Roman" w:hAnsi="Avenir Roman"/>
          <w:sz w:val="22"/>
          <w:szCs w:val="22"/>
        </w:rPr>
        <w:footnoteReference w:id="14"/>
      </w:r>
      <w:r w:rsidR="006F2385" w:rsidRPr="007957C5">
        <w:rPr>
          <w:rFonts w:ascii="Avenir Roman" w:hAnsi="Avenir Roman"/>
          <w:sz w:val="22"/>
          <w:szCs w:val="22"/>
        </w:rPr>
        <w:t xml:space="preserve"> </w:t>
      </w:r>
      <w:r w:rsidR="005573E0" w:rsidRPr="007957C5">
        <w:rPr>
          <w:rFonts w:ascii="Avenir Roman" w:hAnsi="Avenir Roman"/>
          <w:sz w:val="22"/>
          <w:szCs w:val="22"/>
        </w:rPr>
        <w:t xml:space="preserve">and rightly notes that these living arrangements are a site of </w:t>
      </w:r>
      <w:r w:rsidR="00523F8B" w:rsidRPr="007957C5">
        <w:rPr>
          <w:rFonts w:ascii="Avenir Roman" w:hAnsi="Avenir Roman"/>
          <w:sz w:val="22"/>
          <w:szCs w:val="22"/>
        </w:rPr>
        <w:t>violence, abuse, neglect and exploitation</w:t>
      </w:r>
      <w:r w:rsidR="005573E0" w:rsidRPr="007957C5">
        <w:rPr>
          <w:rFonts w:ascii="Avenir Roman" w:hAnsi="Avenir Roman"/>
          <w:sz w:val="22"/>
          <w:szCs w:val="22"/>
        </w:rPr>
        <w:t xml:space="preserve">.  </w:t>
      </w:r>
      <w:r w:rsidR="00523F8B" w:rsidRPr="007957C5">
        <w:rPr>
          <w:rFonts w:ascii="Avenir Roman" w:hAnsi="Avenir Roman"/>
          <w:sz w:val="22"/>
          <w:szCs w:val="22"/>
        </w:rPr>
        <w:t>T</w:t>
      </w:r>
      <w:r w:rsidR="006F2385" w:rsidRPr="007957C5">
        <w:rPr>
          <w:rFonts w:ascii="Avenir Roman" w:hAnsi="Avenir Roman"/>
          <w:sz w:val="22"/>
          <w:szCs w:val="22"/>
        </w:rPr>
        <w:t>his Issues Paper focuse</w:t>
      </w:r>
      <w:r w:rsidR="00523F8B" w:rsidRPr="007957C5">
        <w:rPr>
          <w:rFonts w:ascii="Avenir Roman" w:hAnsi="Avenir Roman"/>
          <w:sz w:val="22"/>
          <w:szCs w:val="22"/>
        </w:rPr>
        <w:t xml:space="preserve">s </w:t>
      </w:r>
      <w:r w:rsidR="006F2385" w:rsidRPr="007957C5">
        <w:rPr>
          <w:rFonts w:ascii="Avenir Roman" w:hAnsi="Avenir Roman"/>
          <w:sz w:val="22"/>
          <w:szCs w:val="22"/>
        </w:rPr>
        <w:t xml:space="preserve">specifically on </w:t>
      </w:r>
      <w:r w:rsidR="00581568" w:rsidRPr="007957C5">
        <w:rPr>
          <w:rFonts w:ascii="Avenir Roman" w:hAnsi="Avenir Roman"/>
          <w:sz w:val="22"/>
          <w:szCs w:val="22"/>
        </w:rPr>
        <w:t>group homes</w:t>
      </w:r>
      <w:r w:rsidR="00523F8B" w:rsidRPr="007957C5">
        <w:rPr>
          <w:rFonts w:ascii="Avenir Roman" w:hAnsi="Avenir Roman"/>
          <w:sz w:val="22"/>
          <w:szCs w:val="22"/>
        </w:rPr>
        <w:t xml:space="preserve">, with other living arrangements </w:t>
      </w:r>
      <w:r w:rsidR="007C1CEF" w:rsidRPr="007957C5">
        <w:rPr>
          <w:rFonts w:ascii="Avenir Roman" w:hAnsi="Avenir Roman"/>
          <w:sz w:val="22"/>
          <w:szCs w:val="22"/>
        </w:rPr>
        <w:t xml:space="preserve">to be </w:t>
      </w:r>
      <w:r w:rsidR="00523F8B" w:rsidRPr="007957C5">
        <w:rPr>
          <w:rFonts w:ascii="Avenir Roman" w:hAnsi="Avenir Roman"/>
          <w:sz w:val="22"/>
          <w:szCs w:val="22"/>
        </w:rPr>
        <w:t>examined in future issues papers.</w:t>
      </w:r>
      <w:r w:rsidR="00523F8B" w:rsidRPr="007957C5">
        <w:rPr>
          <w:rStyle w:val="FootnoteReference"/>
          <w:rFonts w:ascii="Avenir Roman" w:hAnsi="Avenir Roman"/>
          <w:sz w:val="22"/>
          <w:szCs w:val="22"/>
        </w:rPr>
        <w:footnoteReference w:id="15"/>
      </w:r>
      <w:r w:rsidR="00523F8B" w:rsidRPr="007957C5">
        <w:rPr>
          <w:rFonts w:ascii="Avenir Roman" w:hAnsi="Avenir Roman"/>
          <w:sz w:val="22"/>
          <w:szCs w:val="22"/>
        </w:rPr>
        <w:t xml:space="preserve"> </w:t>
      </w:r>
      <w:r w:rsidR="00581568" w:rsidRPr="007957C5">
        <w:rPr>
          <w:rFonts w:ascii="Avenir Roman" w:hAnsi="Avenir Roman"/>
          <w:sz w:val="22"/>
          <w:szCs w:val="22"/>
        </w:rPr>
        <w:t xml:space="preserve"> </w:t>
      </w:r>
    </w:p>
    <w:p w14:paraId="258DB575" w14:textId="77777777" w:rsidR="007713E1" w:rsidRPr="007957C5" w:rsidRDefault="007713E1" w:rsidP="007957C5">
      <w:pPr>
        <w:pStyle w:val="ListParagraph"/>
        <w:spacing w:line="240" w:lineRule="auto"/>
        <w:ind w:left="1134"/>
        <w:jc w:val="left"/>
        <w:rPr>
          <w:rFonts w:ascii="Avenir Roman" w:hAnsi="Avenir Roman"/>
          <w:sz w:val="22"/>
          <w:szCs w:val="22"/>
        </w:rPr>
      </w:pPr>
    </w:p>
    <w:p w14:paraId="6F1E2359" w14:textId="19B55368" w:rsidR="006F2A8E" w:rsidRPr="007957C5" w:rsidRDefault="00FC5C68"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The Issues Paper highlights article 19 of the CRPD </w:t>
      </w:r>
      <w:r w:rsidRPr="007957C5">
        <w:rPr>
          <w:rFonts w:ascii="Avenir Roman" w:hAnsi="Avenir Roman"/>
          <w:i/>
          <w:sz w:val="22"/>
          <w:szCs w:val="22"/>
        </w:rPr>
        <w:t>Living independently and being included in the community</w:t>
      </w:r>
      <w:r w:rsidRPr="007957C5">
        <w:rPr>
          <w:rFonts w:ascii="Avenir Roman" w:hAnsi="Avenir Roman"/>
          <w:sz w:val="22"/>
          <w:szCs w:val="22"/>
        </w:rPr>
        <w:t xml:space="preserve"> as the context for the </w:t>
      </w:r>
      <w:r w:rsidR="00A244D6" w:rsidRPr="007957C5">
        <w:rPr>
          <w:rFonts w:ascii="Avenir Roman" w:hAnsi="Avenir Roman"/>
          <w:sz w:val="22"/>
          <w:szCs w:val="22"/>
        </w:rPr>
        <w:t>“human rights-based approach”</w:t>
      </w:r>
      <w:r w:rsidR="00D16FF8" w:rsidRPr="007957C5">
        <w:rPr>
          <w:rStyle w:val="FootnoteReference"/>
          <w:rFonts w:ascii="Avenir Roman" w:hAnsi="Avenir Roman"/>
          <w:sz w:val="22"/>
          <w:szCs w:val="22"/>
        </w:rPr>
        <w:footnoteReference w:id="16"/>
      </w:r>
      <w:r w:rsidR="00A244D6" w:rsidRPr="007957C5">
        <w:rPr>
          <w:rFonts w:ascii="Avenir Roman" w:hAnsi="Avenir Roman"/>
          <w:sz w:val="22"/>
          <w:szCs w:val="22"/>
        </w:rPr>
        <w:t xml:space="preserve"> to </w:t>
      </w:r>
      <w:r w:rsidR="006D4A0F" w:rsidRPr="007957C5">
        <w:rPr>
          <w:rFonts w:ascii="Avenir Roman" w:hAnsi="Avenir Roman"/>
          <w:sz w:val="22"/>
          <w:szCs w:val="22"/>
        </w:rPr>
        <w:t xml:space="preserve">the </w:t>
      </w:r>
      <w:r w:rsidR="00970A62" w:rsidRPr="007957C5">
        <w:rPr>
          <w:rFonts w:ascii="Avenir Roman" w:hAnsi="Avenir Roman"/>
          <w:sz w:val="22"/>
          <w:szCs w:val="22"/>
        </w:rPr>
        <w:t>examination of</w:t>
      </w:r>
      <w:r w:rsidRPr="007957C5">
        <w:rPr>
          <w:rFonts w:ascii="Avenir Roman" w:hAnsi="Avenir Roman"/>
          <w:sz w:val="22"/>
          <w:szCs w:val="22"/>
        </w:rPr>
        <w:t xml:space="preserve"> group homes.</w:t>
      </w:r>
      <w:r w:rsidR="00A244D6" w:rsidRPr="007957C5">
        <w:rPr>
          <w:rFonts w:ascii="Avenir Roman" w:hAnsi="Avenir Roman"/>
          <w:sz w:val="22"/>
          <w:szCs w:val="22"/>
        </w:rPr>
        <w:t xml:space="preserve"> </w:t>
      </w:r>
      <w:r w:rsidR="00147701" w:rsidRPr="007957C5">
        <w:rPr>
          <w:rFonts w:ascii="Avenir Roman" w:hAnsi="Avenir Roman"/>
          <w:sz w:val="22"/>
          <w:szCs w:val="22"/>
        </w:rPr>
        <w:t xml:space="preserve">The focus of discussion </w:t>
      </w:r>
      <w:r w:rsidR="00A244D6" w:rsidRPr="007957C5">
        <w:rPr>
          <w:rFonts w:ascii="Avenir Roman" w:hAnsi="Avenir Roman"/>
          <w:sz w:val="22"/>
          <w:szCs w:val="22"/>
        </w:rPr>
        <w:t xml:space="preserve">is on </w:t>
      </w:r>
      <w:r w:rsidR="00D16FF8" w:rsidRPr="007957C5">
        <w:rPr>
          <w:rFonts w:ascii="Avenir Roman" w:hAnsi="Avenir Roman"/>
          <w:sz w:val="22"/>
          <w:szCs w:val="22"/>
        </w:rPr>
        <w:t>group homes as an accommodation model for people with disability, the regulations governing the building type and construction of group homes</w:t>
      </w:r>
      <w:r w:rsidR="00147701" w:rsidRPr="007957C5">
        <w:rPr>
          <w:rFonts w:ascii="Avenir Roman" w:hAnsi="Avenir Roman"/>
          <w:sz w:val="22"/>
          <w:szCs w:val="22"/>
        </w:rPr>
        <w:t xml:space="preserve"> and </w:t>
      </w:r>
      <w:r w:rsidR="00D16FF8" w:rsidRPr="007957C5">
        <w:rPr>
          <w:rFonts w:ascii="Avenir Roman" w:hAnsi="Avenir Roman"/>
          <w:sz w:val="22"/>
          <w:szCs w:val="22"/>
        </w:rPr>
        <w:t>the numbers of people that can be accommodated in group homes</w:t>
      </w:r>
      <w:r w:rsidR="00147701" w:rsidRPr="007957C5">
        <w:rPr>
          <w:rFonts w:ascii="Avenir Roman" w:hAnsi="Avenir Roman"/>
          <w:sz w:val="22"/>
          <w:szCs w:val="22"/>
        </w:rPr>
        <w:t xml:space="preserve">.  The questions </w:t>
      </w:r>
      <w:r w:rsidR="00FB0D0B" w:rsidRPr="007957C5">
        <w:rPr>
          <w:rFonts w:ascii="Avenir Roman" w:hAnsi="Avenir Roman"/>
          <w:sz w:val="22"/>
          <w:szCs w:val="22"/>
        </w:rPr>
        <w:t xml:space="preserve">in the Issues Paper </w:t>
      </w:r>
      <w:r w:rsidR="00147701" w:rsidRPr="007957C5">
        <w:rPr>
          <w:rFonts w:ascii="Avenir Roman" w:hAnsi="Avenir Roman"/>
          <w:sz w:val="22"/>
          <w:szCs w:val="22"/>
        </w:rPr>
        <w:t xml:space="preserve">seek </w:t>
      </w:r>
      <w:r w:rsidR="007C1CEF" w:rsidRPr="007957C5">
        <w:rPr>
          <w:rFonts w:ascii="Avenir Roman" w:hAnsi="Avenir Roman"/>
          <w:sz w:val="22"/>
          <w:szCs w:val="22"/>
        </w:rPr>
        <w:t xml:space="preserve">views </w:t>
      </w:r>
      <w:r w:rsidR="00147701" w:rsidRPr="007957C5">
        <w:rPr>
          <w:rFonts w:ascii="Avenir Roman" w:hAnsi="Avenir Roman"/>
          <w:sz w:val="22"/>
          <w:szCs w:val="22"/>
        </w:rPr>
        <w:t xml:space="preserve">in relation to violence, abuse, neglect and exploitation </w:t>
      </w:r>
      <w:r w:rsidR="007C1CEF" w:rsidRPr="007957C5">
        <w:rPr>
          <w:rFonts w:ascii="Avenir Roman" w:hAnsi="Avenir Roman"/>
          <w:sz w:val="22"/>
          <w:szCs w:val="22"/>
        </w:rPr>
        <w:t xml:space="preserve">experienced by people with disability </w:t>
      </w:r>
      <w:r w:rsidR="002C113C" w:rsidRPr="007957C5">
        <w:rPr>
          <w:rFonts w:ascii="Avenir Roman" w:hAnsi="Avenir Roman"/>
          <w:sz w:val="22"/>
          <w:szCs w:val="22"/>
        </w:rPr>
        <w:t xml:space="preserve">in group homes </w:t>
      </w:r>
      <w:r w:rsidR="00147701" w:rsidRPr="007957C5">
        <w:rPr>
          <w:rFonts w:ascii="Avenir Roman" w:hAnsi="Avenir Roman"/>
          <w:sz w:val="22"/>
          <w:szCs w:val="22"/>
        </w:rPr>
        <w:t xml:space="preserve">as well as </w:t>
      </w:r>
      <w:r w:rsidR="007C1CEF" w:rsidRPr="007957C5">
        <w:rPr>
          <w:rFonts w:ascii="Avenir Roman" w:hAnsi="Avenir Roman"/>
          <w:sz w:val="22"/>
          <w:szCs w:val="22"/>
        </w:rPr>
        <w:t xml:space="preserve">examples of </w:t>
      </w:r>
      <w:r w:rsidR="00147701" w:rsidRPr="007957C5">
        <w:rPr>
          <w:rFonts w:ascii="Avenir Roman" w:hAnsi="Avenir Roman"/>
          <w:sz w:val="22"/>
          <w:szCs w:val="22"/>
        </w:rPr>
        <w:t>good practice</w:t>
      </w:r>
      <w:r w:rsidR="007C1CEF" w:rsidRPr="007957C5">
        <w:rPr>
          <w:rFonts w:ascii="Avenir Roman" w:hAnsi="Avenir Roman"/>
          <w:sz w:val="22"/>
          <w:szCs w:val="22"/>
        </w:rPr>
        <w:t xml:space="preserve"> in group homes</w:t>
      </w:r>
      <w:r w:rsidR="00147701" w:rsidRPr="007957C5">
        <w:rPr>
          <w:rFonts w:ascii="Avenir Roman" w:hAnsi="Avenir Roman"/>
          <w:sz w:val="22"/>
          <w:szCs w:val="22"/>
        </w:rPr>
        <w:t>.</w:t>
      </w:r>
      <w:r w:rsidR="00D16FF8" w:rsidRPr="007957C5">
        <w:rPr>
          <w:rFonts w:ascii="Avenir Roman" w:hAnsi="Avenir Roman"/>
          <w:sz w:val="22"/>
          <w:szCs w:val="22"/>
        </w:rPr>
        <w:t xml:space="preserve"> </w:t>
      </w:r>
      <w:r w:rsidR="006F2A8E" w:rsidRPr="007957C5">
        <w:rPr>
          <w:rFonts w:ascii="Avenir Roman" w:hAnsi="Avenir Roman"/>
          <w:sz w:val="22"/>
          <w:szCs w:val="22"/>
        </w:rPr>
        <w:t xml:space="preserve">In the context of article 19 of the CRPD, this </w:t>
      </w:r>
      <w:r w:rsidR="00147701" w:rsidRPr="007957C5">
        <w:rPr>
          <w:rFonts w:ascii="Avenir Roman" w:hAnsi="Avenir Roman"/>
          <w:sz w:val="22"/>
          <w:szCs w:val="22"/>
        </w:rPr>
        <w:t xml:space="preserve">focus </w:t>
      </w:r>
      <w:r w:rsidR="006F2A8E" w:rsidRPr="007957C5">
        <w:rPr>
          <w:rFonts w:ascii="Avenir Roman" w:hAnsi="Avenir Roman"/>
          <w:sz w:val="22"/>
          <w:szCs w:val="22"/>
        </w:rPr>
        <w:t>is limiting</w:t>
      </w:r>
      <w:r w:rsidR="002D35CA" w:rsidRPr="007957C5">
        <w:rPr>
          <w:rFonts w:ascii="Avenir Roman" w:hAnsi="Avenir Roman"/>
          <w:sz w:val="22"/>
          <w:szCs w:val="22"/>
        </w:rPr>
        <w:t>, as a</w:t>
      </w:r>
      <w:r w:rsidR="006F2A8E" w:rsidRPr="007957C5">
        <w:rPr>
          <w:rFonts w:ascii="Avenir Roman" w:hAnsi="Avenir Roman"/>
          <w:sz w:val="22"/>
          <w:szCs w:val="22"/>
        </w:rPr>
        <w:t xml:space="preserve">rticle 19 is much broader and all-encompassing of CRPD rights than a discussion of appropriate and safe housing </w:t>
      </w:r>
      <w:r w:rsidR="007C1CEF" w:rsidRPr="007957C5">
        <w:rPr>
          <w:rFonts w:ascii="Avenir Roman" w:hAnsi="Avenir Roman"/>
          <w:sz w:val="22"/>
          <w:szCs w:val="22"/>
        </w:rPr>
        <w:t xml:space="preserve">or accommodation </w:t>
      </w:r>
      <w:r w:rsidR="006F2A8E" w:rsidRPr="007957C5">
        <w:rPr>
          <w:rFonts w:ascii="Avenir Roman" w:hAnsi="Avenir Roman"/>
          <w:sz w:val="22"/>
          <w:szCs w:val="22"/>
        </w:rPr>
        <w:t xml:space="preserve">models for people with disability.  </w:t>
      </w:r>
    </w:p>
    <w:p w14:paraId="24EC0237" w14:textId="77777777" w:rsidR="007713E1" w:rsidRPr="007957C5" w:rsidRDefault="007713E1" w:rsidP="007957C5">
      <w:pPr>
        <w:pStyle w:val="ListParagraph"/>
        <w:spacing w:line="240" w:lineRule="auto"/>
        <w:jc w:val="left"/>
        <w:rPr>
          <w:rFonts w:ascii="Avenir Roman" w:hAnsi="Avenir Roman"/>
          <w:sz w:val="22"/>
          <w:szCs w:val="22"/>
        </w:rPr>
      </w:pPr>
    </w:p>
    <w:p w14:paraId="71D27BBE" w14:textId="0469D1CE" w:rsidR="00B56547" w:rsidRDefault="00DE08CD" w:rsidP="00564172">
      <w:pPr>
        <w:pStyle w:val="ListParagraph"/>
        <w:numPr>
          <w:ilvl w:val="2"/>
          <w:numId w:val="22"/>
        </w:numPr>
        <w:spacing w:after="0" w:line="240" w:lineRule="auto"/>
        <w:ind w:left="1134" w:hanging="709"/>
        <w:contextualSpacing w:val="0"/>
        <w:jc w:val="left"/>
        <w:rPr>
          <w:rFonts w:ascii="Avenir Roman" w:hAnsi="Avenir Roman"/>
          <w:sz w:val="22"/>
          <w:szCs w:val="22"/>
        </w:rPr>
      </w:pPr>
      <w:r w:rsidRPr="007957C5">
        <w:rPr>
          <w:rFonts w:ascii="Avenir Roman" w:hAnsi="Avenir Roman"/>
          <w:sz w:val="22"/>
          <w:szCs w:val="22"/>
          <w:lang w:eastAsia="en-AU"/>
        </w:rPr>
        <w:t>The UN Committee on the Rights of Persons with Disabilities (CRPD Committee) provides c</w:t>
      </w:r>
      <w:r w:rsidR="00AC525E" w:rsidRPr="007957C5">
        <w:rPr>
          <w:rFonts w:ascii="Avenir Roman" w:hAnsi="Avenir Roman"/>
          <w:sz w:val="22"/>
          <w:szCs w:val="22"/>
          <w:lang w:eastAsia="en-AU"/>
        </w:rPr>
        <w:t>omprehensive g</w:t>
      </w:r>
      <w:r w:rsidR="00B56547" w:rsidRPr="007957C5">
        <w:rPr>
          <w:rFonts w:ascii="Avenir Roman" w:hAnsi="Avenir Roman"/>
          <w:sz w:val="22"/>
          <w:szCs w:val="22"/>
          <w:lang w:eastAsia="en-AU"/>
        </w:rPr>
        <w:t xml:space="preserve">uidance on interpretation and implementation of </w:t>
      </w:r>
      <w:r w:rsidRPr="007957C5">
        <w:rPr>
          <w:rFonts w:ascii="Avenir Roman" w:hAnsi="Avenir Roman"/>
          <w:sz w:val="22"/>
          <w:szCs w:val="22"/>
          <w:lang w:eastAsia="en-AU"/>
        </w:rPr>
        <w:t xml:space="preserve">the CRPD in its General Comments.  </w:t>
      </w:r>
      <w:r w:rsidR="00B56547" w:rsidRPr="007957C5">
        <w:rPr>
          <w:rFonts w:ascii="Avenir Roman" w:hAnsi="Avenir Roman"/>
          <w:sz w:val="22"/>
          <w:szCs w:val="22"/>
          <w:lang w:eastAsia="en-AU"/>
        </w:rPr>
        <w:t xml:space="preserve">General Comment No. </w:t>
      </w:r>
      <w:r w:rsidR="00AC525E" w:rsidRPr="007957C5">
        <w:rPr>
          <w:rFonts w:ascii="Avenir Roman" w:hAnsi="Avenir Roman"/>
          <w:sz w:val="22"/>
          <w:szCs w:val="22"/>
          <w:lang w:eastAsia="en-AU"/>
        </w:rPr>
        <w:t>5</w:t>
      </w:r>
      <w:r w:rsidR="00B56547" w:rsidRPr="007957C5">
        <w:rPr>
          <w:rFonts w:ascii="Avenir Roman" w:hAnsi="Avenir Roman"/>
          <w:sz w:val="22"/>
          <w:szCs w:val="22"/>
          <w:lang w:eastAsia="en-AU"/>
        </w:rPr>
        <w:t xml:space="preserve"> on </w:t>
      </w:r>
      <w:r w:rsidR="00AC525E" w:rsidRPr="007957C5">
        <w:rPr>
          <w:rFonts w:ascii="Avenir Roman" w:hAnsi="Avenir Roman"/>
          <w:sz w:val="22"/>
          <w:szCs w:val="22"/>
          <w:lang w:eastAsia="en-AU"/>
        </w:rPr>
        <w:t>living independently and being included in the community</w:t>
      </w:r>
      <w:r w:rsidRPr="007957C5">
        <w:rPr>
          <w:rFonts w:ascii="Avenir Roman" w:hAnsi="Avenir Roman"/>
          <w:sz w:val="22"/>
          <w:szCs w:val="22"/>
          <w:lang w:eastAsia="en-AU"/>
        </w:rPr>
        <w:t xml:space="preserve"> outlines the CRPD Committee’s guidance on article 19</w:t>
      </w:r>
      <w:r w:rsidR="00B56547" w:rsidRPr="007957C5">
        <w:rPr>
          <w:rFonts w:ascii="Avenir Roman" w:hAnsi="Avenir Roman"/>
          <w:sz w:val="22"/>
          <w:szCs w:val="22"/>
          <w:lang w:eastAsia="en-AU"/>
        </w:rPr>
        <w:t>.</w:t>
      </w:r>
      <w:r w:rsidR="00AC525E" w:rsidRPr="007957C5">
        <w:rPr>
          <w:rStyle w:val="FootnoteReference"/>
          <w:rFonts w:ascii="Avenir Roman" w:hAnsi="Avenir Roman"/>
          <w:sz w:val="22"/>
          <w:szCs w:val="22"/>
          <w:lang w:val="en-AU" w:eastAsia="en-AU"/>
        </w:rPr>
        <w:footnoteReference w:id="17"/>
      </w:r>
      <w:r w:rsidR="00AC525E" w:rsidRPr="007957C5">
        <w:rPr>
          <w:rFonts w:ascii="Avenir Roman" w:hAnsi="Avenir Roman"/>
          <w:sz w:val="22"/>
          <w:szCs w:val="22"/>
          <w:lang w:eastAsia="en-AU"/>
        </w:rPr>
        <w:t xml:space="preserve"> </w:t>
      </w:r>
      <w:r w:rsidR="00B56547" w:rsidRPr="007957C5">
        <w:rPr>
          <w:rFonts w:ascii="Avenir Roman" w:hAnsi="Avenir Roman"/>
          <w:sz w:val="22"/>
          <w:szCs w:val="22"/>
          <w:lang w:eastAsia="en-AU"/>
        </w:rPr>
        <w:t xml:space="preserve">General Comment </w:t>
      </w:r>
      <w:r w:rsidR="00AC525E" w:rsidRPr="007957C5">
        <w:rPr>
          <w:rFonts w:ascii="Avenir Roman" w:hAnsi="Avenir Roman"/>
          <w:sz w:val="22"/>
          <w:szCs w:val="22"/>
          <w:lang w:eastAsia="en-AU"/>
        </w:rPr>
        <w:t>N</w:t>
      </w:r>
      <w:r w:rsidR="00B56547" w:rsidRPr="007957C5">
        <w:rPr>
          <w:rFonts w:ascii="Avenir Roman" w:hAnsi="Avenir Roman"/>
          <w:sz w:val="22"/>
          <w:szCs w:val="22"/>
          <w:lang w:eastAsia="en-AU"/>
        </w:rPr>
        <w:t>o</w:t>
      </w:r>
      <w:r w:rsidR="00AC525E" w:rsidRPr="007957C5">
        <w:rPr>
          <w:rFonts w:ascii="Avenir Roman" w:hAnsi="Avenir Roman"/>
          <w:sz w:val="22"/>
          <w:szCs w:val="22"/>
          <w:lang w:eastAsia="en-AU"/>
        </w:rPr>
        <w:t>.</w:t>
      </w:r>
      <w:r w:rsidR="00B56547" w:rsidRPr="007957C5">
        <w:rPr>
          <w:rFonts w:ascii="Avenir Roman" w:hAnsi="Avenir Roman"/>
          <w:sz w:val="22"/>
          <w:szCs w:val="22"/>
          <w:lang w:eastAsia="en-AU"/>
        </w:rPr>
        <w:t xml:space="preserve"> 5 makes clear that </w:t>
      </w:r>
      <w:r w:rsidR="00AC525E" w:rsidRPr="007957C5">
        <w:rPr>
          <w:rFonts w:ascii="Avenir Roman" w:hAnsi="Avenir Roman"/>
          <w:sz w:val="22"/>
          <w:szCs w:val="22"/>
          <w:lang w:eastAsia="en-AU"/>
        </w:rPr>
        <w:t>article 19</w:t>
      </w:r>
      <w:r w:rsidR="00FB0D0B" w:rsidRPr="007957C5">
        <w:rPr>
          <w:rFonts w:ascii="Avenir Roman" w:hAnsi="Avenir Roman"/>
          <w:sz w:val="22"/>
          <w:szCs w:val="22"/>
          <w:lang w:eastAsia="en-AU"/>
        </w:rPr>
        <w:t xml:space="preserve"> </w:t>
      </w:r>
      <w:r w:rsidR="00B56547" w:rsidRPr="007957C5">
        <w:rPr>
          <w:rFonts w:ascii="Avenir Roman" w:hAnsi="Avenir Roman"/>
          <w:sz w:val="22"/>
          <w:szCs w:val="22"/>
          <w:lang w:eastAsia="en-AU"/>
        </w:rPr>
        <w:t>is about autonomy and individual choice, liberty and security, freedom of movement and being a full participating member of the community on an equal basis with others</w:t>
      </w:r>
      <w:r w:rsidR="00A1453E" w:rsidRPr="007957C5">
        <w:rPr>
          <w:rFonts w:ascii="Avenir Roman" w:hAnsi="Avenir Roman"/>
          <w:sz w:val="22"/>
          <w:szCs w:val="22"/>
          <w:lang w:eastAsia="en-AU"/>
        </w:rPr>
        <w:t xml:space="preserve">. </w:t>
      </w:r>
      <w:r w:rsidR="00A22C66" w:rsidRPr="007957C5">
        <w:rPr>
          <w:rFonts w:ascii="Avenir Roman" w:hAnsi="Avenir Roman"/>
          <w:sz w:val="22"/>
          <w:szCs w:val="22"/>
          <w:lang w:eastAsia="en-AU"/>
        </w:rPr>
        <w:t>An examination of l</w:t>
      </w:r>
      <w:r w:rsidR="00222A99" w:rsidRPr="007957C5">
        <w:rPr>
          <w:rFonts w:ascii="Avenir Roman" w:hAnsi="Avenir Roman"/>
          <w:sz w:val="22"/>
          <w:szCs w:val="22"/>
          <w:lang w:eastAsia="en-AU"/>
        </w:rPr>
        <w:t>iving</w:t>
      </w:r>
      <w:r w:rsidR="00B56547" w:rsidRPr="007957C5">
        <w:rPr>
          <w:rFonts w:ascii="Avenir Roman" w:hAnsi="Avenir Roman"/>
          <w:sz w:val="22"/>
          <w:szCs w:val="22"/>
        </w:rPr>
        <w:t xml:space="preserve"> arrangements, </w:t>
      </w:r>
      <w:r w:rsidR="00274153" w:rsidRPr="007957C5">
        <w:rPr>
          <w:rFonts w:ascii="Avenir Roman" w:hAnsi="Avenir Roman"/>
          <w:sz w:val="22"/>
          <w:szCs w:val="22"/>
        </w:rPr>
        <w:t xml:space="preserve">including group homes </w:t>
      </w:r>
      <w:r w:rsidR="00222A99" w:rsidRPr="007957C5">
        <w:rPr>
          <w:rFonts w:ascii="Avenir Roman" w:hAnsi="Avenir Roman"/>
          <w:sz w:val="22"/>
          <w:szCs w:val="22"/>
          <w:lang w:eastAsia="en-AU"/>
        </w:rPr>
        <w:t xml:space="preserve">for people with disability must be considered within this broad </w:t>
      </w:r>
      <w:r w:rsidR="0065794B" w:rsidRPr="007957C5">
        <w:rPr>
          <w:rFonts w:ascii="Avenir Roman" w:hAnsi="Avenir Roman"/>
          <w:sz w:val="22"/>
          <w:szCs w:val="22"/>
          <w:lang w:eastAsia="en-AU"/>
        </w:rPr>
        <w:t xml:space="preserve">human rights </w:t>
      </w:r>
      <w:r w:rsidR="00222A99" w:rsidRPr="007957C5">
        <w:rPr>
          <w:rFonts w:ascii="Avenir Roman" w:hAnsi="Avenir Roman"/>
          <w:sz w:val="22"/>
          <w:szCs w:val="22"/>
          <w:lang w:eastAsia="en-AU"/>
        </w:rPr>
        <w:t>context.</w:t>
      </w:r>
    </w:p>
    <w:p w14:paraId="6AA28980" w14:textId="77777777" w:rsidR="007957C5" w:rsidRPr="007957C5" w:rsidRDefault="007957C5" w:rsidP="007957C5">
      <w:pPr>
        <w:spacing w:after="0" w:line="240" w:lineRule="auto"/>
        <w:jc w:val="left"/>
        <w:rPr>
          <w:rFonts w:ascii="Avenir Roman" w:hAnsi="Avenir Roman"/>
          <w:sz w:val="22"/>
          <w:szCs w:val="22"/>
        </w:rPr>
      </w:pPr>
    </w:p>
    <w:p w14:paraId="3C156850" w14:textId="44B34E4B" w:rsidR="00F83177" w:rsidRPr="007957C5" w:rsidRDefault="00452CA2" w:rsidP="00564172">
      <w:pPr>
        <w:pStyle w:val="Heading3"/>
        <w:numPr>
          <w:ilvl w:val="1"/>
          <w:numId w:val="22"/>
        </w:numPr>
        <w:spacing w:after="120" w:line="240" w:lineRule="auto"/>
        <w:ind w:left="1134" w:hanging="709"/>
        <w:rPr>
          <w:rFonts w:ascii="Avenir Roman" w:hAnsi="Avenir Roman"/>
          <w:i/>
          <w:sz w:val="22"/>
          <w:szCs w:val="22"/>
        </w:rPr>
      </w:pPr>
      <w:bookmarkStart w:id="110" w:name="_Toc43919151"/>
      <w:r w:rsidRPr="007957C5">
        <w:rPr>
          <w:rFonts w:ascii="Avenir Roman" w:hAnsi="Avenir Roman"/>
          <w:i/>
          <w:sz w:val="22"/>
          <w:szCs w:val="22"/>
        </w:rPr>
        <w:t>Dignity, a</w:t>
      </w:r>
      <w:r w:rsidR="00F83177" w:rsidRPr="007957C5">
        <w:rPr>
          <w:rFonts w:ascii="Avenir Roman" w:hAnsi="Avenir Roman"/>
          <w:i/>
          <w:sz w:val="22"/>
          <w:szCs w:val="22"/>
        </w:rPr>
        <w:t xml:space="preserve">utonomy, freedom and </w:t>
      </w:r>
      <w:r w:rsidRPr="007957C5">
        <w:rPr>
          <w:rFonts w:ascii="Avenir Roman" w:hAnsi="Avenir Roman"/>
          <w:i/>
          <w:sz w:val="22"/>
          <w:szCs w:val="22"/>
        </w:rPr>
        <w:t>interdependence within society</w:t>
      </w:r>
      <w:bookmarkEnd w:id="110"/>
    </w:p>
    <w:p w14:paraId="363CFFFF" w14:textId="4A0E2474" w:rsidR="00B12463" w:rsidRPr="007957C5" w:rsidRDefault="00B12463"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Article 3 </w:t>
      </w:r>
      <w:r w:rsidR="00647BE8" w:rsidRPr="007957C5">
        <w:rPr>
          <w:rFonts w:ascii="Avenir Roman" w:hAnsi="Avenir Roman"/>
          <w:i/>
          <w:sz w:val="22"/>
          <w:szCs w:val="22"/>
        </w:rPr>
        <w:t>General principles</w:t>
      </w:r>
      <w:r w:rsidR="00647BE8" w:rsidRPr="007957C5">
        <w:rPr>
          <w:rFonts w:ascii="Avenir Roman" w:hAnsi="Avenir Roman"/>
          <w:sz w:val="22"/>
          <w:szCs w:val="22"/>
        </w:rPr>
        <w:t xml:space="preserve"> </w:t>
      </w:r>
      <w:r w:rsidRPr="007957C5">
        <w:rPr>
          <w:rFonts w:ascii="Avenir Roman" w:hAnsi="Avenir Roman"/>
          <w:sz w:val="22"/>
          <w:szCs w:val="22"/>
        </w:rPr>
        <w:t xml:space="preserve">of the CRPD </w:t>
      </w:r>
      <w:r w:rsidR="00970A62" w:rsidRPr="007957C5">
        <w:rPr>
          <w:rFonts w:ascii="Avenir Roman" w:hAnsi="Avenir Roman"/>
          <w:sz w:val="22"/>
          <w:szCs w:val="22"/>
        </w:rPr>
        <w:t>outlines</w:t>
      </w:r>
      <w:r w:rsidRPr="007957C5">
        <w:rPr>
          <w:rFonts w:ascii="Avenir Roman" w:hAnsi="Avenir Roman"/>
          <w:sz w:val="22"/>
          <w:szCs w:val="22"/>
        </w:rPr>
        <w:t xml:space="preserve"> general principles that underpin the interpretation and implementation of substantive articles, including article 19. The general principles that “are the foundation of the right to live independently and be included in the community”</w:t>
      </w:r>
      <w:r w:rsidR="005E2001" w:rsidRPr="007957C5">
        <w:rPr>
          <w:rStyle w:val="FootnoteReference"/>
          <w:rFonts w:ascii="Avenir Roman" w:hAnsi="Avenir Roman"/>
          <w:sz w:val="22"/>
          <w:szCs w:val="22"/>
        </w:rPr>
        <w:footnoteReference w:id="18"/>
      </w:r>
      <w:r w:rsidR="00FD2BD5" w:rsidRPr="007957C5">
        <w:rPr>
          <w:rFonts w:ascii="Avenir Roman" w:hAnsi="Avenir Roman"/>
          <w:sz w:val="22"/>
          <w:szCs w:val="22"/>
        </w:rPr>
        <w:t xml:space="preserve"> </w:t>
      </w:r>
      <w:r w:rsidRPr="007957C5">
        <w:rPr>
          <w:rFonts w:ascii="Avenir Roman" w:hAnsi="Avenir Roman"/>
          <w:sz w:val="22"/>
          <w:szCs w:val="22"/>
        </w:rPr>
        <w:t xml:space="preserve">are article 3(a) </w:t>
      </w:r>
      <w:r w:rsidR="00746B75" w:rsidRPr="007957C5">
        <w:rPr>
          <w:rFonts w:ascii="Avenir Roman" w:hAnsi="Avenir Roman"/>
          <w:sz w:val="22"/>
          <w:szCs w:val="22"/>
        </w:rPr>
        <w:t xml:space="preserve">- “Respect for inherent dignity, individual autonomy including the freedom to make one’s own choices, and independence of </w:t>
      </w:r>
      <w:r w:rsidR="00746B75" w:rsidRPr="007957C5">
        <w:rPr>
          <w:rFonts w:ascii="Avenir Roman" w:hAnsi="Avenir Roman"/>
          <w:sz w:val="22"/>
          <w:szCs w:val="22"/>
        </w:rPr>
        <w:lastRenderedPageBreak/>
        <w:t>persons”</w:t>
      </w:r>
      <w:r w:rsidR="00FD2BD5" w:rsidRPr="007957C5">
        <w:rPr>
          <w:rStyle w:val="FootnoteReference"/>
          <w:rFonts w:ascii="Avenir Roman" w:hAnsi="Avenir Roman"/>
          <w:sz w:val="22"/>
          <w:szCs w:val="22"/>
        </w:rPr>
        <w:footnoteReference w:id="19"/>
      </w:r>
      <w:r w:rsidR="00746B75" w:rsidRPr="007957C5">
        <w:rPr>
          <w:rFonts w:ascii="Avenir Roman" w:hAnsi="Avenir Roman"/>
          <w:sz w:val="22"/>
          <w:szCs w:val="22"/>
        </w:rPr>
        <w:t xml:space="preserve"> - </w:t>
      </w:r>
      <w:r w:rsidRPr="007957C5">
        <w:rPr>
          <w:rFonts w:ascii="Avenir Roman" w:hAnsi="Avenir Roman"/>
          <w:sz w:val="22"/>
          <w:szCs w:val="22"/>
        </w:rPr>
        <w:t>and article 3 (c)</w:t>
      </w:r>
      <w:r w:rsidR="00746B75" w:rsidRPr="007957C5">
        <w:rPr>
          <w:rFonts w:ascii="Avenir Roman" w:hAnsi="Avenir Roman"/>
          <w:sz w:val="22"/>
          <w:szCs w:val="22"/>
        </w:rPr>
        <w:t xml:space="preserve"> - </w:t>
      </w:r>
      <w:r w:rsidRPr="007957C5">
        <w:rPr>
          <w:rFonts w:ascii="Avenir Roman" w:hAnsi="Avenir Roman"/>
          <w:sz w:val="22"/>
          <w:szCs w:val="22"/>
        </w:rPr>
        <w:t>“Full and effective participation and inclusion in society”</w:t>
      </w:r>
      <w:r w:rsidR="00746B75" w:rsidRPr="007957C5">
        <w:rPr>
          <w:rFonts w:ascii="Avenir Roman" w:hAnsi="Avenir Roman"/>
          <w:sz w:val="22"/>
          <w:szCs w:val="22"/>
        </w:rPr>
        <w:t>.</w:t>
      </w:r>
      <w:r w:rsidR="00FD2BD5" w:rsidRPr="007957C5">
        <w:rPr>
          <w:rStyle w:val="FootnoteReference"/>
          <w:rFonts w:ascii="Avenir Roman" w:hAnsi="Avenir Roman"/>
          <w:sz w:val="22"/>
          <w:szCs w:val="22"/>
        </w:rPr>
        <w:footnoteReference w:id="20"/>
      </w:r>
    </w:p>
    <w:p w14:paraId="1B9957ED" w14:textId="77777777" w:rsidR="007C1023" w:rsidRPr="007957C5" w:rsidRDefault="007C1023" w:rsidP="007957C5">
      <w:pPr>
        <w:pStyle w:val="ListParagraph"/>
        <w:spacing w:line="240" w:lineRule="auto"/>
        <w:ind w:left="1134"/>
        <w:jc w:val="left"/>
        <w:rPr>
          <w:rFonts w:ascii="Avenir Roman" w:hAnsi="Avenir Roman"/>
          <w:sz w:val="22"/>
          <w:szCs w:val="22"/>
        </w:rPr>
      </w:pPr>
    </w:p>
    <w:p w14:paraId="76E093DD" w14:textId="611E9F33" w:rsidR="00746B75" w:rsidRPr="007957C5" w:rsidRDefault="00C40369"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These general principles are evident in article 19, which recognises the equal right of people with disability to live in the community, to be fully included and to participate in community life, with choices equal to others.</w:t>
      </w:r>
      <w:r w:rsidR="00763D71" w:rsidRPr="007957C5">
        <w:rPr>
          <w:rFonts w:ascii="Avenir Roman" w:hAnsi="Avenir Roman"/>
          <w:sz w:val="22"/>
          <w:szCs w:val="22"/>
        </w:rPr>
        <w:t xml:space="preserve"> </w:t>
      </w:r>
      <w:r w:rsidRPr="007957C5">
        <w:rPr>
          <w:rFonts w:ascii="Avenir Roman" w:hAnsi="Avenir Roman"/>
          <w:sz w:val="22"/>
          <w:szCs w:val="22"/>
        </w:rPr>
        <w:t xml:space="preserve"> </w:t>
      </w:r>
      <w:r w:rsidR="007B6F69" w:rsidRPr="007957C5">
        <w:rPr>
          <w:rFonts w:ascii="Avenir Roman" w:hAnsi="Avenir Roman"/>
          <w:sz w:val="22"/>
          <w:szCs w:val="22"/>
        </w:rPr>
        <w:t>It means that people with disability have the same right as everyone else to exercise “freedom of choice and control over decisions affecting one’s life with the maximum level of self-determination and interdependence within society”.</w:t>
      </w:r>
      <w:r w:rsidR="00D84B88" w:rsidRPr="007957C5">
        <w:rPr>
          <w:rStyle w:val="FootnoteReference"/>
          <w:rFonts w:ascii="Avenir Roman" w:hAnsi="Avenir Roman"/>
          <w:sz w:val="22"/>
          <w:szCs w:val="22"/>
        </w:rPr>
        <w:footnoteReference w:id="21"/>
      </w:r>
      <w:r w:rsidR="00CB272F" w:rsidRPr="007957C5">
        <w:rPr>
          <w:rFonts w:ascii="Avenir Roman" w:hAnsi="Avenir Roman"/>
          <w:sz w:val="22"/>
          <w:szCs w:val="22"/>
        </w:rPr>
        <w:t xml:space="preserve"> </w:t>
      </w:r>
    </w:p>
    <w:p w14:paraId="7E3210D4" w14:textId="77777777" w:rsidR="007C1023" w:rsidRPr="007957C5" w:rsidRDefault="007C1023" w:rsidP="007957C5">
      <w:pPr>
        <w:pStyle w:val="ListParagraph"/>
        <w:spacing w:line="240" w:lineRule="auto"/>
        <w:jc w:val="left"/>
        <w:rPr>
          <w:rFonts w:ascii="Avenir Roman" w:hAnsi="Avenir Roman"/>
          <w:sz w:val="22"/>
          <w:szCs w:val="22"/>
        </w:rPr>
      </w:pPr>
    </w:p>
    <w:p w14:paraId="022B063F" w14:textId="5E8A60D1" w:rsidR="004006C1" w:rsidRPr="007957C5" w:rsidRDefault="00BE30A8"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The right articulated in article 19 </w:t>
      </w:r>
      <w:r w:rsidR="004006C1" w:rsidRPr="007957C5">
        <w:rPr>
          <w:rFonts w:ascii="Avenir Roman" w:hAnsi="Avenir Roman"/>
          <w:sz w:val="22"/>
          <w:szCs w:val="22"/>
        </w:rPr>
        <w:t xml:space="preserve">is a translation of </w:t>
      </w:r>
      <w:r w:rsidR="00A704D9" w:rsidRPr="007957C5">
        <w:rPr>
          <w:rFonts w:ascii="Avenir Roman" w:hAnsi="Avenir Roman"/>
          <w:sz w:val="22"/>
          <w:szCs w:val="22"/>
        </w:rPr>
        <w:t>foundational</w:t>
      </w:r>
      <w:r w:rsidR="004006C1" w:rsidRPr="007957C5">
        <w:rPr>
          <w:rFonts w:ascii="Avenir Roman" w:hAnsi="Avenir Roman"/>
          <w:sz w:val="22"/>
          <w:szCs w:val="22"/>
        </w:rPr>
        <w:t xml:space="preserve"> international human rights law into the context of disability.  The </w:t>
      </w:r>
      <w:r w:rsidR="0049150C" w:rsidRPr="007957C5">
        <w:rPr>
          <w:rFonts w:ascii="Avenir Roman" w:hAnsi="Avenir Roman"/>
          <w:sz w:val="22"/>
          <w:szCs w:val="22"/>
        </w:rPr>
        <w:t xml:space="preserve">1948 </w:t>
      </w:r>
      <w:r w:rsidR="004006C1" w:rsidRPr="007957C5">
        <w:rPr>
          <w:rFonts w:ascii="Avenir Roman" w:hAnsi="Avenir Roman"/>
          <w:sz w:val="22"/>
          <w:szCs w:val="22"/>
        </w:rPr>
        <w:t>Universal Declaration of Human Rights (UDHR) emphasises that an individual’s personal development is dependent on being a part of the community;</w:t>
      </w:r>
      <w:r w:rsidR="00F856CA" w:rsidRPr="007957C5">
        <w:rPr>
          <w:rStyle w:val="FootnoteReference"/>
          <w:rFonts w:ascii="Avenir Roman" w:hAnsi="Avenir Roman"/>
          <w:sz w:val="22"/>
          <w:szCs w:val="22"/>
        </w:rPr>
        <w:footnoteReference w:id="22"/>
      </w:r>
      <w:r w:rsidR="0049150C" w:rsidRPr="007957C5">
        <w:rPr>
          <w:rFonts w:ascii="Avenir Roman" w:hAnsi="Avenir Roman"/>
          <w:sz w:val="22"/>
          <w:szCs w:val="22"/>
        </w:rPr>
        <w:t xml:space="preserve"> </w:t>
      </w:r>
      <w:r w:rsidR="004006C1" w:rsidRPr="007957C5">
        <w:rPr>
          <w:rFonts w:ascii="Avenir Roman" w:hAnsi="Avenir Roman"/>
          <w:sz w:val="22"/>
          <w:szCs w:val="22"/>
        </w:rPr>
        <w:t xml:space="preserve">the </w:t>
      </w:r>
      <w:r w:rsidR="0049150C" w:rsidRPr="007957C5">
        <w:rPr>
          <w:rFonts w:ascii="Avenir Roman" w:hAnsi="Avenir Roman"/>
          <w:sz w:val="22"/>
          <w:szCs w:val="22"/>
        </w:rPr>
        <w:t xml:space="preserve">1966 </w:t>
      </w:r>
      <w:r w:rsidR="004006C1" w:rsidRPr="007957C5">
        <w:rPr>
          <w:rFonts w:ascii="Avenir Roman" w:hAnsi="Avenir Roman"/>
          <w:sz w:val="22"/>
          <w:szCs w:val="22"/>
        </w:rPr>
        <w:t xml:space="preserve">International Covenant on Civil and Political Rights (ICCPR) contains the </w:t>
      </w:r>
      <w:r w:rsidRPr="007957C5">
        <w:rPr>
          <w:rFonts w:ascii="Avenir Roman" w:hAnsi="Avenir Roman"/>
          <w:sz w:val="22"/>
          <w:szCs w:val="22"/>
        </w:rPr>
        <w:t>right to liberty of movement and freedom to choose one’s residence</w:t>
      </w:r>
      <w:r w:rsidR="004006C1" w:rsidRPr="007957C5">
        <w:rPr>
          <w:rFonts w:ascii="Avenir Roman" w:hAnsi="Avenir Roman"/>
          <w:sz w:val="22"/>
          <w:szCs w:val="22"/>
        </w:rPr>
        <w:t>;</w:t>
      </w:r>
      <w:r w:rsidR="0049150C" w:rsidRPr="007957C5">
        <w:rPr>
          <w:rStyle w:val="FootnoteReference"/>
          <w:rFonts w:ascii="Avenir Roman" w:hAnsi="Avenir Roman"/>
          <w:sz w:val="22"/>
          <w:szCs w:val="22"/>
        </w:rPr>
        <w:footnoteReference w:id="23"/>
      </w:r>
      <w:r w:rsidRPr="007957C5">
        <w:rPr>
          <w:rFonts w:ascii="Avenir Roman" w:hAnsi="Avenir Roman"/>
          <w:sz w:val="22"/>
          <w:szCs w:val="22"/>
        </w:rPr>
        <w:t xml:space="preserve"> and the </w:t>
      </w:r>
      <w:r w:rsidR="009B2D2D" w:rsidRPr="007957C5">
        <w:rPr>
          <w:rFonts w:ascii="Avenir Roman" w:hAnsi="Avenir Roman"/>
          <w:sz w:val="22"/>
          <w:szCs w:val="22"/>
        </w:rPr>
        <w:t xml:space="preserve">1966 </w:t>
      </w:r>
      <w:r w:rsidR="004006C1" w:rsidRPr="007957C5">
        <w:rPr>
          <w:rFonts w:ascii="Avenir Roman" w:hAnsi="Avenir Roman"/>
          <w:sz w:val="22"/>
          <w:szCs w:val="22"/>
        </w:rPr>
        <w:t xml:space="preserve">International Covenant on Economic, Social and Cultural Rights (ICESCR) contains the </w:t>
      </w:r>
      <w:r w:rsidRPr="007957C5">
        <w:rPr>
          <w:rFonts w:ascii="Avenir Roman" w:hAnsi="Avenir Roman"/>
          <w:sz w:val="22"/>
          <w:szCs w:val="22"/>
        </w:rPr>
        <w:t>right to an adequate standard of living</w:t>
      </w:r>
      <w:r w:rsidR="004006C1" w:rsidRPr="007957C5">
        <w:rPr>
          <w:rFonts w:ascii="Avenir Roman" w:hAnsi="Avenir Roman"/>
          <w:sz w:val="22"/>
          <w:szCs w:val="22"/>
        </w:rPr>
        <w:t>, including adequate food, clothing and housing.</w:t>
      </w:r>
      <w:r w:rsidR="0054164F" w:rsidRPr="007957C5">
        <w:rPr>
          <w:rStyle w:val="FootnoteReference"/>
          <w:rFonts w:ascii="Avenir Roman" w:hAnsi="Avenir Roman"/>
          <w:sz w:val="22"/>
          <w:szCs w:val="22"/>
        </w:rPr>
        <w:footnoteReference w:id="24"/>
      </w:r>
      <w:r w:rsidRPr="007957C5">
        <w:rPr>
          <w:rFonts w:ascii="Avenir Roman" w:hAnsi="Avenir Roman"/>
          <w:sz w:val="22"/>
          <w:szCs w:val="22"/>
        </w:rPr>
        <w:t xml:space="preserve"> </w:t>
      </w:r>
      <w:r w:rsidR="009D4C30" w:rsidRPr="007957C5">
        <w:rPr>
          <w:rFonts w:ascii="Avenir Roman" w:hAnsi="Avenir Roman"/>
          <w:sz w:val="22"/>
          <w:szCs w:val="22"/>
        </w:rPr>
        <w:t>These rights form the “indispensable conditions for human dignity and the free development of a person”.</w:t>
      </w:r>
      <w:r w:rsidR="009D4C30" w:rsidRPr="007957C5">
        <w:rPr>
          <w:rStyle w:val="FootnoteReference"/>
          <w:rFonts w:ascii="Avenir Roman" w:hAnsi="Avenir Roman"/>
          <w:sz w:val="22"/>
          <w:szCs w:val="22"/>
        </w:rPr>
        <w:footnoteReference w:id="25"/>
      </w:r>
    </w:p>
    <w:p w14:paraId="0BE0D298" w14:textId="77777777" w:rsidR="007C1023" w:rsidRPr="007957C5" w:rsidRDefault="007C1023" w:rsidP="007957C5">
      <w:pPr>
        <w:pStyle w:val="ListParagraph"/>
        <w:spacing w:line="240" w:lineRule="auto"/>
        <w:jc w:val="left"/>
        <w:rPr>
          <w:rFonts w:ascii="Avenir Roman" w:hAnsi="Avenir Roman"/>
          <w:sz w:val="22"/>
          <w:szCs w:val="22"/>
        </w:rPr>
      </w:pPr>
    </w:p>
    <w:p w14:paraId="22CF766D" w14:textId="6CBC927E" w:rsidR="00FC5CED" w:rsidRPr="007957C5" w:rsidRDefault="00792DD9"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These rights </w:t>
      </w:r>
      <w:r w:rsidR="00E066A6" w:rsidRPr="007957C5">
        <w:rPr>
          <w:rFonts w:ascii="Avenir Roman" w:hAnsi="Avenir Roman"/>
          <w:sz w:val="22"/>
          <w:szCs w:val="22"/>
        </w:rPr>
        <w:t>are also articulated within the International Convention on the Elimination of All Forms of Racial Discrimination (ICERD)</w:t>
      </w:r>
      <w:r w:rsidR="0054164F" w:rsidRPr="007957C5">
        <w:rPr>
          <w:rFonts w:ascii="Avenir Roman" w:hAnsi="Avenir Roman"/>
          <w:sz w:val="22"/>
          <w:szCs w:val="22"/>
        </w:rPr>
        <w:t xml:space="preserve"> </w:t>
      </w:r>
      <w:r w:rsidR="00E066A6" w:rsidRPr="007957C5">
        <w:rPr>
          <w:rFonts w:ascii="Avenir Roman" w:hAnsi="Avenir Roman"/>
          <w:sz w:val="22"/>
          <w:szCs w:val="22"/>
        </w:rPr>
        <w:t>in the context of race</w:t>
      </w:r>
      <w:r w:rsidR="00E066A6" w:rsidRPr="007957C5">
        <w:rPr>
          <w:rFonts w:ascii="Avenir Roman" w:hAnsi="Avenir Roman"/>
          <w:sz w:val="22"/>
          <w:szCs w:val="22"/>
          <w:vertAlign w:val="superscript"/>
          <w:lang w:val="en-AU"/>
        </w:rPr>
        <w:footnoteReference w:id="26"/>
      </w:r>
      <w:r w:rsidR="00E066A6" w:rsidRPr="007957C5">
        <w:rPr>
          <w:rFonts w:ascii="Avenir Roman" w:hAnsi="Avenir Roman"/>
          <w:sz w:val="22"/>
          <w:szCs w:val="22"/>
        </w:rPr>
        <w:t xml:space="preserve"> and in the Convention on the Elimination of All Forms of Discrimination Against Women (CEDAW)</w:t>
      </w:r>
      <w:r w:rsidR="0054164F" w:rsidRPr="007957C5">
        <w:rPr>
          <w:rFonts w:ascii="Avenir Roman" w:hAnsi="Avenir Roman"/>
          <w:sz w:val="22"/>
          <w:szCs w:val="22"/>
        </w:rPr>
        <w:t xml:space="preserve"> </w:t>
      </w:r>
      <w:r w:rsidR="00E066A6" w:rsidRPr="007957C5">
        <w:rPr>
          <w:rFonts w:ascii="Avenir Roman" w:hAnsi="Avenir Roman"/>
          <w:sz w:val="22"/>
          <w:szCs w:val="22"/>
        </w:rPr>
        <w:t>in the context of women.</w:t>
      </w:r>
      <w:r w:rsidR="00E066A6" w:rsidRPr="007957C5">
        <w:rPr>
          <w:rFonts w:ascii="Avenir Roman" w:hAnsi="Avenir Roman"/>
          <w:sz w:val="22"/>
          <w:szCs w:val="22"/>
          <w:vertAlign w:val="superscript"/>
          <w:lang w:val="en-AU"/>
        </w:rPr>
        <w:footnoteReference w:id="27"/>
      </w:r>
      <w:r w:rsidR="00E066A6" w:rsidRPr="007957C5">
        <w:rPr>
          <w:rFonts w:ascii="Avenir Roman" w:hAnsi="Avenir Roman"/>
          <w:sz w:val="22"/>
          <w:szCs w:val="22"/>
          <w:lang w:val="en-AU"/>
        </w:rPr>
        <w:t xml:space="preserve"> </w:t>
      </w:r>
      <w:r w:rsidR="002F05E6" w:rsidRPr="007957C5">
        <w:rPr>
          <w:rFonts w:ascii="Avenir Roman" w:hAnsi="Avenir Roman"/>
          <w:sz w:val="22"/>
          <w:szCs w:val="22"/>
          <w:lang w:val="en-AU"/>
        </w:rPr>
        <w:t>In the context of children, t</w:t>
      </w:r>
      <w:r w:rsidR="00E066A6" w:rsidRPr="007957C5">
        <w:rPr>
          <w:rFonts w:ascii="Avenir Roman" w:hAnsi="Avenir Roman"/>
          <w:sz w:val="22"/>
          <w:szCs w:val="22"/>
        </w:rPr>
        <w:t>he Convention on the Rights of the Child (CRC) specifies the rights of children not to be separated from their parents, except to protect from harm;</w:t>
      </w:r>
      <w:r w:rsidR="00E066A6" w:rsidRPr="007957C5">
        <w:rPr>
          <w:rFonts w:ascii="Avenir Roman" w:hAnsi="Avenir Roman"/>
          <w:sz w:val="22"/>
          <w:szCs w:val="22"/>
          <w:vertAlign w:val="superscript"/>
          <w:lang w:val="en-AU"/>
        </w:rPr>
        <w:footnoteReference w:id="28"/>
      </w:r>
      <w:r w:rsidR="00E066A6" w:rsidRPr="007957C5">
        <w:rPr>
          <w:rFonts w:ascii="Avenir Roman" w:hAnsi="Avenir Roman"/>
          <w:sz w:val="22"/>
          <w:szCs w:val="22"/>
        </w:rPr>
        <w:t xml:space="preserve"> that parents and legal guardians should be provided with support in their child-rearing responsibilities;</w:t>
      </w:r>
      <w:r w:rsidR="00E066A6" w:rsidRPr="007957C5">
        <w:rPr>
          <w:rFonts w:ascii="Avenir Roman" w:hAnsi="Avenir Roman"/>
          <w:sz w:val="22"/>
          <w:szCs w:val="22"/>
          <w:vertAlign w:val="superscript"/>
          <w:lang w:val="en-AU"/>
        </w:rPr>
        <w:footnoteReference w:id="29"/>
      </w:r>
      <w:r w:rsidR="00E066A6" w:rsidRPr="007957C5">
        <w:rPr>
          <w:rFonts w:ascii="Avenir Roman" w:hAnsi="Avenir Roman"/>
          <w:sz w:val="22"/>
          <w:szCs w:val="22"/>
        </w:rPr>
        <w:t xml:space="preserve"> and that children </w:t>
      </w:r>
      <w:r w:rsidR="00E066A6" w:rsidRPr="007957C5">
        <w:rPr>
          <w:rFonts w:ascii="Avenir Roman" w:hAnsi="Avenir Roman"/>
          <w:sz w:val="22"/>
          <w:szCs w:val="22"/>
        </w:rPr>
        <w:lastRenderedPageBreak/>
        <w:t>with disability should enjoy a dignified life that allows active participation in the community.</w:t>
      </w:r>
      <w:r w:rsidR="00E066A6" w:rsidRPr="007957C5">
        <w:rPr>
          <w:rFonts w:ascii="Avenir Roman" w:hAnsi="Avenir Roman"/>
          <w:sz w:val="22"/>
          <w:szCs w:val="22"/>
          <w:vertAlign w:val="superscript"/>
          <w:lang w:val="en-AU"/>
        </w:rPr>
        <w:footnoteReference w:id="30"/>
      </w:r>
      <w:r w:rsidR="00E066A6" w:rsidRPr="007957C5">
        <w:rPr>
          <w:rFonts w:ascii="Avenir Roman" w:hAnsi="Avenir Roman"/>
          <w:sz w:val="22"/>
          <w:szCs w:val="22"/>
        </w:rPr>
        <w:t xml:space="preserve"> </w:t>
      </w:r>
    </w:p>
    <w:p w14:paraId="329BFA78" w14:textId="77777777" w:rsidR="007C1023" w:rsidRPr="007957C5" w:rsidRDefault="007C1023" w:rsidP="007957C5">
      <w:pPr>
        <w:pStyle w:val="ListParagraph"/>
        <w:spacing w:line="240" w:lineRule="auto"/>
        <w:jc w:val="left"/>
        <w:rPr>
          <w:rFonts w:ascii="Avenir Roman" w:hAnsi="Avenir Roman"/>
          <w:sz w:val="22"/>
          <w:szCs w:val="22"/>
        </w:rPr>
      </w:pPr>
    </w:p>
    <w:p w14:paraId="136BDF1A" w14:textId="43B7BB9E" w:rsidR="008B4EE4" w:rsidRPr="007957C5" w:rsidRDefault="00312551"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Within article 19 of the CRPD, these </w:t>
      </w:r>
      <w:r w:rsidR="009D4C30" w:rsidRPr="007957C5">
        <w:rPr>
          <w:rFonts w:ascii="Avenir Roman" w:hAnsi="Avenir Roman"/>
          <w:sz w:val="22"/>
          <w:szCs w:val="22"/>
        </w:rPr>
        <w:t xml:space="preserve">foundational </w:t>
      </w:r>
      <w:r w:rsidRPr="007957C5">
        <w:rPr>
          <w:rFonts w:ascii="Avenir Roman" w:hAnsi="Avenir Roman"/>
          <w:sz w:val="22"/>
          <w:szCs w:val="22"/>
        </w:rPr>
        <w:t xml:space="preserve">rights articulate the individual autonomy </w:t>
      </w:r>
      <w:r w:rsidR="005659B0" w:rsidRPr="007957C5">
        <w:rPr>
          <w:rFonts w:ascii="Avenir Roman" w:hAnsi="Avenir Roman"/>
          <w:sz w:val="22"/>
          <w:szCs w:val="22"/>
        </w:rPr>
        <w:t xml:space="preserve">and self-determination </w:t>
      </w:r>
      <w:r w:rsidRPr="007957C5">
        <w:rPr>
          <w:rFonts w:ascii="Avenir Roman" w:hAnsi="Avenir Roman"/>
          <w:sz w:val="22"/>
          <w:szCs w:val="22"/>
        </w:rPr>
        <w:t xml:space="preserve">of people with disability to freely make choices about where and with whom to live on an equal basis with others and to receive the </w:t>
      </w:r>
      <w:r w:rsidR="00623AC2" w:rsidRPr="007957C5">
        <w:rPr>
          <w:rFonts w:ascii="Avenir Roman" w:hAnsi="Avenir Roman"/>
          <w:sz w:val="22"/>
          <w:szCs w:val="22"/>
        </w:rPr>
        <w:t xml:space="preserve">disability and mainstream </w:t>
      </w:r>
      <w:r w:rsidRPr="007957C5">
        <w:rPr>
          <w:rFonts w:ascii="Avenir Roman" w:hAnsi="Avenir Roman"/>
          <w:sz w:val="22"/>
          <w:szCs w:val="22"/>
        </w:rPr>
        <w:t xml:space="preserve">community supports required to ensure full participation </w:t>
      </w:r>
      <w:r w:rsidR="005659B0" w:rsidRPr="007957C5">
        <w:rPr>
          <w:rFonts w:ascii="Avenir Roman" w:hAnsi="Avenir Roman"/>
          <w:sz w:val="22"/>
          <w:szCs w:val="22"/>
        </w:rPr>
        <w:t xml:space="preserve">and inclusion </w:t>
      </w:r>
      <w:r w:rsidRPr="007957C5">
        <w:rPr>
          <w:rFonts w:ascii="Avenir Roman" w:hAnsi="Avenir Roman"/>
          <w:sz w:val="22"/>
          <w:szCs w:val="22"/>
        </w:rPr>
        <w:t xml:space="preserve">in </w:t>
      </w:r>
      <w:r w:rsidR="00D26433" w:rsidRPr="007957C5">
        <w:rPr>
          <w:rFonts w:ascii="Avenir Roman" w:hAnsi="Avenir Roman"/>
          <w:sz w:val="22"/>
          <w:szCs w:val="22"/>
        </w:rPr>
        <w:t xml:space="preserve">all aspects of </w:t>
      </w:r>
      <w:r w:rsidRPr="007957C5">
        <w:rPr>
          <w:rFonts w:ascii="Avenir Roman" w:hAnsi="Avenir Roman"/>
          <w:sz w:val="22"/>
          <w:szCs w:val="22"/>
        </w:rPr>
        <w:t xml:space="preserve">society. </w:t>
      </w:r>
      <w:r w:rsidR="00CF35F8" w:rsidRPr="007957C5">
        <w:rPr>
          <w:rFonts w:ascii="Avenir Roman" w:hAnsi="Avenir Roman"/>
          <w:sz w:val="22"/>
          <w:szCs w:val="22"/>
        </w:rPr>
        <w:t xml:space="preserve">For children with disability, this means respecting their evolving capacities to express their own views and make their own choices, ensuring that </w:t>
      </w:r>
      <w:r w:rsidR="008F73AC" w:rsidRPr="007957C5">
        <w:rPr>
          <w:rFonts w:ascii="Avenir Roman" w:hAnsi="Avenir Roman"/>
          <w:sz w:val="22"/>
          <w:szCs w:val="22"/>
        </w:rPr>
        <w:t xml:space="preserve">age-appropriate and </w:t>
      </w:r>
      <w:r w:rsidR="00CF35F8" w:rsidRPr="007957C5">
        <w:rPr>
          <w:rFonts w:ascii="Avenir Roman" w:hAnsi="Avenir Roman"/>
          <w:sz w:val="22"/>
          <w:szCs w:val="22"/>
        </w:rPr>
        <w:t xml:space="preserve">adequate support is provided to </w:t>
      </w:r>
      <w:r w:rsidR="008F73AC" w:rsidRPr="007957C5">
        <w:rPr>
          <w:rFonts w:ascii="Avenir Roman" w:hAnsi="Avenir Roman"/>
          <w:sz w:val="22"/>
          <w:szCs w:val="22"/>
        </w:rPr>
        <w:t xml:space="preserve">ensure their active participation in the community, including providing support to </w:t>
      </w:r>
      <w:r w:rsidR="00CF35F8" w:rsidRPr="007957C5">
        <w:rPr>
          <w:rFonts w:ascii="Avenir Roman" w:hAnsi="Avenir Roman"/>
          <w:sz w:val="22"/>
          <w:szCs w:val="22"/>
        </w:rPr>
        <w:t>families and guardians to prevent institutionalisation of children</w:t>
      </w:r>
      <w:r w:rsidR="008F73AC" w:rsidRPr="007957C5">
        <w:rPr>
          <w:rFonts w:ascii="Avenir Roman" w:hAnsi="Avenir Roman"/>
          <w:sz w:val="22"/>
          <w:szCs w:val="22"/>
        </w:rPr>
        <w:t>.</w:t>
      </w:r>
      <w:r w:rsidR="00CF35F8" w:rsidRPr="007957C5">
        <w:rPr>
          <w:rFonts w:ascii="Avenir Roman" w:hAnsi="Avenir Roman"/>
          <w:sz w:val="22"/>
          <w:szCs w:val="22"/>
        </w:rPr>
        <w:t xml:space="preserve"> </w:t>
      </w:r>
      <w:r w:rsidR="00E0266E" w:rsidRPr="007957C5">
        <w:rPr>
          <w:rFonts w:ascii="Avenir Roman" w:hAnsi="Avenir Roman"/>
          <w:sz w:val="22"/>
          <w:szCs w:val="22"/>
        </w:rPr>
        <w:t xml:space="preserve">The right to grow up in a family is the core of the right </w:t>
      </w:r>
      <w:r w:rsidR="00714147" w:rsidRPr="007957C5">
        <w:rPr>
          <w:rFonts w:ascii="Avenir Roman" w:hAnsi="Avenir Roman"/>
          <w:sz w:val="22"/>
          <w:szCs w:val="22"/>
        </w:rPr>
        <w:t>to live independently and be included in the community for children with disability.</w:t>
      </w:r>
      <w:r w:rsidR="00714147" w:rsidRPr="007957C5">
        <w:rPr>
          <w:rStyle w:val="FootnoteReference"/>
          <w:rFonts w:ascii="Avenir Roman" w:hAnsi="Avenir Roman"/>
          <w:sz w:val="22"/>
          <w:szCs w:val="22"/>
        </w:rPr>
        <w:footnoteReference w:id="31"/>
      </w:r>
      <w:r w:rsidR="00714147" w:rsidRPr="007957C5">
        <w:rPr>
          <w:rFonts w:ascii="Avenir Roman" w:hAnsi="Avenir Roman"/>
          <w:sz w:val="22"/>
          <w:szCs w:val="22"/>
        </w:rPr>
        <w:t xml:space="preserve"> </w:t>
      </w:r>
    </w:p>
    <w:p w14:paraId="6E598BF0" w14:textId="77777777" w:rsidR="007C1023" w:rsidRPr="007957C5" w:rsidRDefault="007C1023" w:rsidP="007957C5">
      <w:pPr>
        <w:pStyle w:val="ListParagraph"/>
        <w:spacing w:line="240" w:lineRule="auto"/>
        <w:jc w:val="left"/>
        <w:rPr>
          <w:rFonts w:ascii="Avenir Roman" w:hAnsi="Avenir Roman"/>
          <w:sz w:val="22"/>
          <w:szCs w:val="22"/>
        </w:rPr>
      </w:pPr>
    </w:p>
    <w:p w14:paraId="5EF32C6B" w14:textId="6B2C0CC0" w:rsidR="00B36181" w:rsidRPr="007957C5" w:rsidRDefault="007C1023" w:rsidP="00564172">
      <w:pPr>
        <w:pStyle w:val="ListParagraph"/>
        <w:numPr>
          <w:ilvl w:val="2"/>
          <w:numId w:val="22"/>
        </w:numPr>
        <w:spacing w:after="120" w:line="240" w:lineRule="auto"/>
        <w:ind w:left="1134" w:hanging="709"/>
        <w:contextualSpacing w:val="0"/>
        <w:jc w:val="left"/>
        <w:rPr>
          <w:rFonts w:ascii="Avenir Roman" w:hAnsi="Avenir Roman"/>
          <w:sz w:val="22"/>
          <w:szCs w:val="22"/>
        </w:rPr>
      </w:pPr>
      <w:r w:rsidRPr="007957C5">
        <w:rPr>
          <w:rFonts w:ascii="Avenir Roman" w:hAnsi="Avenir Roman"/>
          <w:sz w:val="22"/>
          <w:szCs w:val="22"/>
        </w:rPr>
        <w:t>The implementation of article 19 is critical to the realisation of other human rights for people with disability as it is “one of the widest ranging and most intersectional articles of the Convention and has to be considered as integral to the full implementation of the Convention.”</w:t>
      </w:r>
      <w:r w:rsidRPr="007957C5">
        <w:rPr>
          <w:rStyle w:val="FootnoteReference"/>
          <w:rFonts w:ascii="Avenir Roman" w:hAnsi="Avenir Roman"/>
          <w:sz w:val="22"/>
          <w:szCs w:val="22"/>
        </w:rPr>
        <w:footnoteReference w:id="32"/>
      </w:r>
      <w:r w:rsidRPr="007957C5">
        <w:rPr>
          <w:rFonts w:ascii="Avenir Roman" w:hAnsi="Avenir Roman"/>
          <w:sz w:val="22"/>
          <w:szCs w:val="22"/>
        </w:rPr>
        <w:t xml:space="preserve"> Implementation </w:t>
      </w:r>
      <w:r w:rsidR="006A4F62" w:rsidRPr="007957C5">
        <w:rPr>
          <w:rFonts w:ascii="Avenir Roman" w:hAnsi="Avenir Roman"/>
          <w:sz w:val="22"/>
          <w:szCs w:val="22"/>
        </w:rPr>
        <w:t xml:space="preserve">of article 19 </w:t>
      </w:r>
      <w:r w:rsidRPr="007957C5">
        <w:rPr>
          <w:rFonts w:ascii="Avenir Roman" w:hAnsi="Avenir Roman"/>
          <w:sz w:val="22"/>
          <w:szCs w:val="22"/>
        </w:rPr>
        <w:t>requires taking effective and appropriate measures to ensure that people with disability:</w:t>
      </w:r>
    </w:p>
    <w:p w14:paraId="75B41C4C" w14:textId="77777777" w:rsidR="007C1023" w:rsidRPr="007957C5" w:rsidRDefault="007C1023" w:rsidP="00564172">
      <w:pPr>
        <w:pStyle w:val="ListParagraph"/>
        <w:numPr>
          <w:ilvl w:val="0"/>
          <w:numId w:val="17"/>
        </w:numPr>
        <w:spacing w:line="240" w:lineRule="auto"/>
        <w:ind w:left="1560" w:hanging="426"/>
        <w:jc w:val="left"/>
        <w:rPr>
          <w:rFonts w:ascii="Avenir Roman" w:hAnsi="Avenir Roman"/>
          <w:sz w:val="22"/>
          <w:szCs w:val="22"/>
        </w:rPr>
      </w:pPr>
      <w:r w:rsidRPr="007957C5">
        <w:rPr>
          <w:rFonts w:ascii="Avenir Roman" w:hAnsi="Avenir Roman"/>
          <w:sz w:val="22"/>
          <w:szCs w:val="22"/>
        </w:rPr>
        <w:t>can choose their residence, and where and with whom they live on an equal basis with others;</w:t>
      </w:r>
      <w:r w:rsidRPr="007957C5">
        <w:rPr>
          <w:rStyle w:val="FootnoteReference"/>
          <w:rFonts w:ascii="Avenir Roman" w:hAnsi="Avenir Roman"/>
          <w:sz w:val="22"/>
          <w:szCs w:val="22"/>
        </w:rPr>
        <w:footnoteReference w:id="33"/>
      </w:r>
    </w:p>
    <w:p w14:paraId="19AE95F5" w14:textId="77777777" w:rsidR="007C1023" w:rsidRPr="007957C5" w:rsidRDefault="007C1023" w:rsidP="00564172">
      <w:pPr>
        <w:pStyle w:val="ListParagraph"/>
        <w:numPr>
          <w:ilvl w:val="0"/>
          <w:numId w:val="17"/>
        </w:numPr>
        <w:spacing w:line="240" w:lineRule="auto"/>
        <w:ind w:left="1560" w:hanging="426"/>
        <w:jc w:val="left"/>
        <w:rPr>
          <w:rFonts w:ascii="Avenir Roman" w:hAnsi="Avenir Roman"/>
          <w:sz w:val="22"/>
          <w:szCs w:val="22"/>
        </w:rPr>
      </w:pPr>
      <w:r w:rsidRPr="007957C5">
        <w:rPr>
          <w:rFonts w:ascii="Avenir Roman" w:hAnsi="Avenir Roman"/>
          <w:sz w:val="22"/>
          <w:szCs w:val="22"/>
        </w:rPr>
        <w:t>are not obliged to live in a particular living arrangement or setting;</w:t>
      </w:r>
      <w:r w:rsidRPr="007957C5">
        <w:rPr>
          <w:rStyle w:val="FootnoteReference"/>
          <w:rFonts w:ascii="Avenir Roman" w:hAnsi="Avenir Roman"/>
          <w:sz w:val="22"/>
          <w:szCs w:val="22"/>
        </w:rPr>
        <w:footnoteReference w:id="34"/>
      </w:r>
    </w:p>
    <w:p w14:paraId="59BBA5B4" w14:textId="77777777" w:rsidR="007C1023" w:rsidRPr="007957C5" w:rsidRDefault="007C1023" w:rsidP="00564172">
      <w:pPr>
        <w:pStyle w:val="ListParagraph"/>
        <w:numPr>
          <w:ilvl w:val="0"/>
          <w:numId w:val="17"/>
        </w:numPr>
        <w:spacing w:line="240" w:lineRule="auto"/>
        <w:ind w:left="1560" w:hanging="426"/>
        <w:jc w:val="left"/>
        <w:rPr>
          <w:rFonts w:ascii="Avenir Roman" w:hAnsi="Avenir Roman"/>
          <w:sz w:val="22"/>
          <w:szCs w:val="22"/>
        </w:rPr>
      </w:pPr>
      <w:r w:rsidRPr="007957C5">
        <w:rPr>
          <w:rFonts w:ascii="Avenir Roman" w:hAnsi="Avenir Roman"/>
          <w:sz w:val="22"/>
          <w:szCs w:val="22"/>
        </w:rPr>
        <w:t>have access to a range of community support services, including personal assistance to support living and inclusion in the community, and to prevent isolation or segregation from the community;</w:t>
      </w:r>
      <w:r w:rsidRPr="007957C5">
        <w:rPr>
          <w:rStyle w:val="FootnoteReference"/>
          <w:rFonts w:ascii="Avenir Roman" w:hAnsi="Avenir Roman"/>
          <w:sz w:val="22"/>
          <w:szCs w:val="22"/>
        </w:rPr>
        <w:footnoteReference w:id="35"/>
      </w:r>
      <w:r w:rsidRPr="007957C5">
        <w:rPr>
          <w:rFonts w:ascii="Avenir Roman" w:hAnsi="Avenir Roman"/>
          <w:sz w:val="22"/>
          <w:szCs w:val="22"/>
        </w:rPr>
        <w:t xml:space="preserve"> </w:t>
      </w:r>
    </w:p>
    <w:p w14:paraId="0ED0D218" w14:textId="29747283" w:rsidR="007C1023" w:rsidRPr="007957C5" w:rsidRDefault="007C1023" w:rsidP="00564172">
      <w:pPr>
        <w:pStyle w:val="ListParagraph"/>
        <w:numPr>
          <w:ilvl w:val="0"/>
          <w:numId w:val="17"/>
        </w:numPr>
        <w:spacing w:line="240" w:lineRule="auto"/>
        <w:ind w:left="1560" w:hanging="426"/>
        <w:jc w:val="left"/>
        <w:rPr>
          <w:rFonts w:ascii="Avenir Roman" w:hAnsi="Avenir Roman"/>
          <w:sz w:val="22"/>
          <w:szCs w:val="22"/>
        </w:rPr>
      </w:pPr>
      <w:r w:rsidRPr="007957C5">
        <w:rPr>
          <w:rFonts w:ascii="Avenir Roman" w:hAnsi="Avenir Roman"/>
          <w:sz w:val="22"/>
          <w:szCs w:val="22"/>
        </w:rPr>
        <w:t>have access to mainstream community services and facilities on an equal basis with others.</w:t>
      </w:r>
      <w:r w:rsidRPr="007957C5">
        <w:rPr>
          <w:rStyle w:val="FootnoteReference"/>
          <w:rFonts w:ascii="Avenir Roman" w:hAnsi="Avenir Roman"/>
          <w:sz w:val="22"/>
          <w:szCs w:val="22"/>
        </w:rPr>
        <w:footnoteReference w:id="36"/>
      </w:r>
    </w:p>
    <w:p w14:paraId="7359D11F" w14:textId="77777777" w:rsidR="00B36181" w:rsidRPr="007957C5" w:rsidRDefault="00B36181" w:rsidP="007957C5">
      <w:pPr>
        <w:pStyle w:val="ListParagraph"/>
        <w:spacing w:line="240" w:lineRule="auto"/>
        <w:ind w:left="1560"/>
        <w:jc w:val="left"/>
        <w:rPr>
          <w:rFonts w:ascii="Avenir Roman" w:hAnsi="Avenir Roman"/>
          <w:sz w:val="22"/>
          <w:szCs w:val="22"/>
        </w:rPr>
      </w:pPr>
    </w:p>
    <w:p w14:paraId="5D87A5AB" w14:textId="63986D4E" w:rsidR="00B36181" w:rsidRPr="007957C5" w:rsidRDefault="006457AB" w:rsidP="00564172">
      <w:pPr>
        <w:pStyle w:val="ListParagraph"/>
        <w:numPr>
          <w:ilvl w:val="2"/>
          <w:numId w:val="22"/>
        </w:numPr>
        <w:spacing w:line="240" w:lineRule="auto"/>
        <w:ind w:left="1134" w:hanging="709"/>
        <w:contextualSpacing w:val="0"/>
        <w:jc w:val="left"/>
        <w:rPr>
          <w:rFonts w:ascii="Avenir Roman" w:hAnsi="Avenir Roman"/>
          <w:sz w:val="22"/>
          <w:szCs w:val="22"/>
        </w:rPr>
      </w:pPr>
      <w:r w:rsidRPr="007957C5">
        <w:rPr>
          <w:rFonts w:ascii="Avenir Roman" w:hAnsi="Avenir Roman"/>
          <w:sz w:val="22"/>
          <w:szCs w:val="22"/>
        </w:rPr>
        <w:t xml:space="preserve">Implementation of </w:t>
      </w:r>
      <w:r w:rsidR="000E2E5D" w:rsidRPr="007957C5">
        <w:rPr>
          <w:rFonts w:ascii="Avenir Roman" w:hAnsi="Avenir Roman"/>
          <w:sz w:val="22"/>
          <w:szCs w:val="22"/>
        </w:rPr>
        <w:t xml:space="preserve">all of the elements of </w:t>
      </w:r>
      <w:r w:rsidRPr="007957C5">
        <w:rPr>
          <w:rFonts w:ascii="Avenir Roman" w:hAnsi="Avenir Roman"/>
          <w:sz w:val="22"/>
          <w:szCs w:val="22"/>
        </w:rPr>
        <w:t>article 19 is interdependent on implementation of other CRPD articles.</w:t>
      </w:r>
      <w:r w:rsidR="00D1106F" w:rsidRPr="007957C5">
        <w:rPr>
          <w:rFonts w:ascii="Avenir Roman" w:hAnsi="Avenir Roman"/>
          <w:sz w:val="22"/>
          <w:szCs w:val="22"/>
        </w:rPr>
        <w:t xml:space="preserve"> An examination of the violence, abuse, neglect and exploitation that is experienced by people with disability in various living arrangements, requires analysis of </w:t>
      </w:r>
      <w:r w:rsidR="000E2E5D" w:rsidRPr="007957C5">
        <w:rPr>
          <w:rFonts w:ascii="Avenir Roman" w:hAnsi="Avenir Roman"/>
          <w:sz w:val="22"/>
          <w:szCs w:val="22"/>
        </w:rPr>
        <w:t>Australian law, policy and practice that</w:t>
      </w:r>
      <w:r w:rsidR="009D07DA" w:rsidRPr="007957C5">
        <w:rPr>
          <w:rFonts w:ascii="Avenir Roman" w:hAnsi="Avenir Roman"/>
          <w:sz w:val="22"/>
          <w:szCs w:val="22"/>
        </w:rPr>
        <w:t>, in a number of areas</w:t>
      </w:r>
      <w:r w:rsidR="00D1106F" w:rsidRPr="007957C5">
        <w:rPr>
          <w:rFonts w:ascii="Avenir Roman" w:hAnsi="Avenir Roman"/>
          <w:sz w:val="22"/>
          <w:szCs w:val="22"/>
        </w:rPr>
        <w:t xml:space="preserve"> </w:t>
      </w:r>
      <w:r w:rsidR="000E2E5D" w:rsidRPr="007957C5">
        <w:rPr>
          <w:rFonts w:ascii="Avenir Roman" w:hAnsi="Avenir Roman"/>
          <w:sz w:val="22"/>
          <w:szCs w:val="22"/>
        </w:rPr>
        <w:t xml:space="preserve">continues to </w:t>
      </w:r>
      <w:r w:rsidR="000436BC" w:rsidRPr="007957C5">
        <w:rPr>
          <w:rFonts w:ascii="Avenir Roman" w:hAnsi="Avenir Roman"/>
          <w:sz w:val="22"/>
          <w:szCs w:val="22"/>
        </w:rPr>
        <w:t>prevent</w:t>
      </w:r>
      <w:r w:rsidR="000E2E5D" w:rsidRPr="007957C5">
        <w:rPr>
          <w:rFonts w:ascii="Avenir Roman" w:hAnsi="Avenir Roman"/>
          <w:sz w:val="22"/>
          <w:szCs w:val="22"/>
        </w:rPr>
        <w:t xml:space="preserve"> </w:t>
      </w:r>
      <w:r w:rsidR="008707D7" w:rsidRPr="007957C5">
        <w:rPr>
          <w:rFonts w:ascii="Avenir Roman" w:hAnsi="Avenir Roman"/>
          <w:sz w:val="22"/>
          <w:szCs w:val="22"/>
        </w:rPr>
        <w:t>the right to live independently and be included in the community.</w:t>
      </w:r>
      <w:r w:rsidR="00D1106F" w:rsidRPr="007957C5">
        <w:rPr>
          <w:rFonts w:ascii="Avenir Roman" w:hAnsi="Avenir Roman"/>
          <w:sz w:val="22"/>
          <w:szCs w:val="22"/>
        </w:rPr>
        <w:t xml:space="preserve"> </w:t>
      </w:r>
    </w:p>
    <w:p w14:paraId="0AE954B2" w14:textId="77777777" w:rsidR="006F3307" w:rsidRPr="007957C5" w:rsidRDefault="006F3307" w:rsidP="007957C5">
      <w:pPr>
        <w:spacing w:line="240" w:lineRule="auto"/>
        <w:jc w:val="left"/>
        <w:rPr>
          <w:rFonts w:ascii="Avenir Roman" w:hAnsi="Avenir Roman"/>
          <w:sz w:val="22"/>
          <w:szCs w:val="22"/>
        </w:rPr>
      </w:pPr>
    </w:p>
    <w:p w14:paraId="0DA2B267" w14:textId="138A34DE" w:rsidR="002C2938" w:rsidRPr="007957C5" w:rsidRDefault="002C2938" w:rsidP="00564172">
      <w:pPr>
        <w:pStyle w:val="Heading3"/>
        <w:numPr>
          <w:ilvl w:val="1"/>
          <w:numId w:val="22"/>
        </w:numPr>
        <w:spacing w:after="120" w:line="240" w:lineRule="auto"/>
        <w:ind w:left="1134" w:hanging="709"/>
        <w:rPr>
          <w:rFonts w:ascii="Avenir Roman" w:hAnsi="Avenir Roman"/>
          <w:i/>
          <w:sz w:val="22"/>
          <w:szCs w:val="22"/>
        </w:rPr>
      </w:pPr>
      <w:bookmarkStart w:id="111" w:name="_Toc43919152"/>
      <w:r w:rsidRPr="007957C5">
        <w:rPr>
          <w:rFonts w:ascii="Avenir Roman" w:hAnsi="Avenir Roman"/>
          <w:i/>
          <w:sz w:val="22"/>
          <w:szCs w:val="22"/>
        </w:rPr>
        <w:lastRenderedPageBreak/>
        <w:t>Equal recognition before the law</w:t>
      </w:r>
      <w:bookmarkEnd w:id="111"/>
    </w:p>
    <w:p w14:paraId="098037F4" w14:textId="5A29C149" w:rsidR="002C2938" w:rsidRPr="007957C5" w:rsidRDefault="00F406FA" w:rsidP="00564172">
      <w:pPr>
        <w:pStyle w:val="ListParagraph"/>
        <w:numPr>
          <w:ilvl w:val="2"/>
          <w:numId w:val="22"/>
        </w:numPr>
        <w:spacing w:line="240" w:lineRule="auto"/>
        <w:ind w:left="1134"/>
        <w:jc w:val="left"/>
        <w:rPr>
          <w:rFonts w:ascii="Avenir Roman" w:hAnsi="Avenir Roman"/>
          <w:sz w:val="22"/>
          <w:szCs w:val="22"/>
        </w:rPr>
      </w:pPr>
      <w:r w:rsidRPr="007957C5">
        <w:rPr>
          <w:rFonts w:ascii="Avenir Roman" w:hAnsi="Avenir Roman"/>
          <w:sz w:val="22"/>
          <w:szCs w:val="22"/>
        </w:rPr>
        <w:t>Personal autonomy to choose where and with whom to live is dependent on people with disability being able to exercise their full legal capacity on an equal basis with others.</w:t>
      </w:r>
      <w:r w:rsidR="005A3DB0" w:rsidRPr="007957C5">
        <w:rPr>
          <w:rStyle w:val="FootnoteReference"/>
          <w:rFonts w:ascii="Avenir Roman" w:hAnsi="Avenir Roman"/>
          <w:sz w:val="22"/>
          <w:szCs w:val="22"/>
        </w:rPr>
        <w:footnoteReference w:id="37"/>
      </w:r>
      <w:r w:rsidRPr="007957C5">
        <w:rPr>
          <w:rFonts w:ascii="Avenir Roman" w:hAnsi="Avenir Roman"/>
          <w:sz w:val="22"/>
          <w:szCs w:val="22"/>
        </w:rPr>
        <w:t xml:space="preserve"> Legal capacity – the ability to hold and exercise rights - is central to equality before the law, and is guaranteed in article 12 of the CRPD, </w:t>
      </w:r>
      <w:r w:rsidRPr="007957C5">
        <w:rPr>
          <w:rFonts w:ascii="Avenir Roman" w:hAnsi="Avenir Roman"/>
          <w:i/>
          <w:sz w:val="22"/>
          <w:szCs w:val="22"/>
        </w:rPr>
        <w:t xml:space="preserve">Equal recognition before the law. </w:t>
      </w:r>
    </w:p>
    <w:p w14:paraId="3A08961C" w14:textId="77777777" w:rsidR="007730EC" w:rsidRPr="007957C5" w:rsidRDefault="007730EC" w:rsidP="007957C5">
      <w:pPr>
        <w:pStyle w:val="ListParagraph"/>
        <w:spacing w:line="240" w:lineRule="auto"/>
        <w:ind w:left="1134"/>
        <w:jc w:val="left"/>
        <w:rPr>
          <w:rFonts w:ascii="Avenir Roman" w:hAnsi="Avenir Roman"/>
          <w:sz w:val="22"/>
          <w:szCs w:val="22"/>
        </w:rPr>
      </w:pPr>
    </w:p>
    <w:p w14:paraId="61E324AF" w14:textId="042238F8" w:rsidR="008B4EE4" w:rsidRPr="007957C5" w:rsidRDefault="008B4EE4" w:rsidP="00564172">
      <w:pPr>
        <w:pStyle w:val="ListParagraph"/>
        <w:numPr>
          <w:ilvl w:val="2"/>
          <w:numId w:val="22"/>
        </w:numPr>
        <w:spacing w:line="240" w:lineRule="auto"/>
        <w:ind w:left="1134"/>
        <w:jc w:val="left"/>
        <w:rPr>
          <w:rFonts w:ascii="Avenir Roman" w:hAnsi="Avenir Roman"/>
          <w:sz w:val="22"/>
          <w:szCs w:val="22"/>
        </w:rPr>
      </w:pPr>
      <w:r w:rsidRPr="007957C5">
        <w:rPr>
          <w:rFonts w:ascii="Avenir Roman" w:hAnsi="Avenir Roman"/>
          <w:sz w:val="22"/>
          <w:szCs w:val="22"/>
        </w:rPr>
        <w:t>Equal recognition before the law is viewed as critical to the exercise of all other human rights,</w:t>
      </w:r>
      <w:r w:rsidRPr="007957C5">
        <w:rPr>
          <w:rFonts w:ascii="Avenir Roman" w:hAnsi="Avenir Roman"/>
          <w:sz w:val="22"/>
          <w:szCs w:val="22"/>
          <w:vertAlign w:val="superscript"/>
        </w:rPr>
        <w:footnoteReference w:id="38"/>
      </w:r>
      <w:r w:rsidRPr="007957C5">
        <w:rPr>
          <w:rFonts w:ascii="Avenir Roman" w:hAnsi="Avenir Roman"/>
          <w:sz w:val="22"/>
          <w:szCs w:val="22"/>
        </w:rPr>
        <w:t xml:space="preserve"> including article 19.  </w:t>
      </w:r>
      <w:r w:rsidR="00DD0C82" w:rsidRPr="007957C5">
        <w:rPr>
          <w:rFonts w:ascii="Avenir Roman" w:hAnsi="Avenir Roman"/>
          <w:sz w:val="22"/>
          <w:szCs w:val="22"/>
        </w:rPr>
        <w:t xml:space="preserve">The right to exercise </w:t>
      </w:r>
      <w:r w:rsidR="005A3DB0" w:rsidRPr="007957C5">
        <w:rPr>
          <w:rFonts w:ascii="Avenir Roman" w:hAnsi="Avenir Roman"/>
          <w:sz w:val="22"/>
          <w:szCs w:val="22"/>
        </w:rPr>
        <w:t xml:space="preserve">full legal capacity is essential to exercising choice and control over one’s life by choosing where to live, with whom to live and how to live, in accordance with one’s own will and preference. Legal capacity underpins </w:t>
      </w:r>
      <w:r w:rsidR="007730EC" w:rsidRPr="007957C5">
        <w:rPr>
          <w:rFonts w:ascii="Avenir Roman" w:hAnsi="Avenir Roman"/>
          <w:sz w:val="22"/>
          <w:szCs w:val="22"/>
        </w:rPr>
        <w:t>personhood</w:t>
      </w:r>
      <w:r w:rsidR="005A3DB0" w:rsidRPr="007957C5">
        <w:rPr>
          <w:rFonts w:ascii="Avenir Roman" w:hAnsi="Avenir Roman"/>
          <w:sz w:val="22"/>
          <w:szCs w:val="22"/>
        </w:rPr>
        <w:t>,</w:t>
      </w:r>
      <w:r w:rsidR="007730EC" w:rsidRPr="007957C5">
        <w:rPr>
          <w:rFonts w:ascii="Avenir Roman" w:hAnsi="Avenir Roman"/>
          <w:sz w:val="22"/>
          <w:szCs w:val="22"/>
          <w:vertAlign w:val="superscript"/>
        </w:rPr>
        <w:footnoteReference w:id="39"/>
      </w:r>
      <w:r w:rsidR="005A3DB0" w:rsidRPr="007957C5">
        <w:rPr>
          <w:rFonts w:ascii="Avenir Roman" w:hAnsi="Avenir Roman"/>
          <w:sz w:val="22"/>
          <w:szCs w:val="22"/>
        </w:rPr>
        <w:t xml:space="preserve"> </w:t>
      </w:r>
      <w:r w:rsidR="007730EC" w:rsidRPr="007957C5">
        <w:rPr>
          <w:rFonts w:ascii="Avenir Roman" w:hAnsi="Avenir Roman"/>
          <w:sz w:val="22"/>
          <w:szCs w:val="22"/>
        </w:rPr>
        <w:t xml:space="preserve">and is essential for human dignity and the </w:t>
      </w:r>
      <w:r w:rsidR="005A3DB0" w:rsidRPr="007957C5">
        <w:rPr>
          <w:rFonts w:ascii="Avenir Roman" w:hAnsi="Avenir Roman"/>
          <w:sz w:val="22"/>
          <w:szCs w:val="22"/>
        </w:rPr>
        <w:t xml:space="preserve">personal agency and </w:t>
      </w:r>
      <w:r w:rsidR="007730EC" w:rsidRPr="007957C5">
        <w:rPr>
          <w:rFonts w:ascii="Avenir Roman" w:hAnsi="Avenir Roman"/>
          <w:sz w:val="22"/>
          <w:szCs w:val="22"/>
        </w:rPr>
        <w:t xml:space="preserve">free </w:t>
      </w:r>
      <w:r w:rsidR="005A3DB0" w:rsidRPr="007957C5">
        <w:rPr>
          <w:rFonts w:ascii="Avenir Roman" w:hAnsi="Avenir Roman"/>
          <w:sz w:val="22"/>
          <w:szCs w:val="22"/>
        </w:rPr>
        <w:t>personal development</w:t>
      </w:r>
      <w:r w:rsidR="007730EC" w:rsidRPr="007957C5">
        <w:rPr>
          <w:rFonts w:ascii="Avenir Roman" w:hAnsi="Avenir Roman"/>
          <w:sz w:val="22"/>
          <w:szCs w:val="22"/>
        </w:rPr>
        <w:t xml:space="preserve"> that is inherent to article 19.  It is essential for making </w:t>
      </w:r>
      <w:r w:rsidR="00407C69" w:rsidRPr="007957C5">
        <w:rPr>
          <w:rFonts w:ascii="Avenir Roman" w:hAnsi="Avenir Roman"/>
          <w:sz w:val="22"/>
          <w:szCs w:val="22"/>
        </w:rPr>
        <w:t xml:space="preserve">everyday decisions, </w:t>
      </w:r>
      <w:r w:rsidR="007730EC" w:rsidRPr="007957C5">
        <w:rPr>
          <w:rFonts w:ascii="Avenir Roman" w:hAnsi="Avenir Roman"/>
          <w:sz w:val="22"/>
          <w:szCs w:val="22"/>
        </w:rPr>
        <w:t xml:space="preserve">such as when to get up, what to wear and what to eat, as well as </w:t>
      </w:r>
      <w:r w:rsidR="000E2E5D" w:rsidRPr="007957C5">
        <w:rPr>
          <w:rFonts w:ascii="Avenir Roman" w:hAnsi="Avenir Roman"/>
          <w:sz w:val="22"/>
          <w:szCs w:val="22"/>
        </w:rPr>
        <w:t>larger</w:t>
      </w:r>
      <w:r w:rsidR="007730EC" w:rsidRPr="007957C5">
        <w:rPr>
          <w:rFonts w:ascii="Avenir Roman" w:hAnsi="Avenir Roman"/>
          <w:sz w:val="22"/>
          <w:szCs w:val="22"/>
        </w:rPr>
        <w:t xml:space="preserve"> life decisions, such as where to live and with whom to live</w:t>
      </w:r>
      <w:r w:rsidR="00E65EF3" w:rsidRPr="007957C5">
        <w:rPr>
          <w:rFonts w:ascii="Avenir Roman" w:hAnsi="Avenir Roman"/>
          <w:sz w:val="22"/>
          <w:szCs w:val="22"/>
        </w:rPr>
        <w:t>, who to have relationships and friendships with</w:t>
      </w:r>
      <w:r w:rsidR="006866E1" w:rsidRPr="007957C5">
        <w:rPr>
          <w:rFonts w:ascii="Avenir Roman" w:hAnsi="Avenir Roman"/>
          <w:sz w:val="22"/>
          <w:szCs w:val="22"/>
        </w:rPr>
        <w:t xml:space="preserve">, </w:t>
      </w:r>
      <w:r w:rsidR="007730EC" w:rsidRPr="007957C5">
        <w:rPr>
          <w:rFonts w:ascii="Avenir Roman" w:hAnsi="Avenir Roman"/>
          <w:sz w:val="22"/>
          <w:szCs w:val="22"/>
        </w:rPr>
        <w:t>whether to consent to medical treatment</w:t>
      </w:r>
      <w:r w:rsidR="006866E1" w:rsidRPr="007957C5">
        <w:rPr>
          <w:rFonts w:ascii="Avenir Roman" w:hAnsi="Avenir Roman"/>
          <w:sz w:val="22"/>
          <w:szCs w:val="22"/>
        </w:rPr>
        <w:t>, and how to spend money and manage finances</w:t>
      </w:r>
      <w:r w:rsidR="001C7FA4" w:rsidRPr="007957C5">
        <w:rPr>
          <w:rFonts w:ascii="Avenir Roman" w:hAnsi="Avenir Roman"/>
          <w:sz w:val="22"/>
          <w:szCs w:val="22"/>
        </w:rPr>
        <w:t>.</w:t>
      </w:r>
      <w:r w:rsidR="007730EC" w:rsidRPr="007957C5">
        <w:rPr>
          <w:rFonts w:ascii="Avenir Roman" w:hAnsi="Avenir Roman"/>
          <w:sz w:val="22"/>
          <w:szCs w:val="22"/>
        </w:rPr>
        <w:t xml:space="preserve"> </w:t>
      </w:r>
    </w:p>
    <w:p w14:paraId="2DFECB4E" w14:textId="77777777" w:rsidR="003E6633" w:rsidRPr="007957C5" w:rsidRDefault="003E6633" w:rsidP="007957C5">
      <w:pPr>
        <w:pStyle w:val="ListParagraph"/>
        <w:spacing w:line="240" w:lineRule="auto"/>
        <w:jc w:val="left"/>
        <w:rPr>
          <w:rFonts w:ascii="Avenir Roman" w:hAnsi="Avenir Roman"/>
          <w:sz w:val="22"/>
          <w:szCs w:val="22"/>
        </w:rPr>
      </w:pPr>
    </w:p>
    <w:p w14:paraId="2FF03A71" w14:textId="37D8D260" w:rsidR="003E6633" w:rsidRPr="007957C5" w:rsidRDefault="003E6633" w:rsidP="00564172">
      <w:pPr>
        <w:pStyle w:val="ListParagraph"/>
        <w:numPr>
          <w:ilvl w:val="2"/>
          <w:numId w:val="22"/>
        </w:numPr>
        <w:spacing w:line="240" w:lineRule="auto"/>
        <w:ind w:left="1134"/>
        <w:jc w:val="left"/>
        <w:rPr>
          <w:rFonts w:ascii="Avenir Roman" w:hAnsi="Avenir Roman"/>
          <w:sz w:val="22"/>
          <w:szCs w:val="22"/>
        </w:rPr>
      </w:pPr>
      <w:r w:rsidRPr="007957C5">
        <w:rPr>
          <w:rFonts w:ascii="Avenir Roman" w:hAnsi="Avenir Roman"/>
          <w:sz w:val="22"/>
          <w:szCs w:val="22"/>
        </w:rPr>
        <w:t xml:space="preserve">Women with disability </w:t>
      </w:r>
      <w:r w:rsidR="00F45966" w:rsidRPr="007957C5">
        <w:rPr>
          <w:rFonts w:ascii="Avenir Roman" w:hAnsi="Avenir Roman"/>
          <w:sz w:val="22"/>
          <w:szCs w:val="22"/>
        </w:rPr>
        <w:t xml:space="preserve">are more likely to be denied their right to legal capacity which has significant impacts on other rights, including the right to maintain sexual and reproductive </w:t>
      </w:r>
      <w:r w:rsidR="00513567" w:rsidRPr="007957C5">
        <w:rPr>
          <w:rFonts w:ascii="Avenir Roman" w:hAnsi="Avenir Roman"/>
          <w:sz w:val="22"/>
          <w:szCs w:val="22"/>
        </w:rPr>
        <w:t>autonomy</w:t>
      </w:r>
      <w:r w:rsidR="00F45966" w:rsidRPr="007957C5">
        <w:rPr>
          <w:rFonts w:ascii="Avenir Roman" w:hAnsi="Avenir Roman"/>
          <w:sz w:val="22"/>
          <w:szCs w:val="22"/>
        </w:rPr>
        <w:t xml:space="preserve">, </w:t>
      </w:r>
      <w:r w:rsidR="00513567" w:rsidRPr="007957C5">
        <w:rPr>
          <w:rFonts w:ascii="Avenir Roman" w:hAnsi="Avenir Roman"/>
          <w:sz w:val="22"/>
          <w:szCs w:val="22"/>
        </w:rPr>
        <w:t xml:space="preserve">to </w:t>
      </w:r>
      <w:r w:rsidR="00D06F42" w:rsidRPr="007957C5">
        <w:rPr>
          <w:rFonts w:ascii="Avenir Roman" w:hAnsi="Avenir Roman"/>
          <w:sz w:val="22"/>
          <w:szCs w:val="22"/>
        </w:rPr>
        <w:t>found a family, to choose where and with whom to live, to be free from violence and to maintain bodily and mental integrity.</w:t>
      </w:r>
      <w:r w:rsidR="00D06F42" w:rsidRPr="007957C5">
        <w:rPr>
          <w:rStyle w:val="FootnoteReference"/>
          <w:rFonts w:ascii="Avenir Roman" w:hAnsi="Avenir Roman"/>
          <w:sz w:val="22"/>
          <w:szCs w:val="22"/>
        </w:rPr>
        <w:footnoteReference w:id="40"/>
      </w:r>
      <w:r w:rsidR="00874D5D" w:rsidRPr="007957C5">
        <w:rPr>
          <w:rFonts w:ascii="Avenir Roman" w:hAnsi="Avenir Roman"/>
          <w:sz w:val="22"/>
          <w:szCs w:val="22"/>
        </w:rPr>
        <w:t xml:space="preserve"> </w:t>
      </w:r>
    </w:p>
    <w:p w14:paraId="1F00202E" w14:textId="77777777" w:rsidR="002109D3" w:rsidRPr="007957C5" w:rsidRDefault="002109D3" w:rsidP="007957C5">
      <w:pPr>
        <w:pStyle w:val="ListParagraph"/>
        <w:spacing w:line="240" w:lineRule="auto"/>
        <w:jc w:val="left"/>
        <w:rPr>
          <w:rFonts w:ascii="Avenir Roman" w:hAnsi="Avenir Roman"/>
          <w:sz w:val="22"/>
          <w:szCs w:val="22"/>
        </w:rPr>
      </w:pPr>
    </w:p>
    <w:p w14:paraId="7B30ECFA" w14:textId="5976325C" w:rsidR="002109D3" w:rsidRPr="007957C5" w:rsidRDefault="00513769" w:rsidP="00564172">
      <w:pPr>
        <w:pStyle w:val="ListParagraph"/>
        <w:numPr>
          <w:ilvl w:val="2"/>
          <w:numId w:val="22"/>
        </w:numPr>
        <w:spacing w:line="240" w:lineRule="auto"/>
        <w:ind w:left="1134"/>
        <w:jc w:val="left"/>
        <w:rPr>
          <w:rFonts w:ascii="Avenir Roman" w:hAnsi="Avenir Roman"/>
          <w:sz w:val="22"/>
          <w:szCs w:val="22"/>
        </w:rPr>
      </w:pPr>
      <w:r w:rsidRPr="007957C5">
        <w:rPr>
          <w:rFonts w:ascii="Avenir Roman" w:hAnsi="Avenir Roman"/>
          <w:sz w:val="22"/>
          <w:szCs w:val="22"/>
        </w:rPr>
        <w:t xml:space="preserve">Article 12 and article 19 are mutually reinforcing. In order </w:t>
      </w:r>
      <w:r w:rsidR="004D3333" w:rsidRPr="007957C5">
        <w:rPr>
          <w:rFonts w:ascii="Avenir Roman" w:hAnsi="Avenir Roman"/>
          <w:sz w:val="22"/>
          <w:szCs w:val="22"/>
        </w:rPr>
        <w:t xml:space="preserve">for people with disability </w:t>
      </w:r>
      <w:r w:rsidRPr="007957C5">
        <w:rPr>
          <w:rFonts w:ascii="Avenir Roman" w:hAnsi="Avenir Roman"/>
          <w:sz w:val="22"/>
          <w:szCs w:val="22"/>
        </w:rPr>
        <w:t xml:space="preserve">to have the opportunity to develop and express </w:t>
      </w:r>
      <w:r w:rsidR="004D3333" w:rsidRPr="007957C5">
        <w:rPr>
          <w:rFonts w:ascii="Avenir Roman" w:hAnsi="Avenir Roman"/>
          <w:sz w:val="22"/>
          <w:szCs w:val="22"/>
        </w:rPr>
        <w:t xml:space="preserve">their </w:t>
      </w:r>
      <w:r w:rsidRPr="007957C5">
        <w:rPr>
          <w:rFonts w:ascii="Avenir Roman" w:hAnsi="Avenir Roman"/>
          <w:sz w:val="22"/>
          <w:szCs w:val="22"/>
        </w:rPr>
        <w:t xml:space="preserve">will and preferences, </w:t>
      </w:r>
      <w:r w:rsidR="004D3333" w:rsidRPr="007957C5">
        <w:rPr>
          <w:rFonts w:ascii="Avenir Roman" w:hAnsi="Avenir Roman"/>
          <w:sz w:val="22"/>
          <w:szCs w:val="22"/>
        </w:rPr>
        <w:t>they must “have the opportunity to live independently in the community and to make choices and to control their everyday lives, on an equal basis with others”.</w:t>
      </w:r>
      <w:r w:rsidR="004D3333" w:rsidRPr="007957C5">
        <w:rPr>
          <w:rStyle w:val="FootnoteReference"/>
          <w:rFonts w:ascii="Avenir Roman" w:hAnsi="Avenir Roman"/>
          <w:sz w:val="22"/>
          <w:szCs w:val="22"/>
        </w:rPr>
        <w:footnoteReference w:id="41"/>
      </w:r>
      <w:r w:rsidR="00534B2C" w:rsidRPr="007957C5">
        <w:rPr>
          <w:rFonts w:ascii="Avenir Roman" w:hAnsi="Avenir Roman"/>
          <w:sz w:val="22"/>
          <w:szCs w:val="22"/>
        </w:rPr>
        <w:t xml:space="preserve"> Being included in the community facilitates the “social networks and naturally occurring community support (including friends, family and schools)” that is critical for supported decision-making.</w:t>
      </w:r>
      <w:r w:rsidR="00534B2C" w:rsidRPr="007957C5">
        <w:rPr>
          <w:rStyle w:val="FootnoteReference"/>
          <w:rFonts w:ascii="Avenir Roman" w:hAnsi="Avenir Roman"/>
          <w:sz w:val="22"/>
          <w:szCs w:val="22"/>
        </w:rPr>
        <w:footnoteReference w:id="42"/>
      </w:r>
    </w:p>
    <w:p w14:paraId="0CF24B10" w14:textId="77777777" w:rsidR="00B306CE" w:rsidRPr="007957C5" w:rsidRDefault="00B306CE" w:rsidP="007957C5">
      <w:pPr>
        <w:pStyle w:val="ListParagraph"/>
        <w:spacing w:line="240" w:lineRule="auto"/>
        <w:jc w:val="left"/>
        <w:rPr>
          <w:rFonts w:ascii="Avenir Roman" w:hAnsi="Avenir Roman"/>
          <w:sz w:val="22"/>
          <w:szCs w:val="22"/>
        </w:rPr>
      </w:pPr>
    </w:p>
    <w:p w14:paraId="68AA69C4" w14:textId="1612A6DD" w:rsidR="00B336B1" w:rsidRPr="007957C5" w:rsidRDefault="00313AF3" w:rsidP="00564172">
      <w:pPr>
        <w:pStyle w:val="ListParagraph"/>
        <w:numPr>
          <w:ilvl w:val="2"/>
          <w:numId w:val="22"/>
        </w:numPr>
        <w:spacing w:after="0" w:line="240" w:lineRule="auto"/>
        <w:ind w:left="1134"/>
        <w:contextualSpacing w:val="0"/>
        <w:jc w:val="left"/>
        <w:rPr>
          <w:rFonts w:ascii="Avenir Roman" w:hAnsi="Avenir Roman"/>
          <w:sz w:val="22"/>
          <w:szCs w:val="22"/>
        </w:rPr>
      </w:pPr>
      <w:r w:rsidRPr="007957C5">
        <w:rPr>
          <w:rFonts w:ascii="Avenir Roman" w:hAnsi="Avenir Roman"/>
          <w:sz w:val="22"/>
          <w:szCs w:val="22"/>
        </w:rPr>
        <w:t xml:space="preserve">Globally and in Australia, legal capacity is </w:t>
      </w:r>
      <w:r w:rsidR="001C4D75" w:rsidRPr="007957C5">
        <w:rPr>
          <w:rFonts w:ascii="Avenir Roman" w:hAnsi="Avenir Roman"/>
          <w:sz w:val="22"/>
          <w:szCs w:val="22"/>
        </w:rPr>
        <w:t>consistently</w:t>
      </w:r>
      <w:r w:rsidRPr="007957C5">
        <w:rPr>
          <w:rFonts w:ascii="Avenir Roman" w:hAnsi="Avenir Roman"/>
          <w:sz w:val="22"/>
          <w:szCs w:val="22"/>
        </w:rPr>
        <w:t xml:space="preserve"> denied or limited </w:t>
      </w:r>
      <w:r w:rsidR="00104231" w:rsidRPr="007957C5">
        <w:rPr>
          <w:rFonts w:ascii="Avenir Roman" w:hAnsi="Avenir Roman"/>
          <w:sz w:val="22"/>
          <w:szCs w:val="22"/>
        </w:rPr>
        <w:t xml:space="preserve">for people with disability </w:t>
      </w:r>
      <w:r w:rsidRPr="007957C5">
        <w:rPr>
          <w:rFonts w:ascii="Avenir Roman" w:hAnsi="Avenir Roman"/>
          <w:sz w:val="22"/>
          <w:szCs w:val="22"/>
        </w:rPr>
        <w:t xml:space="preserve">in legal systems, particularly through </w:t>
      </w:r>
      <w:r w:rsidR="00534B2C" w:rsidRPr="007957C5">
        <w:rPr>
          <w:rFonts w:ascii="Avenir Roman" w:hAnsi="Avenir Roman"/>
          <w:sz w:val="22"/>
          <w:szCs w:val="22"/>
        </w:rPr>
        <w:t xml:space="preserve">the substitute decision-making </w:t>
      </w:r>
      <w:r w:rsidRPr="007957C5">
        <w:rPr>
          <w:rFonts w:ascii="Avenir Roman" w:hAnsi="Avenir Roman"/>
          <w:sz w:val="22"/>
          <w:szCs w:val="22"/>
        </w:rPr>
        <w:t xml:space="preserve">systems of guardianship, financial management and mental health laws. </w:t>
      </w:r>
      <w:r w:rsidR="00937B33" w:rsidRPr="007957C5">
        <w:rPr>
          <w:rFonts w:ascii="Avenir Roman" w:hAnsi="Avenir Roman"/>
          <w:sz w:val="22"/>
          <w:szCs w:val="22"/>
        </w:rPr>
        <w:t xml:space="preserve">In the context of living arrangements, the choice of where to live and who to live with is </w:t>
      </w:r>
      <w:r w:rsidR="00C422E3" w:rsidRPr="007957C5">
        <w:rPr>
          <w:rFonts w:ascii="Avenir Roman" w:hAnsi="Avenir Roman"/>
          <w:sz w:val="22"/>
          <w:szCs w:val="22"/>
        </w:rPr>
        <w:t xml:space="preserve">often </w:t>
      </w:r>
      <w:r w:rsidR="00937B33" w:rsidRPr="007957C5">
        <w:rPr>
          <w:rFonts w:ascii="Avenir Roman" w:hAnsi="Avenir Roman"/>
          <w:sz w:val="22"/>
          <w:szCs w:val="22"/>
        </w:rPr>
        <w:t xml:space="preserve">not </w:t>
      </w:r>
      <w:r w:rsidR="00937B33" w:rsidRPr="007957C5">
        <w:rPr>
          <w:rFonts w:ascii="Avenir Roman" w:hAnsi="Avenir Roman"/>
          <w:sz w:val="22"/>
          <w:szCs w:val="22"/>
        </w:rPr>
        <w:lastRenderedPageBreak/>
        <w:t xml:space="preserve">the individual choice of </w:t>
      </w:r>
      <w:r w:rsidR="00C422E3" w:rsidRPr="007957C5">
        <w:rPr>
          <w:rFonts w:ascii="Avenir Roman" w:hAnsi="Avenir Roman"/>
          <w:sz w:val="22"/>
          <w:szCs w:val="22"/>
        </w:rPr>
        <w:t>people</w:t>
      </w:r>
      <w:r w:rsidR="00937B33" w:rsidRPr="007957C5">
        <w:rPr>
          <w:rFonts w:ascii="Avenir Roman" w:hAnsi="Avenir Roman"/>
          <w:sz w:val="22"/>
          <w:szCs w:val="22"/>
        </w:rPr>
        <w:t xml:space="preserve"> with disability but more often that of family members, guardians, </w:t>
      </w:r>
      <w:r w:rsidR="003A7A88" w:rsidRPr="007957C5">
        <w:rPr>
          <w:rFonts w:ascii="Avenir Roman" w:hAnsi="Avenir Roman"/>
          <w:sz w:val="22"/>
          <w:szCs w:val="22"/>
        </w:rPr>
        <w:t xml:space="preserve">NDIS nominees, NDIS planners, </w:t>
      </w:r>
      <w:r w:rsidR="00937B33" w:rsidRPr="007957C5">
        <w:rPr>
          <w:rFonts w:ascii="Avenir Roman" w:hAnsi="Avenir Roman"/>
          <w:sz w:val="22"/>
          <w:szCs w:val="22"/>
        </w:rPr>
        <w:t>service providers and policy makers.</w:t>
      </w:r>
      <w:r w:rsidR="00031B89" w:rsidRPr="007957C5">
        <w:rPr>
          <w:rStyle w:val="FootnoteReference"/>
          <w:rFonts w:ascii="Avenir Roman" w:hAnsi="Avenir Roman"/>
          <w:sz w:val="22"/>
          <w:szCs w:val="22"/>
        </w:rPr>
        <w:footnoteReference w:id="43"/>
      </w:r>
      <w:r w:rsidR="00442133" w:rsidRPr="007957C5">
        <w:rPr>
          <w:rFonts w:ascii="Avenir Roman" w:hAnsi="Avenir Roman"/>
          <w:sz w:val="22"/>
          <w:szCs w:val="22"/>
        </w:rPr>
        <w:t xml:space="preserve"> </w:t>
      </w:r>
    </w:p>
    <w:p w14:paraId="0AB02C54" w14:textId="77777777" w:rsidR="000E7E95" w:rsidRPr="007957C5" w:rsidRDefault="000E7E95" w:rsidP="007957C5">
      <w:pPr>
        <w:spacing w:after="0" w:line="240" w:lineRule="auto"/>
        <w:jc w:val="left"/>
        <w:rPr>
          <w:rFonts w:ascii="Avenir Roman" w:hAnsi="Avenir Roman"/>
          <w:sz w:val="22"/>
          <w:szCs w:val="22"/>
        </w:rPr>
      </w:pPr>
    </w:p>
    <w:p w14:paraId="05A02DBA" w14:textId="5AE4F38D" w:rsidR="00C62AC3" w:rsidRPr="007957C5" w:rsidRDefault="007D39A1" w:rsidP="00564172">
      <w:pPr>
        <w:pStyle w:val="ListParagraph"/>
        <w:numPr>
          <w:ilvl w:val="2"/>
          <w:numId w:val="22"/>
        </w:numPr>
        <w:spacing w:line="240" w:lineRule="auto"/>
        <w:ind w:left="1134"/>
        <w:jc w:val="left"/>
        <w:rPr>
          <w:rFonts w:ascii="Avenir Roman" w:hAnsi="Avenir Roman"/>
          <w:sz w:val="22"/>
          <w:szCs w:val="22"/>
        </w:rPr>
      </w:pPr>
      <w:r w:rsidRPr="007957C5">
        <w:rPr>
          <w:rFonts w:ascii="Avenir Roman" w:hAnsi="Avenir Roman"/>
          <w:sz w:val="22"/>
          <w:szCs w:val="22"/>
        </w:rPr>
        <w:t xml:space="preserve">Article 12 requires a shift from substitute decision-making systems and practices </w:t>
      </w:r>
      <w:r w:rsidR="00706CF4" w:rsidRPr="007957C5">
        <w:rPr>
          <w:rFonts w:ascii="Avenir Roman" w:hAnsi="Avenir Roman"/>
          <w:sz w:val="22"/>
          <w:szCs w:val="22"/>
        </w:rPr>
        <w:t xml:space="preserve">based on the ‘best interests’ principle </w:t>
      </w:r>
      <w:r w:rsidRPr="007957C5">
        <w:rPr>
          <w:rFonts w:ascii="Avenir Roman" w:hAnsi="Avenir Roman"/>
          <w:sz w:val="22"/>
          <w:szCs w:val="22"/>
        </w:rPr>
        <w:t>to supported decision-making principles, standards and frameworks</w:t>
      </w:r>
      <w:r w:rsidR="00706CF4" w:rsidRPr="007957C5">
        <w:rPr>
          <w:rFonts w:ascii="Avenir Roman" w:hAnsi="Avenir Roman"/>
          <w:sz w:val="22"/>
          <w:szCs w:val="22"/>
        </w:rPr>
        <w:t xml:space="preserve"> based on the rights, will and preferences of the </w:t>
      </w:r>
      <w:r w:rsidR="00F17FBD" w:rsidRPr="007957C5">
        <w:rPr>
          <w:rFonts w:ascii="Avenir Roman" w:hAnsi="Avenir Roman"/>
          <w:sz w:val="22"/>
          <w:szCs w:val="22"/>
        </w:rPr>
        <w:t>individual with disability.</w:t>
      </w:r>
      <w:r w:rsidRPr="007957C5">
        <w:rPr>
          <w:rFonts w:ascii="Avenir Roman" w:hAnsi="Avenir Roman"/>
          <w:sz w:val="22"/>
          <w:szCs w:val="22"/>
        </w:rPr>
        <w:t xml:space="preserve"> </w:t>
      </w:r>
      <w:r w:rsidR="00474DCD" w:rsidRPr="007957C5">
        <w:rPr>
          <w:rFonts w:ascii="Avenir Roman" w:hAnsi="Avenir Roman"/>
          <w:sz w:val="22"/>
          <w:szCs w:val="22"/>
        </w:rPr>
        <w:t>Despite this, Australia continues to maintain that the CRPD “[a]</w:t>
      </w:r>
      <w:proofErr w:type="spellStart"/>
      <w:r w:rsidR="00474DCD" w:rsidRPr="007957C5">
        <w:rPr>
          <w:rFonts w:ascii="Avenir Roman" w:hAnsi="Avenir Roman"/>
          <w:sz w:val="22"/>
          <w:szCs w:val="22"/>
        </w:rPr>
        <w:t>llows</w:t>
      </w:r>
      <w:proofErr w:type="spellEnd"/>
      <w:r w:rsidR="00474DCD" w:rsidRPr="007957C5">
        <w:rPr>
          <w:rFonts w:ascii="Avenir Roman" w:hAnsi="Avenir Roman"/>
          <w:sz w:val="22"/>
          <w:szCs w:val="22"/>
        </w:rPr>
        <w:t xml:space="preserve"> for fully supported or substituted decision-making where necessary, as a last resort and subject to safeguards”.</w:t>
      </w:r>
      <w:r w:rsidR="00474DCD" w:rsidRPr="007957C5">
        <w:rPr>
          <w:rStyle w:val="FootnoteReference"/>
          <w:rFonts w:ascii="Avenir Roman" w:hAnsi="Avenir Roman"/>
          <w:sz w:val="22"/>
          <w:szCs w:val="22"/>
        </w:rPr>
        <w:footnoteReference w:id="44"/>
      </w:r>
      <w:r w:rsidR="00442133" w:rsidRPr="007957C5">
        <w:rPr>
          <w:rFonts w:ascii="Avenir Roman" w:hAnsi="Avenir Roman"/>
          <w:sz w:val="22"/>
          <w:szCs w:val="22"/>
        </w:rPr>
        <w:t xml:space="preserve"> </w:t>
      </w:r>
      <w:r w:rsidR="007A663F" w:rsidRPr="007957C5">
        <w:rPr>
          <w:rFonts w:ascii="Avenir Roman" w:hAnsi="Avenir Roman"/>
          <w:sz w:val="22"/>
          <w:szCs w:val="22"/>
        </w:rPr>
        <w:t xml:space="preserve">This is the basis </w:t>
      </w:r>
      <w:r w:rsidR="00CF17D4" w:rsidRPr="007957C5">
        <w:rPr>
          <w:rFonts w:ascii="Avenir Roman" w:hAnsi="Avenir Roman"/>
          <w:sz w:val="22"/>
          <w:szCs w:val="22"/>
        </w:rPr>
        <w:t>of</w:t>
      </w:r>
      <w:r w:rsidR="007A663F" w:rsidRPr="007957C5">
        <w:rPr>
          <w:rFonts w:ascii="Avenir Roman" w:hAnsi="Avenir Roman"/>
          <w:sz w:val="22"/>
          <w:szCs w:val="22"/>
        </w:rPr>
        <w:t xml:space="preserve"> the interpretative declaration</w:t>
      </w:r>
      <w:r w:rsidR="00F1141A" w:rsidRPr="007957C5">
        <w:rPr>
          <w:rStyle w:val="FootnoteReference"/>
          <w:rFonts w:ascii="Avenir Roman" w:hAnsi="Avenir Roman"/>
          <w:sz w:val="22"/>
          <w:szCs w:val="22"/>
        </w:rPr>
        <w:footnoteReference w:id="45"/>
      </w:r>
      <w:r w:rsidR="007A663F" w:rsidRPr="007957C5">
        <w:rPr>
          <w:rFonts w:ascii="Avenir Roman" w:hAnsi="Avenir Roman"/>
          <w:sz w:val="22"/>
          <w:szCs w:val="22"/>
        </w:rPr>
        <w:t xml:space="preserve"> </w:t>
      </w:r>
      <w:r w:rsidR="00CF17D4" w:rsidRPr="007957C5">
        <w:rPr>
          <w:rFonts w:ascii="Avenir Roman" w:hAnsi="Avenir Roman"/>
          <w:sz w:val="22"/>
          <w:szCs w:val="22"/>
        </w:rPr>
        <w:t xml:space="preserve">that Australia made at the time of ratification of the CRPD in 2008.  </w:t>
      </w:r>
      <w:r w:rsidR="00F1141A" w:rsidRPr="007957C5">
        <w:rPr>
          <w:rFonts w:ascii="Avenir Roman" w:hAnsi="Avenir Roman"/>
          <w:sz w:val="22"/>
          <w:szCs w:val="22"/>
        </w:rPr>
        <w:t xml:space="preserve">This </w:t>
      </w:r>
      <w:r w:rsidR="00C62AC3" w:rsidRPr="007957C5">
        <w:rPr>
          <w:rFonts w:ascii="Avenir Roman" w:hAnsi="Avenir Roman"/>
          <w:sz w:val="22"/>
          <w:szCs w:val="22"/>
        </w:rPr>
        <w:t xml:space="preserve">position has been maintained over the past 12 years, </w:t>
      </w:r>
      <w:r w:rsidR="00F1141A" w:rsidRPr="007957C5">
        <w:rPr>
          <w:rFonts w:ascii="Avenir Roman" w:hAnsi="Avenir Roman"/>
          <w:sz w:val="22"/>
          <w:szCs w:val="22"/>
        </w:rPr>
        <w:t xml:space="preserve">despite the fact that </w:t>
      </w:r>
      <w:r w:rsidR="00CF17D4" w:rsidRPr="007957C5">
        <w:rPr>
          <w:rFonts w:ascii="Avenir Roman" w:hAnsi="Avenir Roman"/>
          <w:sz w:val="22"/>
          <w:szCs w:val="22"/>
        </w:rPr>
        <w:t xml:space="preserve">there has been consistent jurisprudence from the CRPD Committee that formal and informal substitute-decision-making mechanisms </w:t>
      </w:r>
      <w:r w:rsidR="000A1C53" w:rsidRPr="007957C5">
        <w:rPr>
          <w:rFonts w:ascii="Avenir Roman" w:hAnsi="Avenir Roman"/>
          <w:sz w:val="22"/>
          <w:szCs w:val="22"/>
        </w:rPr>
        <w:t xml:space="preserve">are not compliant with the CRPD, and </w:t>
      </w:r>
      <w:r w:rsidR="0093659F" w:rsidRPr="007957C5">
        <w:rPr>
          <w:rFonts w:ascii="Avenir Roman" w:hAnsi="Avenir Roman"/>
          <w:sz w:val="22"/>
          <w:szCs w:val="22"/>
        </w:rPr>
        <w:t xml:space="preserve">that </w:t>
      </w:r>
      <w:r w:rsidR="000A1C53" w:rsidRPr="007957C5">
        <w:rPr>
          <w:rFonts w:ascii="Avenir Roman" w:hAnsi="Avenir Roman"/>
          <w:sz w:val="22"/>
          <w:szCs w:val="22"/>
        </w:rPr>
        <w:t>the</w:t>
      </w:r>
      <w:r w:rsidR="00C62AC3" w:rsidRPr="007957C5">
        <w:rPr>
          <w:rFonts w:ascii="Avenir Roman" w:hAnsi="Avenir Roman"/>
          <w:sz w:val="22"/>
          <w:szCs w:val="22"/>
        </w:rPr>
        <w:t>se mechanisms</w:t>
      </w:r>
      <w:r w:rsidR="000A1C53" w:rsidRPr="007957C5">
        <w:rPr>
          <w:rFonts w:ascii="Avenir Roman" w:hAnsi="Avenir Roman"/>
          <w:sz w:val="22"/>
          <w:szCs w:val="22"/>
        </w:rPr>
        <w:t xml:space="preserve"> must</w:t>
      </w:r>
      <w:r w:rsidR="00CF17D4" w:rsidRPr="007957C5">
        <w:rPr>
          <w:rFonts w:ascii="Avenir Roman" w:hAnsi="Avenir Roman"/>
          <w:sz w:val="22"/>
          <w:szCs w:val="22"/>
        </w:rPr>
        <w:t xml:space="preserve"> be </w:t>
      </w:r>
      <w:r w:rsidR="000A1C53" w:rsidRPr="007957C5">
        <w:rPr>
          <w:rFonts w:ascii="Avenir Roman" w:hAnsi="Avenir Roman"/>
          <w:sz w:val="22"/>
          <w:szCs w:val="22"/>
        </w:rPr>
        <w:t>replaced with</w:t>
      </w:r>
      <w:r w:rsidR="00CF17D4" w:rsidRPr="007957C5">
        <w:rPr>
          <w:rFonts w:ascii="Avenir Roman" w:hAnsi="Avenir Roman"/>
          <w:sz w:val="22"/>
          <w:szCs w:val="22"/>
        </w:rPr>
        <w:t xml:space="preserve"> </w:t>
      </w:r>
      <w:r w:rsidR="006C70C8" w:rsidRPr="007957C5">
        <w:rPr>
          <w:rFonts w:ascii="Avenir Roman" w:hAnsi="Avenir Roman"/>
          <w:sz w:val="22"/>
          <w:szCs w:val="22"/>
        </w:rPr>
        <w:t xml:space="preserve">fully </w:t>
      </w:r>
      <w:r w:rsidR="00CF17D4" w:rsidRPr="007957C5">
        <w:rPr>
          <w:rFonts w:ascii="Avenir Roman" w:hAnsi="Avenir Roman"/>
          <w:sz w:val="22"/>
          <w:szCs w:val="22"/>
        </w:rPr>
        <w:t>supported-decision making mechanisms.</w:t>
      </w:r>
      <w:r w:rsidR="00F1141A" w:rsidRPr="007957C5">
        <w:rPr>
          <w:rStyle w:val="FootnoteReference"/>
          <w:rFonts w:ascii="Avenir Roman" w:hAnsi="Avenir Roman"/>
          <w:sz w:val="22"/>
          <w:szCs w:val="22"/>
        </w:rPr>
        <w:footnoteReference w:id="46"/>
      </w:r>
      <w:r w:rsidR="00CF17D4" w:rsidRPr="007957C5">
        <w:rPr>
          <w:rFonts w:ascii="Avenir Roman" w:hAnsi="Avenir Roman"/>
          <w:sz w:val="22"/>
          <w:szCs w:val="22"/>
        </w:rPr>
        <w:t xml:space="preserve"> </w:t>
      </w:r>
    </w:p>
    <w:p w14:paraId="6D06E214" w14:textId="77777777" w:rsidR="00C62AC3" w:rsidRPr="007957C5" w:rsidRDefault="00C62AC3" w:rsidP="007957C5">
      <w:pPr>
        <w:pStyle w:val="ListParagraph"/>
        <w:spacing w:line="240" w:lineRule="auto"/>
        <w:jc w:val="left"/>
        <w:rPr>
          <w:rFonts w:ascii="Avenir Roman" w:hAnsi="Avenir Roman"/>
          <w:sz w:val="22"/>
          <w:szCs w:val="22"/>
        </w:rPr>
      </w:pPr>
    </w:p>
    <w:p w14:paraId="22D69486" w14:textId="450CA9A9" w:rsidR="00376048" w:rsidRPr="007957C5" w:rsidRDefault="0093659F" w:rsidP="00564172">
      <w:pPr>
        <w:pStyle w:val="ListParagraph"/>
        <w:numPr>
          <w:ilvl w:val="2"/>
          <w:numId w:val="22"/>
        </w:numPr>
        <w:spacing w:line="240" w:lineRule="auto"/>
        <w:ind w:left="1134"/>
        <w:jc w:val="left"/>
        <w:rPr>
          <w:rFonts w:ascii="Avenir Roman" w:hAnsi="Avenir Roman"/>
          <w:sz w:val="22"/>
          <w:szCs w:val="22"/>
        </w:rPr>
      </w:pPr>
      <w:r w:rsidRPr="007957C5">
        <w:rPr>
          <w:rFonts w:ascii="Avenir Roman" w:hAnsi="Avenir Roman"/>
          <w:sz w:val="22"/>
          <w:szCs w:val="22"/>
        </w:rPr>
        <w:t>Following its two reviews of Australia in 2013 and 2019, the CRPD Committee recommended the withdrawal of the interpretative declaration on article 12 and the replacement of substitute decision-making with supported decision-making.</w:t>
      </w:r>
      <w:r w:rsidRPr="007957C5">
        <w:rPr>
          <w:rStyle w:val="FootnoteReference"/>
          <w:rFonts w:ascii="Avenir Roman" w:hAnsi="Avenir Roman"/>
          <w:sz w:val="22"/>
          <w:szCs w:val="22"/>
        </w:rPr>
        <w:footnoteReference w:id="47"/>
      </w:r>
      <w:r w:rsidRPr="007957C5">
        <w:rPr>
          <w:rFonts w:ascii="Avenir Roman" w:hAnsi="Avenir Roman"/>
          <w:sz w:val="22"/>
          <w:szCs w:val="22"/>
        </w:rPr>
        <w:t xml:space="preserve"> </w:t>
      </w:r>
      <w:r w:rsidR="00B65BEA" w:rsidRPr="007957C5">
        <w:rPr>
          <w:rFonts w:ascii="Avenir Roman" w:hAnsi="Avenir Roman"/>
          <w:sz w:val="22"/>
          <w:szCs w:val="22"/>
        </w:rPr>
        <w:t>During its 2019 review of Australia , the</w:t>
      </w:r>
      <w:r w:rsidR="00D07F68" w:rsidRPr="007957C5">
        <w:rPr>
          <w:rFonts w:ascii="Avenir Roman" w:hAnsi="Avenir Roman"/>
          <w:sz w:val="22"/>
          <w:szCs w:val="22"/>
        </w:rPr>
        <w:t xml:space="preserve"> CRPD Committee noted that it “regretted the continued denial of decision-making capacity to persons with disabilities, which… affected all other areas of life and led to the ongoing practices of forced institutionalisation…, involuntary medical treatments including forced sterilisation and surgery…”.</w:t>
      </w:r>
      <w:r w:rsidR="00D07F68" w:rsidRPr="007957C5">
        <w:rPr>
          <w:rStyle w:val="FootnoteReference"/>
          <w:rFonts w:ascii="Avenir Roman" w:hAnsi="Avenir Roman"/>
          <w:sz w:val="22"/>
          <w:szCs w:val="22"/>
        </w:rPr>
        <w:footnoteReference w:id="48"/>
      </w:r>
      <w:r w:rsidR="00D07F68" w:rsidRPr="007957C5">
        <w:rPr>
          <w:rFonts w:ascii="Avenir Roman" w:hAnsi="Avenir Roman"/>
          <w:sz w:val="22"/>
          <w:szCs w:val="22"/>
        </w:rPr>
        <w:t xml:space="preserve"> </w:t>
      </w:r>
    </w:p>
    <w:p w14:paraId="1D0CA542" w14:textId="77777777" w:rsidR="00376048" w:rsidRPr="007957C5" w:rsidRDefault="00376048" w:rsidP="007957C5">
      <w:pPr>
        <w:pStyle w:val="ListParagraph"/>
        <w:spacing w:line="240" w:lineRule="auto"/>
        <w:jc w:val="left"/>
        <w:rPr>
          <w:rFonts w:ascii="Avenir Roman" w:hAnsi="Avenir Roman"/>
          <w:sz w:val="22"/>
          <w:szCs w:val="22"/>
        </w:rPr>
      </w:pPr>
    </w:p>
    <w:p w14:paraId="6F8E5132" w14:textId="4B2C6463" w:rsidR="001914C0" w:rsidRPr="007957C5" w:rsidRDefault="00376048" w:rsidP="00564172">
      <w:pPr>
        <w:pStyle w:val="ListParagraph"/>
        <w:numPr>
          <w:ilvl w:val="2"/>
          <w:numId w:val="22"/>
        </w:numPr>
        <w:spacing w:line="240" w:lineRule="auto"/>
        <w:ind w:left="1134"/>
        <w:jc w:val="left"/>
        <w:rPr>
          <w:rFonts w:ascii="Avenir Roman" w:hAnsi="Avenir Roman"/>
          <w:sz w:val="22"/>
          <w:szCs w:val="22"/>
        </w:rPr>
      </w:pPr>
      <w:r w:rsidRPr="007957C5">
        <w:rPr>
          <w:rFonts w:ascii="Avenir Roman" w:hAnsi="Avenir Roman"/>
          <w:sz w:val="22"/>
          <w:szCs w:val="22"/>
        </w:rPr>
        <w:t xml:space="preserve">In 2014, </w:t>
      </w:r>
      <w:r w:rsidR="00B86D97" w:rsidRPr="007957C5">
        <w:rPr>
          <w:rFonts w:ascii="Avenir Roman" w:hAnsi="Avenir Roman"/>
          <w:sz w:val="22"/>
          <w:szCs w:val="22"/>
        </w:rPr>
        <w:t xml:space="preserve">the </w:t>
      </w:r>
      <w:r w:rsidRPr="007957C5">
        <w:rPr>
          <w:rFonts w:ascii="Avenir Roman" w:hAnsi="Avenir Roman"/>
          <w:sz w:val="22"/>
          <w:szCs w:val="22"/>
          <w:lang w:val="en-US"/>
        </w:rPr>
        <w:t>Australian Law Reform Commission (ALRC) provided its final report from its inquiry into barriers to equal recognition before the law and legal capacity for people with disability.</w:t>
      </w:r>
      <w:r w:rsidRPr="007957C5">
        <w:rPr>
          <w:rStyle w:val="FootnoteReference"/>
          <w:rFonts w:ascii="Avenir Roman" w:hAnsi="Avenir Roman"/>
          <w:sz w:val="22"/>
          <w:szCs w:val="22"/>
          <w:lang w:val="en-US"/>
        </w:rPr>
        <w:footnoteReference w:id="49"/>
      </w:r>
      <w:r w:rsidRPr="007957C5">
        <w:rPr>
          <w:rFonts w:ascii="Avenir Roman" w:eastAsia="Times New Roman" w:hAnsi="Avenir Roman"/>
          <w:sz w:val="22"/>
          <w:szCs w:val="22"/>
          <w:lang w:val="en-US"/>
        </w:rPr>
        <w:t xml:space="preserve">  </w:t>
      </w:r>
      <w:r w:rsidR="00353614" w:rsidRPr="007957C5">
        <w:rPr>
          <w:rFonts w:ascii="Avenir Roman" w:eastAsia="Times New Roman" w:hAnsi="Avenir Roman"/>
          <w:sz w:val="22"/>
          <w:szCs w:val="22"/>
          <w:lang w:val="en-US"/>
        </w:rPr>
        <w:t xml:space="preserve">It made 55 </w:t>
      </w:r>
      <w:r w:rsidRPr="007957C5">
        <w:rPr>
          <w:rFonts w:ascii="Avenir Roman" w:eastAsia="Times New Roman" w:hAnsi="Avenir Roman"/>
          <w:sz w:val="22"/>
          <w:szCs w:val="22"/>
          <w:lang w:val="en-US"/>
        </w:rPr>
        <w:t>recommendations for reform</w:t>
      </w:r>
      <w:r w:rsidR="00353614" w:rsidRPr="007957C5">
        <w:rPr>
          <w:rFonts w:ascii="Avenir Roman" w:eastAsia="Times New Roman" w:hAnsi="Avenir Roman"/>
          <w:sz w:val="22"/>
          <w:szCs w:val="22"/>
          <w:lang w:val="en-US"/>
        </w:rPr>
        <w:t xml:space="preserve">, with its key recommendation focused on the establishment of </w:t>
      </w:r>
      <w:r w:rsidRPr="007957C5">
        <w:rPr>
          <w:rFonts w:ascii="Avenir Roman" w:eastAsia="Times New Roman" w:hAnsi="Avenir Roman"/>
          <w:sz w:val="22"/>
          <w:szCs w:val="22"/>
          <w:lang w:val="en-US"/>
        </w:rPr>
        <w:t xml:space="preserve">National Decision-Making Principles and Guidelines to guide reform of Commonwealth, State and Territory laws </w:t>
      </w:r>
      <w:r w:rsidRPr="007957C5">
        <w:rPr>
          <w:rFonts w:ascii="Avenir Roman" w:eastAsia="Times New Roman" w:hAnsi="Avenir Roman"/>
          <w:sz w:val="22"/>
          <w:szCs w:val="22"/>
          <w:lang w:val="en-US"/>
        </w:rPr>
        <w:lastRenderedPageBreak/>
        <w:t>and legal frameworks.</w:t>
      </w:r>
      <w:r w:rsidR="00353614" w:rsidRPr="007957C5">
        <w:rPr>
          <w:rStyle w:val="FootnoteReference"/>
          <w:rFonts w:ascii="Avenir Roman" w:eastAsia="Times New Roman" w:hAnsi="Avenir Roman"/>
          <w:sz w:val="22"/>
          <w:szCs w:val="22"/>
          <w:lang w:val="en-US"/>
        </w:rPr>
        <w:footnoteReference w:id="50"/>
      </w:r>
      <w:r w:rsidRPr="007957C5">
        <w:rPr>
          <w:rFonts w:ascii="Avenir Roman" w:eastAsia="Times New Roman" w:hAnsi="Avenir Roman"/>
          <w:sz w:val="22"/>
          <w:szCs w:val="22"/>
          <w:lang w:val="en-US"/>
        </w:rPr>
        <w:t xml:space="preserve"> </w:t>
      </w:r>
      <w:r w:rsidR="0039023B" w:rsidRPr="007957C5">
        <w:rPr>
          <w:rFonts w:ascii="Avenir Roman" w:eastAsia="Times New Roman" w:hAnsi="Avenir Roman"/>
          <w:sz w:val="22"/>
          <w:szCs w:val="22"/>
          <w:lang w:val="en-US"/>
        </w:rPr>
        <w:t xml:space="preserve">Following its 2019 review, the CRPD Committee recommended that Australia implement a “nationally consistent supported decision-making framework” </w:t>
      </w:r>
      <w:r w:rsidR="00F64937" w:rsidRPr="007957C5">
        <w:rPr>
          <w:rFonts w:ascii="Avenir Roman" w:eastAsia="Times New Roman" w:hAnsi="Avenir Roman"/>
          <w:sz w:val="22"/>
          <w:szCs w:val="22"/>
          <w:lang w:val="en-US"/>
        </w:rPr>
        <w:t xml:space="preserve">as highlighted by the </w:t>
      </w:r>
      <w:r w:rsidR="0039023B" w:rsidRPr="007957C5">
        <w:rPr>
          <w:rFonts w:ascii="Avenir Roman" w:eastAsia="Times New Roman" w:hAnsi="Avenir Roman"/>
          <w:sz w:val="22"/>
          <w:szCs w:val="22"/>
          <w:lang w:val="en-US"/>
        </w:rPr>
        <w:t>ALRC</w:t>
      </w:r>
      <w:r w:rsidR="00F64937" w:rsidRPr="007957C5">
        <w:rPr>
          <w:rFonts w:ascii="Avenir Roman" w:eastAsia="Times New Roman" w:hAnsi="Avenir Roman"/>
          <w:sz w:val="22"/>
          <w:szCs w:val="22"/>
          <w:lang w:val="en-US"/>
        </w:rPr>
        <w:t>.</w:t>
      </w:r>
      <w:r w:rsidR="00F64937" w:rsidRPr="007957C5">
        <w:rPr>
          <w:rStyle w:val="FootnoteReference"/>
          <w:rFonts w:ascii="Avenir Roman" w:eastAsia="Times New Roman" w:hAnsi="Avenir Roman"/>
          <w:sz w:val="22"/>
          <w:szCs w:val="22"/>
          <w:lang w:val="en-US"/>
        </w:rPr>
        <w:footnoteReference w:id="51"/>
      </w:r>
      <w:r w:rsidR="00662211" w:rsidRPr="007957C5">
        <w:rPr>
          <w:rFonts w:ascii="Avenir Roman" w:eastAsia="Times New Roman" w:hAnsi="Avenir Roman"/>
          <w:sz w:val="22"/>
          <w:szCs w:val="22"/>
          <w:lang w:val="en-US"/>
        </w:rPr>
        <w:t xml:space="preserve">  The Australian Government has still not provided its response to th</w:t>
      </w:r>
      <w:r w:rsidR="00C62AC3" w:rsidRPr="007957C5">
        <w:rPr>
          <w:rFonts w:ascii="Avenir Roman" w:eastAsia="Times New Roman" w:hAnsi="Avenir Roman"/>
          <w:sz w:val="22"/>
          <w:szCs w:val="22"/>
          <w:lang w:val="en-US"/>
        </w:rPr>
        <w:t>e ALRC</w:t>
      </w:r>
      <w:r w:rsidR="00662211" w:rsidRPr="007957C5">
        <w:rPr>
          <w:rFonts w:ascii="Avenir Roman" w:eastAsia="Times New Roman" w:hAnsi="Avenir Roman"/>
          <w:sz w:val="22"/>
          <w:szCs w:val="22"/>
          <w:lang w:val="en-US"/>
        </w:rPr>
        <w:t xml:space="preserve"> Report</w:t>
      </w:r>
      <w:r w:rsidR="00C62AC3" w:rsidRPr="007957C5">
        <w:rPr>
          <w:rFonts w:ascii="Avenir Roman" w:eastAsia="Times New Roman" w:hAnsi="Avenir Roman"/>
          <w:sz w:val="22"/>
          <w:szCs w:val="22"/>
          <w:lang w:val="en-US"/>
        </w:rPr>
        <w:t xml:space="preserve"> or taken steps to implement the CRPD Committee recommendation</w:t>
      </w:r>
      <w:r w:rsidR="00662211" w:rsidRPr="007957C5">
        <w:rPr>
          <w:rFonts w:ascii="Avenir Roman" w:eastAsia="Times New Roman" w:hAnsi="Avenir Roman"/>
          <w:sz w:val="22"/>
          <w:szCs w:val="22"/>
          <w:lang w:val="en-US"/>
        </w:rPr>
        <w:t>.</w:t>
      </w:r>
    </w:p>
    <w:p w14:paraId="7D740093" w14:textId="77777777" w:rsidR="00150498" w:rsidRPr="007957C5" w:rsidRDefault="00150498" w:rsidP="007957C5">
      <w:pPr>
        <w:pStyle w:val="ListParagraph"/>
        <w:spacing w:line="240" w:lineRule="auto"/>
        <w:jc w:val="left"/>
        <w:rPr>
          <w:rFonts w:ascii="Avenir Roman" w:hAnsi="Avenir Roman"/>
          <w:sz w:val="22"/>
          <w:szCs w:val="22"/>
        </w:rPr>
      </w:pPr>
    </w:p>
    <w:p w14:paraId="2FAAA9B5" w14:textId="72B6CFC3" w:rsidR="00923DD9" w:rsidRPr="007957C5" w:rsidRDefault="00F55F44" w:rsidP="00564172">
      <w:pPr>
        <w:pStyle w:val="ListParagraph"/>
        <w:numPr>
          <w:ilvl w:val="2"/>
          <w:numId w:val="22"/>
        </w:numPr>
        <w:spacing w:line="240" w:lineRule="auto"/>
        <w:ind w:left="1134"/>
        <w:jc w:val="left"/>
        <w:rPr>
          <w:rFonts w:ascii="Avenir Roman" w:hAnsi="Avenir Roman"/>
          <w:sz w:val="22"/>
          <w:szCs w:val="22"/>
        </w:rPr>
      </w:pPr>
      <w:r w:rsidRPr="007957C5">
        <w:rPr>
          <w:rFonts w:ascii="Avenir Roman" w:hAnsi="Avenir Roman"/>
          <w:sz w:val="22"/>
          <w:szCs w:val="22"/>
        </w:rPr>
        <w:t xml:space="preserve">For people with disability to be able to make meaningful choices in their lives, including where to live and with whom to live, and </w:t>
      </w:r>
      <w:r w:rsidR="004974DE" w:rsidRPr="007957C5">
        <w:rPr>
          <w:rFonts w:ascii="Avenir Roman" w:hAnsi="Avenir Roman"/>
          <w:sz w:val="22"/>
          <w:szCs w:val="22"/>
        </w:rPr>
        <w:t xml:space="preserve">for the free development of the person, </w:t>
      </w:r>
      <w:r w:rsidRPr="007957C5">
        <w:rPr>
          <w:rFonts w:ascii="Avenir Roman" w:hAnsi="Avenir Roman"/>
          <w:sz w:val="22"/>
          <w:szCs w:val="22"/>
        </w:rPr>
        <w:t xml:space="preserve">Australia needs to meet its obligations under article 12 and replace substitute decision-making </w:t>
      </w:r>
      <w:r w:rsidR="00DC4427" w:rsidRPr="007957C5">
        <w:rPr>
          <w:rFonts w:ascii="Avenir Roman" w:hAnsi="Avenir Roman"/>
          <w:sz w:val="22"/>
          <w:szCs w:val="22"/>
        </w:rPr>
        <w:t xml:space="preserve">with supported decision-making that respects the rights, will and preferences of people with disability. </w:t>
      </w:r>
    </w:p>
    <w:p w14:paraId="7A3DAD3F" w14:textId="2778F098" w:rsidR="003A2891" w:rsidRPr="007957C5" w:rsidRDefault="001B78CC" w:rsidP="00564172">
      <w:pPr>
        <w:pStyle w:val="Heading3"/>
        <w:numPr>
          <w:ilvl w:val="1"/>
          <w:numId w:val="22"/>
        </w:numPr>
        <w:spacing w:after="120" w:line="240" w:lineRule="auto"/>
        <w:ind w:left="1134" w:hanging="709"/>
        <w:rPr>
          <w:rFonts w:ascii="Avenir Roman" w:hAnsi="Avenir Roman"/>
          <w:i/>
          <w:sz w:val="22"/>
          <w:szCs w:val="22"/>
        </w:rPr>
      </w:pPr>
      <w:bookmarkStart w:id="112" w:name="_Toc43919153"/>
      <w:r w:rsidRPr="007957C5">
        <w:rPr>
          <w:rFonts w:ascii="Avenir Roman" w:hAnsi="Avenir Roman"/>
          <w:i/>
          <w:sz w:val="22"/>
          <w:szCs w:val="22"/>
        </w:rPr>
        <w:t>Liberty and security</w:t>
      </w:r>
      <w:bookmarkEnd w:id="112"/>
    </w:p>
    <w:p w14:paraId="76F2CB6F" w14:textId="469CA353" w:rsidR="001B78CC" w:rsidRPr="007957C5" w:rsidRDefault="001B78CC"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The critical interrelationship between article 19 and article 14 </w:t>
      </w:r>
      <w:r w:rsidRPr="007957C5">
        <w:rPr>
          <w:rFonts w:ascii="Avenir Roman" w:hAnsi="Avenir Roman"/>
          <w:i/>
          <w:sz w:val="22"/>
          <w:szCs w:val="22"/>
        </w:rPr>
        <w:t>Liberty and security of person</w:t>
      </w:r>
      <w:r w:rsidRPr="007957C5">
        <w:rPr>
          <w:rFonts w:ascii="Avenir Roman" w:hAnsi="Avenir Roman"/>
          <w:sz w:val="22"/>
          <w:szCs w:val="22"/>
        </w:rPr>
        <w:t xml:space="preserve"> reinforces the guarantee in article 19 that people with disability are not obliged to live in particular living arrangements. Article 14 is derived from the foundational right to liberty and security of the person contained in the ICCPR.</w:t>
      </w:r>
      <w:r w:rsidRPr="007957C5">
        <w:rPr>
          <w:rStyle w:val="FootnoteReference"/>
          <w:rFonts w:ascii="Avenir Roman" w:hAnsi="Avenir Roman"/>
          <w:sz w:val="22"/>
          <w:szCs w:val="22"/>
        </w:rPr>
        <w:footnoteReference w:id="52"/>
      </w:r>
      <w:r w:rsidRPr="007957C5">
        <w:rPr>
          <w:rFonts w:ascii="Avenir Roman" w:hAnsi="Avenir Roman"/>
          <w:sz w:val="22"/>
          <w:szCs w:val="22"/>
        </w:rPr>
        <w:t xml:space="preserve"> Applied to persons with disability, article 14 stipulates that people with disability enjoy the right to liberty and security of the person on an equal basis with others, and that the existence of impairment shall in no case justify a deprivation of liberty. </w:t>
      </w:r>
    </w:p>
    <w:p w14:paraId="023290E1" w14:textId="77777777" w:rsidR="001B78CC" w:rsidRPr="007957C5" w:rsidRDefault="001B78CC" w:rsidP="007957C5">
      <w:pPr>
        <w:pStyle w:val="ListParagraph"/>
        <w:spacing w:line="240" w:lineRule="auto"/>
        <w:ind w:left="1134"/>
        <w:jc w:val="left"/>
        <w:rPr>
          <w:rFonts w:ascii="Avenir Roman" w:hAnsi="Avenir Roman"/>
          <w:sz w:val="22"/>
          <w:szCs w:val="22"/>
        </w:rPr>
      </w:pPr>
    </w:p>
    <w:p w14:paraId="653C1FF5" w14:textId="4556728C" w:rsidR="00557537" w:rsidRDefault="001B78CC" w:rsidP="00564172">
      <w:pPr>
        <w:pStyle w:val="ListParagraph"/>
        <w:numPr>
          <w:ilvl w:val="2"/>
          <w:numId w:val="22"/>
        </w:numPr>
        <w:spacing w:after="0" w:line="240" w:lineRule="auto"/>
        <w:ind w:left="1134" w:hanging="709"/>
        <w:contextualSpacing w:val="0"/>
        <w:jc w:val="left"/>
        <w:rPr>
          <w:rFonts w:ascii="Avenir Roman" w:hAnsi="Avenir Roman"/>
          <w:sz w:val="22"/>
          <w:szCs w:val="22"/>
        </w:rPr>
      </w:pPr>
      <w:r w:rsidRPr="007957C5">
        <w:rPr>
          <w:rFonts w:ascii="Avenir Roman" w:hAnsi="Avenir Roman"/>
          <w:sz w:val="22"/>
          <w:szCs w:val="22"/>
        </w:rPr>
        <w:t xml:space="preserve">In the context of disability, the right to liberty and security of the person not only encompasses, for example, </w:t>
      </w:r>
      <w:r w:rsidR="00222A99" w:rsidRPr="007957C5">
        <w:rPr>
          <w:rFonts w:ascii="Avenir Roman" w:hAnsi="Avenir Roman"/>
          <w:sz w:val="22"/>
          <w:szCs w:val="22"/>
        </w:rPr>
        <w:t xml:space="preserve">situations of </w:t>
      </w:r>
      <w:r w:rsidRPr="007957C5">
        <w:rPr>
          <w:rFonts w:ascii="Avenir Roman" w:hAnsi="Avenir Roman"/>
          <w:sz w:val="22"/>
          <w:szCs w:val="22"/>
        </w:rPr>
        <w:t>indefinite detention without conviction in prisons and involuntary detention in psychiatric facilities, but all situations where people with disability are detained or compelled to remain based on impairment.  In relation to living arrangements, people with disability are often compelled or obliged to live in circumstances amounting to detention by the way in which essential support services are tied to living arrangements. While no law may compel people with disability to live in these environments, there is rarely any other options</w:t>
      </w:r>
      <w:r w:rsidR="00633CDA" w:rsidRPr="007957C5">
        <w:rPr>
          <w:rFonts w:ascii="Avenir Roman" w:hAnsi="Avenir Roman"/>
          <w:sz w:val="22"/>
          <w:szCs w:val="22"/>
        </w:rPr>
        <w:t xml:space="preserve">. </w:t>
      </w:r>
      <w:r w:rsidR="00222A99" w:rsidRPr="007957C5">
        <w:rPr>
          <w:rFonts w:ascii="Avenir Roman" w:hAnsi="Avenir Roman"/>
          <w:sz w:val="22"/>
          <w:szCs w:val="22"/>
        </w:rPr>
        <w:t>In order to receive essential support, p</w:t>
      </w:r>
      <w:r w:rsidR="00633CDA" w:rsidRPr="007957C5">
        <w:rPr>
          <w:rFonts w:ascii="Avenir Roman" w:hAnsi="Avenir Roman"/>
          <w:sz w:val="22"/>
          <w:szCs w:val="22"/>
        </w:rPr>
        <w:t xml:space="preserve">eople with disability are </w:t>
      </w:r>
      <w:r w:rsidR="00222A99" w:rsidRPr="007957C5">
        <w:rPr>
          <w:rFonts w:ascii="Avenir Roman" w:hAnsi="Avenir Roman"/>
          <w:sz w:val="22"/>
          <w:szCs w:val="22"/>
        </w:rPr>
        <w:t>compelled</w:t>
      </w:r>
      <w:r w:rsidR="00633CDA" w:rsidRPr="007957C5">
        <w:rPr>
          <w:rFonts w:ascii="Avenir Roman" w:hAnsi="Avenir Roman"/>
          <w:sz w:val="22"/>
          <w:szCs w:val="22"/>
        </w:rPr>
        <w:t xml:space="preserve"> to remain in the family home or </w:t>
      </w:r>
      <w:r w:rsidR="00222A99" w:rsidRPr="007957C5">
        <w:rPr>
          <w:rFonts w:ascii="Avenir Roman" w:hAnsi="Avenir Roman"/>
          <w:sz w:val="22"/>
          <w:szCs w:val="22"/>
        </w:rPr>
        <w:t xml:space="preserve">to </w:t>
      </w:r>
      <w:r w:rsidR="00633CDA" w:rsidRPr="007957C5">
        <w:rPr>
          <w:rFonts w:ascii="Avenir Roman" w:hAnsi="Avenir Roman"/>
          <w:sz w:val="22"/>
          <w:szCs w:val="22"/>
        </w:rPr>
        <w:t xml:space="preserve">live </w:t>
      </w:r>
      <w:r w:rsidR="00F144E4" w:rsidRPr="007957C5">
        <w:rPr>
          <w:rFonts w:ascii="Avenir Roman" w:hAnsi="Avenir Roman"/>
          <w:sz w:val="22"/>
          <w:szCs w:val="22"/>
        </w:rPr>
        <w:t xml:space="preserve">in </w:t>
      </w:r>
      <w:r w:rsidR="00557537" w:rsidRPr="007957C5">
        <w:rPr>
          <w:rFonts w:ascii="Avenir Roman" w:hAnsi="Avenir Roman"/>
          <w:sz w:val="22"/>
          <w:szCs w:val="22"/>
        </w:rPr>
        <w:t>disability supported accommodation arrangements, including large-scale institutions</w:t>
      </w:r>
      <w:r w:rsidR="00714090" w:rsidRPr="007957C5">
        <w:rPr>
          <w:rFonts w:ascii="Avenir Roman" w:hAnsi="Avenir Roman"/>
          <w:sz w:val="22"/>
          <w:szCs w:val="22"/>
        </w:rPr>
        <w:t xml:space="preserve">, </w:t>
      </w:r>
      <w:r w:rsidR="00557537" w:rsidRPr="007957C5">
        <w:rPr>
          <w:rFonts w:ascii="Avenir Roman" w:hAnsi="Avenir Roman"/>
          <w:sz w:val="22"/>
          <w:szCs w:val="22"/>
        </w:rPr>
        <w:t xml:space="preserve">group homes, </w:t>
      </w:r>
      <w:r w:rsidR="00D64EE0" w:rsidRPr="007957C5">
        <w:rPr>
          <w:rFonts w:ascii="Avenir Roman" w:hAnsi="Avenir Roman"/>
          <w:sz w:val="22"/>
          <w:szCs w:val="22"/>
        </w:rPr>
        <w:t>and</w:t>
      </w:r>
      <w:r w:rsidR="00557537" w:rsidRPr="007957C5">
        <w:rPr>
          <w:rFonts w:ascii="Avenir Roman" w:hAnsi="Avenir Roman"/>
          <w:sz w:val="22"/>
          <w:szCs w:val="22"/>
        </w:rPr>
        <w:t xml:space="preserve"> other facilities, such as aged care, boarding or rooming houses and psychiatric facilities.  </w:t>
      </w:r>
    </w:p>
    <w:p w14:paraId="207544B2" w14:textId="77777777" w:rsidR="007957C5" w:rsidRPr="007957C5" w:rsidRDefault="007957C5" w:rsidP="007957C5">
      <w:pPr>
        <w:spacing w:after="0" w:line="240" w:lineRule="auto"/>
        <w:jc w:val="left"/>
        <w:rPr>
          <w:rFonts w:ascii="Avenir Roman" w:hAnsi="Avenir Roman"/>
          <w:sz w:val="22"/>
          <w:szCs w:val="22"/>
        </w:rPr>
      </w:pPr>
    </w:p>
    <w:p w14:paraId="752661B7" w14:textId="3F415A8C" w:rsidR="001B78CC" w:rsidRPr="007957C5" w:rsidRDefault="001B78CC" w:rsidP="00564172">
      <w:pPr>
        <w:pStyle w:val="ListParagraph"/>
        <w:numPr>
          <w:ilvl w:val="2"/>
          <w:numId w:val="22"/>
        </w:numPr>
        <w:spacing w:after="120" w:line="240" w:lineRule="auto"/>
        <w:ind w:left="1134" w:hanging="709"/>
        <w:contextualSpacing w:val="0"/>
        <w:jc w:val="left"/>
        <w:rPr>
          <w:rFonts w:ascii="Avenir Roman" w:hAnsi="Avenir Roman"/>
          <w:sz w:val="22"/>
          <w:szCs w:val="22"/>
        </w:rPr>
      </w:pPr>
      <w:r w:rsidRPr="007957C5">
        <w:rPr>
          <w:rFonts w:ascii="Avenir Roman" w:hAnsi="Avenir Roman"/>
          <w:sz w:val="22"/>
          <w:szCs w:val="22"/>
        </w:rPr>
        <w:t>People with disability have limited to no alternatives but to live in these arrangements if they are to have access to essential support services.</w:t>
      </w:r>
      <w:r w:rsidRPr="007957C5">
        <w:rPr>
          <w:rStyle w:val="FootnoteReference"/>
          <w:rFonts w:ascii="Avenir Roman" w:hAnsi="Avenir Roman"/>
          <w:sz w:val="22"/>
          <w:szCs w:val="22"/>
          <w:lang w:val="en-AU"/>
        </w:rPr>
        <w:footnoteReference w:id="53"/>
      </w:r>
      <w:r w:rsidRPr="007957C5">
        <w:rPr>
          <w:rFonts w:ascii="Avenir Roman" w:hAnsi="Avenir Roman"/>
          <w:sz w:val="22"/>
          <w:szCs w:val="22"/>
          <w:lang w:val="en-AU"/>
        </w:rPr>
        <w:t xml:space="preserve"> This amounts to involuntary and indefinite detention, which manifests through, for example:</w:t>
      </w:r>
    </w:p>
    <w:p w14:paraId="7BAA1A34" w14:textId="2897466B" w:rsidR="0009394D" w:rsidRDefault="001B78CC" w:rsidP="007957C5">
      <w:pPr>
        <w:spacing w:after="0" w:line="240" w:lineRule="auto"/>
        <w:ind w:left="1418" w:right="420"/>
        <w:jc w:val="left"/>
        <w:rPr>
          <w:rFonts w:ascii="Avenir Roman" w:hAnsi="Avenir Roman"/>
          <w:sz w:val="22"/>
          <w:szCs w:val="22"/>
        </w:rPr>
      </w:pPr>
      <w:r w:rsidRPr="007957C5">
        <w:rPr>
          <w:rFonts w:ascii="Avenir Roman" w:hAnsi="Avenir Roman"/>
          <w:sz w:val="22"/>
          <w:szCs w:val="22"/>
        </w:rPr>
        <w:t xml:space="preserve">“the inability of the person to choose an alternative place to live (which would provide the services essential for survival and well-being), the inability to choose with whom they will live, and the inevitable suppression of personal autonomy to externally imposed rules (such as meal times, meal composition, </w:t>
      </w:r>
      <w:r w:rsidRPr="007957C5">
        <w:rPr>
          <w:rFonts w:ascii="Avenir Roman" w:hAnsi="Avenir Roman"/>
          <w:sz w:val="22"/>
          <w:szCs w:val="22"/>
        </w:rPr>
        <w:lastRenderedPageBreak/>
        <w:t>sleeping times, and personal care arrangements).  Typically, such facilities also restrict, or entirely prevent, the person from leaving the facility, sometimes by overt means, such as by locking ward or unit doors, and sometimes by less obvious means, such as by not teaching independent living skills, or by failing to provide support to a person to leave the environment when they wish to. Being required to ‘visit’ the community in the company of others at times and places facility managers and staff choose is also an example of the involuntariness of such detention.”</w:t>
      </w:r>
      <w:r w:rsidRPr="007957C5">
        <w:rPr>
          <w:rStyle w:val="FootnoteReference"/>
          <w:rFonts w:ascii="Avenir Roman" w:hAnsi="Avenir Roman"/>
          <w:sz w:val="22"/>
          <w:szCs w:val="22"/>
        </w:rPr>
        <w:footnoteReference w:id="54"/>
      </w:r>
    </w:p>
    <w:p w14:paraId="4E7544F2" w14:textId="77777777" w:rsidR="007957C5" w:rsidRPr="007957C5" w:rsidRDefault="007957C5" w:rsidP="007957C5">
      <w:pPr>
        <w:spacing w:after="0" w:line="240" w:lineRule="auto"/>
        <w:ind w:left="1418" w:right="420"/>
        <w:jc w:val="left"/>
        <w:rPr>
          <w:rFonts w:ascii="Avenir Roman" w:hAnsi="Avenir Roman"/>
          <w:sz w:val="22"/>
          <w:szCs w:val="22"/>
        </w:rPr>
      </w:pPr>
    </w:p>
    <w:p w14:paraId="4DCE0683" w14:textId="0EDEE8E4" w:rsidR="00EE4A01" w:rsidRPr="007957C5" w:rsidRDefault="000E27EB" w:rsidP="00564172">
      <w:pPr>
        <w:pStyle w:val="ListParagraph"/>
        <w:numPr>
          <w:ilvl w:val="2"/>
          <w:numId w:val="22"/>
        </w:numPr>
        <w:spacing w:after="120" w:line="240" w:lineRule="auto"/>
        <w:ind w:left="1134" w:hanging="709"/>
        <w:contextualSpacing w:val="0"/>
        <w:jc w:val="left"/>
        <w:rPr>
          <w:rFonts w:ascii="Avenir Roman" w:hAnsi="Avenir Roman"/>
          <w:sz w:val="22"/>
          <w:szCs w:val="22"/>
        </w:rPr>
      </w:pPr>
      <w:r w:rsidRPr="007957C5">
        <w:rPr>
          <w:rFonts w:ascii="Avenir Roman" w:hAnsi="Avenir Roman"/>
          <w:sz w:val="22"/>
          <w:szCs w:val="22"/>
        </w:rPr>
        <w:t xml:space="preserve">Witnesses during the Public Hearing </w:t>
      </w:r>
      <w:r w:rsidR="006C4E74" w:rsidRPr="007957C5">
        <w:rPr>
          <w:rFonts w:ascii="Avenir Roman" w:hAnsi="Avenir Roman"/>
          <w:sz w:val="22"/>
          <w:szCs w:val="22"/>
        </w:rPr>
        <w:t xml:space="preserve">on Homes and Living </w:t>
      </w:r>
      <w:r w:rsidR="00AA1BAA" w:rsidRPr="007957C5">
        <w:rPr>
          <w:rFonts w:ascii="Avenir Roman" w:hAnsi="Avenir Roman"/>
          <w:sz w:val="22"/>
          <w:szCs w:val="22"/>
        </w:rPr>
        <w:t xml:space="preserve">(Public Hearing) </w:t>
      </w:r>
      <w:r w:rsidRPr="007957C5">
        <w:rPr>
          <w:rFonts w:ascii="Avenir Roman" w:hAnsi="Avenir Roman"/>
          <w:sz w:val="22"/>
          <w:szCs w:val="22"/>
        </w:rPr>
        <w:t>provided evidence</w:t>
      </w:r>
      <w:r w:rsidR="006C4E74" w:rsidRPr="007957C5">
        <w:rPr>
          <w:rFonts w:ascii="Avenir Roman" w:hAnsi="Avenir Roman"/>
          <w:sz w:val="22"/>
          <w:szCs w:val="22"/>
        </w:rPr>
        <w:t xml:space="preserve"> about the lack of</w:t>
      </w:r>
      <w:r w:rsidR="00DD5EB5" w:rsidRPr="007957C5">
        <w:rPr>
          <w:rFonts w:ascii="Avenir Roman" w:hAnsi="Avenir Roman"/>
          <w:sz w:val="22"/>
          <w:szCs w:val="22"/>
        </w:rPr>
        <w:t xml:space="preserve"> </w:t>
      </w:r>
      <w:r w:rsidR="006C4E74" w:rsidRPr="007957C5">
        <w:rPr>
          <w:rFonts w:ascii="Avenir Roman" w:hAnsi="Avenir Roman"/>
          <w:sz w:val="22"/>
          <w:szCs w:val="22"/>
        </w:rPr>
        <w:t xml:space="preserve">alternative housing options </w:t>
      </w:r>
      <w:r w:rsidR="00DD5EB5" w:rsidRPr="007957C5">
        <w:rPr>
          <w:rFonts w:ascii="Avenir Roman" w:hAnsi="Avenir Roman"/>
          <w:sz w:val="22"/>
          <w:szCs w:val="22"/>
        </w:rPr>
        <w:t xml:space="preserve">other than </w:t>
      </w:r>
      <w:r w:rsidR="006C4E74" w:rsidRPr="007957C5">
        <w:rPr>
          <w:rFonts w:ascii="Avenir Roman" w:hAnsi="Avenir Roman"/>
          <w:sz w:val="22"/>
          <w:szCs w:val="22"/>
        </w:rPr>
        <w:t xml:space="preserve">group homes, and for people who want </w:t>
      </w:r>
      <w:r w:rsidR="005D0DFE" w:rsidRPr="007957C5">
        <w:rPr>
          <w:rFonts w:ascii="Avenir Roman" w:hAnsi="Avenir Roman"/>
          <w:sz w:val="22"/>
          <w:szCs w:val="22"/>
        </w:rPr>
        <w:t xml:space="preserve">or need to </w:t>
      </w:r>
      <w:r w:rsidR="006C4E74" w:rsidRPr="007957C5">
        <w:rPr>
          <w:rFonts w:ascii="Avenir Roman" w:hAnsi="Avenir Roman"/>
          <w:sz w:val="22"/>
          <w:szCs w:val="22"/>
        </w:rPr>
        <w:t>move, “it’s a revolving door of moving people around” from one group home to another.</w:t>
      </w:r>
      <w:r w:rsidR="009D6B01" w:rsidRPr="007957C5">
        <w:rPr>
          <w:rStyle w:val="FootnoteReference"/>
          <w:rFonts w:ascii="Avenir Roman" w:hAnsi="Avenir Roman"/>
          <w:sz w:val="22"/>
          <w:szCs w:val="22"/>
        </w:rPr>
        <w:footnoteReference w:id="55"/>
      </w:r>
      <w:r w:rsidR="009D6B01" w:rsidRPr="007957C5">
        <w:rPr>
          <w:rFonts w:ascii="Avenir Roman" w:hAnsi="Avenir Roman"/>
          <w:sz w:val="22"/>
          <w:szCs w:val="22"/>
        </w:rPr>
        <w:t xml:space="preserve"> </w:t>
      </w:r>
      <w:r w:rsidR="00EE4A01" w:rsidRPr="007957C5">
        <w:rPr>
          <w:rFonts w:ascii="Avenir Roman" w:hAnsi="Avenir Roman"/>
          <w:sz w:val="22"/>
          <w:szCs w:val="22"/>
        </w:rPr>
        <w:t xml:space="preserve">People with disability are required to fit </w:t>
      </w:r>
      <w:r w:rsidR="007C185E" w:rsidRPr="007957C5">
        <w:rPr>
          <w:rFonts w:ascii="Avenir Roman" w:hAnsi="Avenir Roman"/>
          <w:sz w:val="22"/>
          <w:szCs w:val="22"/>
        </w:rPr>
        <w:t xml:space="preserve">into </w:t>
      </w:r>
      <w:r w:rsidR="00DF53C9" w:rsidRPr="007957C5">
        <w:rPr>
          <w:rFonts w:ascii="Avenir Roman" w:hAnsi="Avenir Roman"/>
          <w:sz w:val="22"/>
          <w:szCs w:val="22"/>
        </w:rPr>
        <w:t>accommodation</w:t>
      </w:r>
      <w:r w:rsidR="007C185E" w:rsidRPr="007957C5">
        <w:rPr>
          <w:rFonts w:ascii="Avenir Roman" w:hAnsi="Avenir Roman"/>
          <w:sz w:val="22"/>
          <w:szCs w:val="22"/>
        </w:rPr>
        <w:t xml:space="preserve"> models, </w:t>
      </w:r>
      <w:r w:rsidR="00EE4A01" w:rsidRPr="007957C5">
        <w:rPr>
          <w:rFonts w:ascii="Avenir Roman" w:hAnsi="Avenir Roman"/>
          <w:sz w:val="22"/>
          <w:szCs w:val="22"/>
        </w:rPr>
        <w:t xml:space="preserve">rather than having options to make genuine choices about where to live on an equal basis with others: </w:t>
      </w:r>
    </w:p>
    <w:p w14:paraId="33B08D28" w14:textId="3B8FD1B9" w:rsidR="00EE4A01" w:rsidRPr="007957C5" w:rsidRDefault="00EE4A01" w:rsidP="007957C5">
      <w:pPr>
        <w:pStyle w:val="ListParagraph"/>
        <w:spacing w:after="0" w:line="240" w:lineRule="auto"/>
        <w:ind w:left="1418"/>
        <w:contextualSpacing w:val="0"/>
        <w:jc w:val="left"/>
        <w:rPr>
          <w:rFonts w:ascii="Avenir Roman" w:hAnsi="Avenir Roman"/>
          <w:sz w:val="22"/>
          <w:szCs w:val="22"/>
        </w:rPr>
      </w:pPr>
      <w:r w:rsidRPr="007957C5">
        <w:rPr>
          <w:rFonts w:ascii="Avenir Roman" w:hAnsi="Avenir Roman"/>
          <w:sz w:val="22"/>
          <w:szCs w:val="22"/>
        </w:rPr>
        <w:t>“</w:t>
      </w:r>
      <w:r w:rsidR="00CC2EDB" w:rsidRPr="007957C5">
        <w:rPr>
          <w:rFonts w:ascii="Avenir Roman" w:hAnsi="Avenir Roman" w:cs="TimesNewRomanPSMT"/>
          <w:sz w:val="22"/>
          <w:szCs w:val="22"/>
        </w:rPr>
        <w:t xml:space="preserve">It’s not about fitting into a model that only exists. It’s about asking that person themselves: how do they want to live, where, and who do you want to provide the support, and that way we will be a lot closer to being included in the community. </w:t>
      </w:r>
      <w:r w:rsidRPr="007957C5">
        <w:rPr>
          <w:rFonts w:ascii="Avenir Roman" w:hAnsi="Avenir Roman"/>
          <w:sz w:val="22"/>
          <w:szCs w:val="22"/>
        </w:rPr>
        <w:t>We just want what everyone else wants. We want an education. We want jobs. We want friends. We want relationships. It’s not that special. But we can’t do that if we’re forced to live where we don’t want to live</w:t>
      </w:r>
      <w:r w:rsidR="00E014D1" w:rsidRPr="007957C5">
        <w:rPr>
          <w:rFonts w:ascii="Avenir Roman" w:hAnsi="Avenir Roman"/>
          <w:sz w:val="22"/>
          <w:szCs w:val="22"/>
        </w:rPr>
        <w:t>.”</w:t>
      </w:r>
      <w:r w:rsidR="00CC2EDB" w:rsidRPr="007957C5">
        <w:rPr>
          <w:rStyle w:val="FootnoteReference"/>
          <w:rFonts w:ascii="Avenir Roman" w:hAnsi="Avenir Roman"/>
          <w:sz w:val="22"/>
          <w:szCs w:val="22"/>
        </w:rPr>
        <w:footnoteReference w:id="56"/>
      </w:r>
    </w:p>
    <w:p w14:paraId="13D7231E" w14:textId="77777777" w:rsidR="00EE4A01" w:rsidRPr="007957C5" w:rsidRDefault="00EE4A01" w:rsidP="007957C5">
      <w:pPr>
        <w:pStyle w:val="ListParagraph"/>
        <w:spacing w:after="0" w:line="240" w:lineRule="auto"/>
        <w:ind w:left="1440"/>
        <w:contextualSpacing w:val="0"/>
        <w:jc w:val="left"/>
        <w:rPr>
          <w:rFonts w:ascii="Avenir Roman" w:hAnsi="Avenir Roman"/>
          <w:sz w:val="22"/>
          <w:szCs w:val="22"/>
        </w:rPr>
      </w:pPr>
    </w:p>
    <w:p w14:paraId="3F0DEF8A" w14:textId="0236256B" w:rsidR="00A31690" w:rsidRPr="007957C5" w:rsidRDefault="00636955" w:rsidP="00564172">
      <w:pPr>
        <w:pStyle w:val="ListParagraph"/>
        <w:numPr>
          <w:ilvl w:val="2"/>
          <w:numId w:val="22"/>
        </w:numPr>
        <w:spacing w:after="120" w:line="240" w:lineRule="auto"/>
        <w:ind w:left="1134" w:hanging="709"/>
        <w:contextualSpacing w:val="0"/>
        <w:jc w:val="left"/>
        <w:rPr>
          <w:rFonts w:ascii="Avenir Roman" w:hAnsi="Avenir Roman"/>
          <w:sz w:val="22"/>
          <w:szCs w:val="22"/>
        </w:rPr>
      </w:pPr>
      <w:r w:rsidRPr="007957C5">
        <w:rPr>
          <w:rFonts w:ascii="Avenir Roman" w:hAnsi="Avenir Roman"/>
          <w:sz w:val="22"/>
          <w:szCs w:val="22"/>
        </w:rPr>
        <w:t xml:space="preserve">The </w:t>
      </w:r>
      <w:r w:rsidR="0032547C" w:rsidRPr="007957C5">
        <w:rPr>
          <w:rFonts w:ascii="Avenir Roman" w:hAnsi="Avenir Roman"/>
          <w:sz w:val="22"/>
          <w:szCs w:val="22"/>
        </w:rPr>
        <w:t xml:space="preserve">NDIS aims </w:t>
      </w:r>
      <w:r w:rsidRPr="007957C5">
        <w:rPr>
          <w:rFonts w:ascii="Avenir Roman" w:hAnsi="Avenir Roman"/>
          <w:sz w:val="22"/>
          <w:szCs w:val="22"/>
        </w:rPr>
        <w:t xml:space="preserve">for </w:t>
      </w:r>
      <w:r w:rsidR="00497E4A" w:rsidRPr="007957C5">
        <w:rPr>
          <w:rFonts w:ascii="Avenir Roman" w:hAnsi="Avenir Roman"/>
          <w:sz w:val="22"/>
          <w:szCs w:val="22"/>
        </w:rPr>
        <w:t xml:space="preserve">NDIS </w:t>
      </w:r>
      <w:r w:rsidRPr="007957C5">
        <w:rPr>
          <w:rFonts w:ascii="Avenir Roman" w:hAnsi="Avenir Roman"/>
          <w:sz w:val="22"/>
          <w:szCs w:val="22"/>
        </w:rPr>
        <w:t>participant</w:t>
      </w:r>
      <w:r w:rsidR="00497E4A" w:rsidRPr="007957C5">
        <w:rPr>
          <w:rFonts w:ascii="Avenir Roman" w:hAnsi="Avenir Roman"/>
          <w:sz w:val="22"/>
          <w:szCs w:val="22"/>
        </w:rPr>
        <w:t>s</w:t>
      </w:r>
      <w:r w:rsidRPr="007957C5">
        <w:rPr>
          <w:rFonts w:ascii="Avenir Roman" w:hAnsi="Avenir Roman"/>
          <w:sz w:val="22"/>
          <w:szCs w:val="22"/>
        </w:rPr>
        <w:t xml:space="preserve"> to have choice and control over their lives, including in relation to their living arrangements.  </w:t>
      </w:r>
      <w:r w:rsidR="00497E4A" w:rsidRPr="007957C5">
        <w:rPr>
          <w:rFonts w:ascii="Avenir Roman" w:hAnsi="Avenir Roman"/>
          <w:sz w:val="22"/>
          <w:szCs w:val="22"/>
        </w:rPr>
        <w:t xml:space="preserve">Under the NDIS, Specialist Disability Accommodation (SDA) </w:t>
      </w:r>
      <w:r w:rsidR="007F173B" w:rsidRPr="007957C5">
        <w:rPr>
          <w:rFonts w:ascii="Avenir Roman" w:hAnsi="Avenir Roman"/>
          <w:sz w:val="22"/>
          <w:szCs w:val="22"/>
        </w:rPr>
        <w:t xml:space="preserve">provides </w:t>
      </w:r>
      <w:r w:rsidR="004D662B" w:rsidRPr="007957C5">
        <w:rPr>
          <w:rFonts w:ascii="Avenir Roman" w:hAnsi="Avenir Roman"/>
          <w:sz w:val="22"/>
          <w:szCs w:val="22"/>
        </w:rPr>
        <w:t xml:space="preserve">the funding for </w:t>
      </w:r>
      <w:r w:rsidR="0097669C" w:rsidRPr="007957C5">
        <w:rPr>
          <w:rFonts w:ascii="Avenir Roman" w:hAnsi="Avenir Roman"/>
          <w:sz w:val="22"/>
          <w:szCs w:val="22"/>
        </w:rPr>
        <w:t xml:space="preserve">eligible participants to choose their </w:t>
      </w:r>
      <w:r w:rsidR="004D662B" w:rsidRPr="007957C5">
        <w:rPr>
          <w:rFonts w:ascii="Avenir Roman" w:hAnsi="Avenir Roman"/>
          <w:sz w:val="22"/>
          <w:szCs w:val="22"/>
        </w:rPr>
        <w:t xml:space="preserve">housing option, and </w:t>
      </w:r>
      <w:r w:rsidR="00497E4A" w:rsidRPr="007957C5">
        <w:rPr>
          <w:rFonts w:ascii="Avenir Roman" w:hAnsi="Avenir Roman"/>
          <w:sz w:val="22"/>
          <w:szCs w:val="22"/>
        </w:rPr>
        <w:t xml:space="preserve">Supported Independent Living (SIL) provides </w:t>
      </w:r>
      <w:r w:rsidR="004D662B" w:rsidRPr="007957C5">
        <w:rPr>
          <w:rFonts w:ascii="Avenir Roman" w:hAnsi="Avenir Roman"/>
          <w:sz w:val="22"/>
          <w:szCs w:val="22"/>
        </w:rPr>
        <w:t xml:space="preserve">funding for </w:t>
      </w:r>
      <w:r w:rsidR="0097669C" w:rsidRPr="007957C5">
        <w:rPr>
          <w:rFonts w:ascii="Avenir Roman" w:hAnsi="Avenir Roman"/>
          <w:sz w:val="22"/>
          <w:szCs w:val="22"/>
        </w:rPr>
        <w:t xml:space="preserve">eligible participants to choose </w:t>
      </w:r>
      <w:r w:rsidR="00497E4A" w:rsidRPr="007957C5">
        <w:rPr>
          <w:rFonts w:ascii="Avenir Roman" w:hAnsi="Avenir Roman"/>
          <w:sz w:val="22"/>
          <w:szCs w:val="22"/>
        </w:rPr>
        <w:t xml:space="preserve">essential </w:t>
      </w:r>
      <w:r w:rsidR="004D662B" w:rsidRPr="007957C5">
        <w:rPr>
          <w:rFonts w:ascii="Avenir Roman" w:hAnsi="Avenir Roman"/>
          <w:sz w:val="22"/>
          <w:szCs w:val="22"/>
        </w:rPr>
        <w:t xml:space="preserve">daily </w:t>
      </w:r>
      <w:r w:rsidR="00497E4A" w:rsidRPr="007957C5">
        <w:rPr>
          <w:rFonts w:ascii="Avenir Roman" w:hAnsi="Avenir Roman"/>
          <w:sz w:val="22"/>
          <w:szCs w:val="22"/>
        </w:rPr>
        <w:t>support</w:t>
      </w:r>
      <w:r w:rsidR="00A31690" w:rsidRPr="007957C5">
        <w:rPr>
          <w:rFonts w:ascii="Avenir Roman" w:hAnsi="Avenir Roman"/>
          <w:sz w:val="22"/>
          <w:szCs w:val="22"/>
        </w:rPr>
        <w:t xml:space="preserve"> providers</w:t>
      </w:r>
      <w:r w:rsidR="00497E4A" w:rsidRPr="007957C5">
        <w:rPr>
          <w:rFonts w:ascii="Avenir Roman" w:hAnsi="Avenir Roman"/>
          <w:sz w:val="22"/>
          <w:szCs w:val="22"/>
        </w:rPr>
        <w:t>.  The intention is to break the nexus between housing and support that leads to people with disability being compelled to live in particular living arrangements</w:t>
      </w:r>
      <w:r w:rsidR="00A31690" w:rsidRPr="007957C5">
        <w:rPr>
          <w:rFonts w:ascii="Avenir Roman" w:hAnsi="Avenir Roman"/>
          <w:sz w:val="22"/>
          <w:szCs w:val="22"/>
        </w:rPr>
        <w:t xml:space="preserve"> in order to receive essential support</w:t>
      </w:r>
      <w:r w:rsidR="00497E4A" w:rsidRPr="007957C5">
        <w:rPr>
          <w:rFonts w:ascii="Avenir Roman" w:hAnsi="Avenir Roman"/>
          <w:sz w:val="22"/>
          <w:szCs w:val="22"/>
        </w:rPr>
        <w:t>.  However</w:t>
      </w:r>
      <w:r w:rsidR="007F173B" w:rsidRPr="007957C5">
        <w:rPr>
          <w:rFonts w:ascii="Avenir Roman" w:hAnsi="Avenir Roman"/>
          <w:sz w:val="22"/>
          <w:szCs w:val="22"/>
        </w:rPr>
        <w:t>,</w:t>
      </w:r>
      <w:r w:rsidR="00497E4A" w:rsidRPr="007957C5">
        <w:rPr>
          <w:rFonts w:ascii="Avenir Roman" w:hAnsi="Avenir Roman"/>
          <w:sz w:val="22"/>
          <w:szCs w:val="22"/>
        </w:rPr>
        <w:t xml:space="preserve"> the reality does not live up to this promise</w:t>
      </w:r>
      <w:r w:rsidR="00A31690" w:rsidRPr="007957C5">
        <w:rPr>
          <w:rFonts w:ascii="Avenir Roman" w:hAnsi="Avenir Roman"/>
          <w:sz w:val="22"/>
          <w:szCs w:val="22"/>
        </w:rPr>
        <w:t>:</w:t>
      </w:r>
    </w:p>
    <w:p w14:paraId="3A468B55" w14:textId="23DD6B65" w:rsidR="007F173B" w:rsidRPr="007957C5" w:rsidRDefault="00A31690" w:rsidP="00564172">
      <w:pPr>
        <w:pStyle w:val="ListParagraph"/>
        <w:numPr>
          <w:ilvl w:val="0"/>
          <w:numId w:val="21"/>
        </w:numPr>
        <w:spacing w:after="120" w:line="240" w:lineRule="auto"/>
        <w:ind w:left="1418" w:hanging="284"/>
        <w:contextualSpacing w:val="0"/>
        <w:jc w:val="left"/>
        <w:rPr>
          <w:rFonts w:ascii="Avenir Roman" w:hAnsi="Avenir Roman"/>
          <w:sz w:val="22"/>
          <w:szCs w:val="22"/>
        </w:rPr>
      </w:pPr>
      <w:r w:rsidRPr="007957C5">
        <w:rPr>
          <w:rFonts w:ascii="Avenir Roman" w:hAnsi="Avenir Roman"/>
          <w:sz w:val="22"/>
          <w:szCs w:val="22"/>
        </w:rPr>
        <w:t>M</w:t>
      </w:r>
      <w:r w:rsidR="00497E4A" w:rsidRPr="007957C5">
        <w:rPr>
          <w:rFonts w:ascii="Avenir Roman" w:hAnsi="Avenir Roman"/>
          <w:sz w:val="22"/>
          <w:szCs w:val="22"/>
        </w:rPr>
        <w:t>ost SDA housing consist</w:t>
      </w:r>
      <w:r w:rsidRPr="007957C5">
        <w:rPr>
          <w:rFonts w:ascii="Avenir Roman" w:hAnsi="Avenir Roman"/>
          <w:sz w:val="22"/>
          <w:szCs w:val="22"/>
        </w:rPr>
        <w:t>s</w:t>
      </w:r>
      <w:r w:rsidR="00497E4A" w:rsidRPr="007957C5">
        <w:rPr>
          <w:rFonts w:ascii="Avenir Roman" w:hAnsi="Avenir Roman"/>
          <w:sz w:val="22"/>
          <w:szCs w:val="22"/>
        </w:rPr>
        <w:t xml:space="preserve"> of group homes transferred to the NDIS from </w:t>
      </w:r>
      <w:r w:rsidR="007F173B" w:rsidRPr="007957C5">
        <w:rPr>
          <w:rFonts w:ascii="Avenir Roman" w:hAnsi="Avenir Roman"/>
          <w:sz w:val="22"/>
          <w:szCs w:val="22"/>
        </w:rPr>
        <w:t xml:space="preserve">the </w:t>
      </w:r>
      <w:r w:rsidR="00497E4A" w:rsidRPr="007957C5">
        <w:rPr>
          <w:rFonts w:ascii="Avenir Roman" w:hAnsi="Avenir Roman"/>
          <w:sz w:val="22"/>
          <w:szCs w:val="22"/>
        </w:rPr>
        <w:t>Stat</w:t>
      </w:r>
      <w:r w:rsidR="007F173B" w:rsidRPr="007957C5">
        <w:rPr>
          <w:rFonts w:ascii="Avenir Roman" w:hAnsi="Avenir Roman"/>
          <w:sz w:val="22"/>
          <w:szCs w:val="22"/>
        </w:rPr>
        <w:t xml:space="preserve">es, and existing residents of those group homes </w:t>
      </w:r>
      <w:r w:rsidRPr="007957C5">
        <w:rPr>
          <w:rFonts w:ascii="Avenir Roman" w:hAnsi="Avenir Roman"/>
          <w:sz w:val="22"/>
          <w:szCs w:val="22"/>
        </w:rPr>
        <w:t xml:space="preserve">were </w:t>
      </w:r>
      <w:r w:rsidR="007F173B" w:rsidRPr="007957C5">
        <w:rPr>
          <w:rFonts w:ascii="Avenir Roman" w:hAnsi="Avenir Roman"/>
          <w:sz w:val="22"/>
          <w:szCs w:val="22"/>
        </w:rPr>
        <w:t>automatically deemed eligible for SDA funding so as to remain in their group home.</w:t>
      </w:r>
      <w:r w:rsidR="00562D83" w:rsidRPr="007957C5">
        <w:rPr>
          <w:rStyle w:val="FootnoteReference"/>
          <w:rFonts w:ascii="Avenir Roman" w:hAnsi="Avenir Roman"/>
          <w:sz w:val="22"/>
          <w:szCs w:val="22"/>
        </w:rPr>
        <w:footnoteReference w:id="57"/>
      </w:r>
      <w:r w:rsidR="007F173B" w:rsidRPr="007957C5">
        <w:rPr>
          <w:rFonts w:ascii="Avenir Roman" w:hAnsi="Avenir Roman"/>
          <w:sz w:val="22"/>
          <w:szCs w:val="22"/>
        </w:rPr>
        <w:t xml:space="preserve"> Many residents “acknowledged that they had typically not been shown or offered any other </w:t>
      </w:r>
      <w:r w:rsidR="007F173B" w:rsidRPr="007957C5">
        <w:rPr>
          <w:rFonts w:ascii="Avenir Roman" w:hAnsi="Avenir Roman"/>
          <w:sz w:val="22"/>
          <w:szCs w:val="22"/>
        </w:rPr>
        <w:lastRenderedPageBreak/>
        <w:t>options” and were unaware that they could decide on alternative living arrangements.</w:t>
      </w:r>
      <w:r w:rsidR="00562D83" w:rsidRPr="007957C5">
        <w:rPr>
          <w:rStyle w:val="FootnoteReference"/>
          <w:rFonts w:ascii="Avenir Roman" w:hAnsi="Avenir Roman"/>
          <w:sz w:val="22"/>
          <w:szCs w:val="22"/>
        </w:rPr>
        <w:footnoteReference w:id="58"/>
      </w:r>
      <w:r w:rsidR="007F173B" w:rsidRPr="007957C5">
        <w:rPr>
          <w:rFonts w:ascii="Avenir Roman" w:hAnsi="Avenir Roman"/>
          <w:sz w:val="22"/>
          <w:szCs w:val="22"/>
        </w:rPr>
        <w:t xml:space="preserve"> </w:t>
      </w:r>
    </w:p>
    <w:p w14:paraId="670C7F24" w14:textId="42192076" w:rsidR="00A31690" w:rsidRPr="007957C5" w:rsidRDefault="00E74B3D" w:rsidP="00564172">
      <w:pPr>
        <w:pStyle w:val="ListParagraph"/>
        <w:numPr>
          <w:ilvl w:val="0"/>
          <w:numId w:val="21"/>
        </w:numPr>
        <w:spacing w:after="120" w:line="240" w:lineRule="auto"/>
        <w:ind w:left="1418" w:hanging="284"/>
        <w:contextualSpacing w:val="0"/>
        <w:jc w:val="left"/>
        <w:rPr>
          <w:rFonts w:ascii="Avenir Roman" w:hAnsi="Avenir Roman"/>
          <w:sz w:val="22"/>
          <w:szCs w:val="22"/>
        </w:rPr>
      </w:pPr>
      <w:r w:rsidRPr="007957C5">
        <w:rPr>
          <w:rFonts w:ascii="Avenir Roman" w:hAnsi="Avenir Roman"/>
          <w:sz w:val="22"/>
          <w:szCs w:val="22"/>
        </w:rPr>
        <w:t xml:space="preserve">The </w:t>
      </w:r>
      <w:r w:rsidRPr="007957C5">
        <w:rPr>
          <w:rFonts w:ascii="Avenir Roman" w:hAnsi="Avenir Roman"/>
          <w:i/>
          <w:sz w:val="22"/>
          <w:szCs w:val="22"/>
        </w:rPr>
        <w:t>Specialist Disability Accommodation Provider and Investor Brief</w:t>
      </w:r>
      <w:r w:rsidR="00DD7448" w:rsidRPr="007957C5">
        <w:rPr>
          <w:rFonts w:ascii="Avenir Roman" w:hAnsi="Avenir Roman"/>
          <w:i/>
          <w:sz w:val="22"/>
          <w:szCs w:val="22"/>
        </w:rPr>
        <w:t xml:space="preserve"> </w:t>
      </w:r>
      <w:r w:rsidR="005745BD" w:rsidRPr="007957C5">
        <w:rPr>
          <w:rStyle w:val="FootnoteReference"/>
          <w:rFonts w:ascii="Avenir Roman" w:hAnsi="Avenir Roman"/>
          <w:sz w:val="22"/>
          <w:szCs w:val="22"/>
        </w:rPr>
        <w:footnoteReference w:id="59"/>
      </w:r>
      <w:r w:rsidRPr="007957C5">
        <w:rPr>
          <w:rFonts w:ascii="Avenir Roman" w:hAnsi="Avenir Roman"/>
          <w:i/>
          <w:sz w:val="22"/>
          <w:szCs w:val="22"/>
        </w:rPr>
        <w:t xml:space="preserve"> </w:t>
      </w:r>
      <w:r w:rsidRPr="007957C5">
        <w:rPr>
          <w:rFonts w:ascii="Avenir Roman" w:hAnsi="Avenir Roman"/>
          <w:sz w:val="22"/>
          <w:szCs w:val="22"/>
        </w:rPr>
        <w:t>“expresses a vision for SDA housing with a clear bias toward shared models of housing” and indicates that the National Disability Insurance Agency (NDIA)</w:t>
      </w:r>
      <w:r w:rsidR="000200A5" w:rsidRPr="007957C5">
        <w:rPr>
          <w:rFonts w:ascii="Avenir Roman" w:hAnsi="Avenir Roman"/>
          <w:sz w:val="22"/>
          <w:szCs w:val="22"/>
        </w:rPr>
        <w:t xml:space="preserve"> will require most people with disability “to live in group-home style accommodation settings, even if it is not their preference”.</w:t>
      </w:r>
      <w:r w:rsidR="002E1F6D" w:rsidRPr="007957C5">
        <w:rPr>
          <w:rStyle w:val="FootnoteReference"/>
          <w:rFonts w:ascii="Avenir Roman" w:hAnsi="Avenir Roman"/>
          <w:sz w:val="22"/>
          <w:szCs w:val="22"/>
        </w:rPr>
        <w:footnoteReference w:id="60"/>
      </w:r>
      <w:r w:rsidR="000200A5" w:rsidRPr="007957C5">
        <w:rPr>
          <w:rFonts w:ascii="Avenir Roman" w:hAnsi="Avenir Roman"/>
          <w:sz w:val="22"/>
          <w:szCs w:val="22"/>
        </w:rPr>
        <w:t xml:space="preserve"> </w:t>
      </w:r>
    </w:p>
    <w:p w14:paraId="24F876E1" w14:textId="1F8C7590" w:rsidR="00B1059E" w:rsidRPr="007957C5" w:rsidRDefault="00FF58B4" w:rsidP="00564172">
      <w:pPr>
        <w:pStyle w:val="ListParagraph"/>
        <w:numPr>
          <w:ilvl w:val="0"/>
          <w:numId w:val="21"/>
        </w:numPr>
        <w:spacing w:after="0" w:line="240" w:lineRule="auto"/>
        <w:ind w:left="1418" w:hanging="284"/>
        <w:contextualSpacing w:val="0"/>
        <w:jc w:val="left"/>
        <w:rPr>
          <w:rFonts w:ascii="Avenir Roman" w:hAnsi="Avenir Roman"/>
          <w:sz w:val="22"/>
          <w:szCs w:val="22"/>
        </w:rPr>
      </w:pPr>
      <w:r w:rsidRPr="007957C5">
        <w:rPr>
          <w:rFonts w:ascii="Avenir Roman" w:hAnsi="Avenir Roman"/>
          <w:sz w:val="22"/>
          <w:szCs w:val="22"/>
        </w:rPr>
        <w:t>The Joint Standing Committee on the National Disability Insurance Scheme (Joint Standing Committee) has expressed concern that SIL arrangements “</w:t>
      </w:r>
      <w:r w:rsidR="00327654" w:rsidRPr="007957C5">
        <w:rPr>
          <w:rFonts w:ascii="Avenir Roman" w:hAnsi="Avenir Roman"/>
          <w:sz w:val="22"/>
          <w:szCs w:val="22"/>
        </w:rPr>
        <w:t xml:space="preserve">may </w:t>
      </w:r>
      <w:r w:rsidRPr="007957C5">
        <w:rPr>
          <w:rFonts w:ascii="Avenir Roman" w:hAnsi="Avenir Roman"/>
          <w:sz w:val="22"/>
          <w:szCs w:val="22"/>
        </w:rPr>
        <w:t>force participants with SIL to live in shared settings, and may be perpetuating older models of disability support rather than delivering the innovations promised by the NDIS”.</w:t>
      </w:r>
      <w:r w:rsidR="004F3750" w:rsidRPr="007957C5">
        <w:rPr>
          <w:rStyle w:val="FootnoteReference"/>
          <w:rFonts w:ascii="Avenir Roman" w:hAnsi="Avenir Roman"/>
          <w:sz w:val="22"/>
          <w:szCs w:val="22"/>
        </w:rPr>
        <w:footnoteReference w:id="61"/>
      </w:r>
      <w:r w:rsidRPr="007957C5">
        <w:rPr>
          <w:rFonts w:ascii="Avenir Roman" w:hAnsi="Avenir Roman"/>
          <w:sz w:val="22"/>
          <w:szCs w:val="22"/>
        </w:rPr>
        <w:t xml:space="preserve"> </w:t>
      </w:r>
      <w:r w:rsidR="00031B89" w:rsidRPr="007957C5">
        <w:rPr>
          <w:rFonts w:ascii="Avenir Roman" w:hAnsi="Avenir Roman"/>
          <w:sz w:val="22"/>
          <w:szCs w:val="22"/>
        </w:rPr>
        <w:t>While the</w:t>
      </w:r>
      <w:r w:rsidR="004F3750" w:rsidRPr="007957C5">
        <w:rPr>
          <w:rFonts w:ascii="Avenir Roman" w:hAnsi="Avenir Roman"/>
          <w:sz w:val="22"/>
          <w:szCs w:val="22"/>
        </w:rPr>
        <w:t>re is no policy that directs this approach, assessments of SIL by the NDIA appear to “lead the agency to prefer shared over individual arrangements in many cases”.</w:t>
      </w:r>
      <w:r w:rsidR="004F3750" w:rsidRPr="007957C5">
        <w:rPr>
          <w:rStyle w:val="FootnoteReference"/>
          <w:rFonts w:ascii="Avenir Roman" w:hAnsi="Avenir Roman"/>
          <w:sz w:val="22"/>
          <w:szCs w:val="22"/>
        </w:rPr>
        <w:footnoteReference w:id="62"/>
      </w:r>
      <w:r w:rsidR="004F3750" w:rsidRPr="007957C5">
        <w:rPr>
          <w:rFonts w:ascii="Avenir Roman" w:hAnsi="Avenir Roman"/>
          <w:sz w:val="22"/>
          <w:szCs w:val="22"/>
        </w:rPr>
        <w:t xml:space="preserve"> </w:t>
      </w:r>
    </w:p>
    <w:p w14:paraId="60FD6CB4" w14:textId="77777777" w:rsidR="00031B89" w:rsidRPr="007957C5" w:rsidRDefault="00031B89" w:rsidP="00E50CD5">
      <w:pPr>
        <w:pStyle w:val="ListParagraph"/>
        <w:spacing w:after="0" w:line="240" w:lineRule="auto"/>
        <w:ind w:left="1134"/>
        <w:contextualSpacing w:val="0"/>
        <w:jc w:val="left"/>
        <w:rPr>
          <w:rFonts w:ascii="Avenir Roman" w:hAnsi="Avenir Roman"/>
          <w:sz w:val="22"/>
          <w:szCs w:val="22"/>
        </w:rPr>
      </w:pPr>
    </w:p>
    <w:p w14:paraId="4F723DAA" w14:textId="09DAFE8B" w:rsidR="006647DB" w:rsidRPr="007957C5" w:rsidRDefault="00CF6A14" w:rsidP="00564172">
      <w:pPr>
        <w:pStyle w:val="ListParagraph"/>
        <w:numPr>
          <w:ilvl w:val="2"/>
          <w:numId w:val="22"/>
        </w:numPr>
        <w:spacing w:after="0" w:line="240" w:lineRule="auto"/>
        <w:ind w:left="1134" w:hanging="709"/>
        <w:contextualSpacing w:val="0"/>
        <w:jc w:val="left"/>
        <w:rPr>
          <w:rFonts w:ascii="Avenir Roman" w:hAnsi="Avenir Roman"/>
          <w:sz w:val="22"/>
          <w:szCs w:val="22"/>
        </w:rPr>
      </w:pPr>
      <w:r w:rsidRPr="007957C5">
        <w:rPr>
          <w:rFonts w:ascii="Avenir Roman" w:hAnsi="Avenir Roman"/>
          <w:sz w:val="22"/>
          <w:szCs w:val="22"/>
        </w:rPr>
        <w:t xml:space="preserve">Policy and practice </w:t>
      </w:r>
      <w:r w:rsidR="00D44BCD" w:rsidRPr="007957C5">
        <w:rPr>
          <w:rFonts w:ascii="Avenir Roman" w:hAnsi="Avenir Roman"/>
          <w:sz w:val="22"/>
          <w:szCs w:val="22"/>
        </w:rPr>
        <w:t xml:space="preserve">in Australia continue to compel </w:t>
      </w:r>
      <w:r w:rsidR="00DD5EB5" w:rsidRPr="007957C5">
        <w:rPr>
          <w:rFonts w:ascii="Avenir Roman" w:hAnsi="Avenir Roman"/>
          <w:sz w:val="22"/>
          <w:szCs w:val="22"/>
        </w:rPr>
        <w:t>p</w:t>
      </w:r>
      <w:r w:rsidR="000E759A" w:rsidRPr="007957C5">
        <w:rPr>
          <w:rFonts w:ascii="Avenir Roman" w:hAnsi="Avenir Roman"/>
          <w:sz w:val="22"/>
          <w:szCs w:val="22"/>
        </w:rPr>
        <w:t>eople with disability to live in particular l</w:t>
      </w:r>
      <w:r w:rsidR="003A5795" w:rsidRPr="007957C5">
        <w:rPr>
          <w:rFonts w:ascii="Avenir Roman" w:hAnsi="Avenir Roman"/>
          <w:sz w:val="22"/>
          <w:szCs w:val="22"/>
        </w:rPr>
        <w:t>i</w:t>
      </w:r>
      <w:r w:rsidR="000E759A" w:rsidRPr="007957C5">
        <w:rPr>
          <w:rFonts w:ascii="Avenir Roman" w:hAnsi="Avenir Roman"/>
          <w:sz w:val="22"/>
          <w:szCs w:val="22"/>
        </w:rPr>
        <w:t>ving arrangements in order to receive essential supports</w:t>
      </w:r>
      <w:r w:rsidR="00D44BCD" w:rsidRPr="007957C5">
        <w:rPr>
          <w:rFonts w:ascii="Avenir Roman" w:hAnsi="Avenir Roman"/>
          <w:sz w:val="22"/>
          <w:szCs w:val="22"/>
        </w:rPr>
        <w:t>. This needs to be</w:t>
      </w:r>
      <w:r w:rsidR="000E759A" w:rsidRPr="007957C5">
        <w:rPr>
          <w:rFonts w:ascii="Avenir Roman" w:hAnsi="Avenir Roman"/>
          <w:sz w:val="22"/>
          <w:szCs w:val="22"/>
        </w:rPr>
        <w:t xml:space="preserve"> urgently addressed if the right </w:t>
      </w:r>
      <w:r w:rsidR="003A2891" w:rsidRPr="007957C5">
        <w:rPr>
          <w:rFonts w:ascii="Avenir Roman" w:hAnsi="Avenir Roman"/>
          <w:sz w:val="22"/>
          <w:szCs w:val="22"/>
        </w:rPr>
        <w:t>to</w:t>
      </w:r>
      <w:r w:rsidR="000E759A" w:rsidRPr="007957C5">
        <w:rPr>
          <w:rFonts w:ascii="Avenir Roman" w:hAnsi="Avenir Roman"/>
          <w:sz w:val="22"/>
          <w:szCs w:val="22"/>
        </w:rPr>
        <w:t xml:space="preserve"> live independently and be included in the community is to be realised. </w:t>
      </w:r>
    </w:p>
    <w:p w14:paraId="5EE43448" w14:textId="77777777" w:rsidR="00EE549A" w:rsidRPr="007957C5" w:rsidRDefault="00EE549A" w:rsidP="00E50CD5">
      <w:pPr>
        <w:pStyle w:val="ListParagraph"/>
        <w:spacing w:after="0" w:line="240" w:lineRule="auto"/>
        <w:ind w:left="0"/>
        <w:contextualSpacing w:val="0"/>
        <w:jc w:val="left"/>
        <w:rPr>
          <w:rFonts w:ascii="Avenir Roman" w:hAnsi="Avenir Roman"/>
          <w:sz w:val="22"/>
          <w:szCs w:val="22"/>
        </w:rPr>
      </w:pPr>
    </w:p>
    <w:p w14:paraId="7DFFA7A3" w14:textId="59CD954A" w:rsidR="00F97088" w:rsidRPr="007957C5" w:rsidRDefault="00F97088" w:rsidP="00564172">
      <w:pPr>
        <w:pStyle w:val="Heading3"/>
        <w:numPr>
          <w:ilvl w:val="1"/>
          <w:numId w:val="22"/>
        </w:numPr>
        <w:spacing w:after="120" w:line="240" w:lineRule="auto"/>
        <w:ind w:left="1134" w:hanging="708"/>
        <w:rPr>
          <w:rFonts w:ascii="Avenir Roman" w:hAnsi="Avenir Roman"/>
          <w:i/>
          <w:sz w:val="22"/>
          <w:szCs w:val="22"/>
        </w:rPr>
      </w:pPr>
      <w:bookmarkStart w:id="113" w:name="_Toc43919154"/>
      <w:r w:rsidRPr="007957C5">
        <w:rPr>
          <w:rFonts w:ascii="Avenir Roman" w:hAnsi="Avenir Roman"/>
          <w:i/>
          <w:sz w:val="22"/>
          <w:szCs w:val="22"/>
        </w:rPr>
        <w:t>Equality and non-discrimination</w:t>
      </w:r>
      <w:bookmarkEnd w:id="113"/>
    </w:p>
    <w:p w14:paraId="3D68244B" w14:textId="1B7DDC78" w:rsidR="00B16172" w:rsidRPr="007957C5" w:rsidRDefault="009D79BF"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The principles of equality and non-discrimination are fundamental to international human rights law and enshrined in all the core human rights conventions.  In the context of disability, article 5 of the CRPD </w:t>
      </w:r>
      <w:r w:rsidRPr="007957C5">
        <w:rPr>
          <w:rFonts w:ascii="Avenir Roman" w:hAnsi="Avenir Roman"/>
          <w:i/>
          <w:sz w:val="22"/>
          <w:szCs w:val="22"/>
        </w:rPr>
        <w:t>Equality and non-discrimination</w:t>
      </w:r>
      <w:r w:rsidRPr="007957C5">
        <w:rPr>
          <w:rFonts w:ascii="Avenir Roman" w:hAnsi="Avenir Roman"/>
          <w:sz w:val="22"/>
          <w:szCs w:val="22"/>
        </w:rPr>
        <w:t xml:space="preserve"> </w:t>
      </w:r>
      <w:r w:rsidR="006F7D71" w:rsidRPr="007957C5">
        <w:rPr>
          <w:rFonts w:ascii="Avenir Roman" w:hAnsi="Avenir Roman"/>
          <w:sz w:val="22"/>
          <w:szCs w:val="22"/>
        </w:rPr>
        <w:t>incorporates</w:t>
      </w:r>
      <w:r w:rsidR="00136548" w:rsidRPr="007957C5">
        <w:rPr>
          <w:rFonts w:ascii="Avenir Roman" w:hAnsi="Avenir Roman"/>
          <w:sz w:val="22"/>
          <w:szCs w:val="22"/>
        </w:rPr>
        <w:t xml:space="preserve"> the </w:t>
      </w:r>
      <w:r w:rsidRPr="007957C5">
        <w:rPr>
          <w:rFonts w:ascii="Avenir Roman" w:hAnsi="Avenir Roman"/>
          <w:sz w:val="22"/>
          <w:szCs w:val="22"/>
        </w:rPr>
        <w:t>prohibit</w:t>
      </w:r>
      <w:r w:rsidR="00136548" w:rsidRPr="007957C5">
        <w:rPr>
          <w:rFonts w:ascii="Avenir Roman" w:hAnsi="Avenir Roman"/>
          <w:sz w:val="22"/>
          <w:szCs w:val="22"/>
        </w:rPr>
        <w:t>ion of</w:t>
      </w:r>
      <w:r w:rsidRPr="007957C5">
        <w:rPr>
          <w:rFonts w:ascii="Avenir Roman" w:hAnsi="Avenir Roman"/>
          <w:sz w:val="22"/>
          <w:szCs w:val="22"/>
        </w:rPr>
        <w:t xml:space="preserve"> segregation on the basis of impairment</w:t>
      </w:r>
      <w:r w:rsidR="00566BD5" w:rsidRPr="007957C5">
        <w:rPr>
          <w:rFonts w:ascii="Avenir Roman" w:hAnsi="Avenir Roman"/>
          <w:sz w:val="22"/>
          <w:szCs w:val="22"/>
        </w:rPr>
        <w:t>, reflect</w:t>
      </w:r>
      <w:r w:rsidR="00136548" w:rsidRPr="007957C5">
        <w:rPr>
          <w:rFonts w:ascii="Avenir Roman" w:hAnsi="Avenir Roman"/>
          <w:sz w:val="22"/>
          <w:szCs w:val="22"/>
        </w:rPr>
        <w:t>ing</w:t>
      </w:r>
      <w:r w:rsidR="00566BD5" w:rsidRPr="007957C5">
        <w:rPr>
          <w:rFonts w:ascii="Avenir Roman" w:hAnsi="Avenir Roman"/>
          <w:sz w:val="22"/>
          <w:szCs w:val="22"/>
        </w:rPr>
        <w:t xml:space="preserve"> </w:t>
      </w:r>
      <w:r w:rsidR="009D5820" w:rsidRPr="007957C5">
        <w:rPr>
          <w:rFonts w:ascii="Avenir Roman" w:hAnsi="Avenir Roman"/>
          <w:sz w:val="22"/>
          <w:szCs w:val="22"/>
        </w:rPr>
        <w:t>the established principle in international law that segregation is inherently unequal and discriminatory</w:t>
      </w:r>
      <w:r w:rsidRPr="007957C5">
        <w:rPr>
          <w:rFonts w:ascii="Avenir Roman" w:hAnsi="Avenir Roman"/>
          <w:sz w:val="22"/>
          <w:szCs w:val="22"/>
        </w:rPr>
        <w:t>.</w:t>
      </w:r>
      <w:r w:rsidR="00A44366" w:rsidRPr="007957C5">
        <w:rPr>
          <w:rStyle w:val="FootnoteReference"/>
          <w:rFonts w:ascii="Avenir Roman" w:hAnsi="Avenir Roman"/>
          <w:sz w:val="22"/>
          <w:szCs w:val="22"/>
        </w:rPr>
        <w:footnoteReference w:id="63"/>
      </w:r>
      <w:r w:rsidR="00A44366" w:rsidRPr="007957C5">
        <w:rPr>
          <w:rFonts w:ascii="Avenir Roman" w:hAnsi="Avenir Roman"/>
          <w:sz w:val="22"/>
          <w:szCs w:val="22"/>
        </w:rPr>
        <w:t xml:space="preserve"> </w:t>
      </w:r>
    </w:p>
    <w:p w14:paraId="7B64D5BC" w14:textId="77777777" w:rsidR="00B16172" w:rsidRPr="007957C5" w:rsidRDefault="00B16172" w:rsidP="007957C5">
      <w:pPr>
        <w:pStyle w:val="ListParagraph"/>
        <w:spacing w:line="240" w:lineRule="auto"/>
        <w:ind w:left="360"/>
        <w:jc w:val="left"/>
        <w:rPr>
          <w:rFonts w:ascii="Avenir Roman" w:hAnsi="Avenir Roman"/>
          <w:sz w:val="22"/>
          <w:szCs w:val="22"/>
        </w:rPr>
      </w:pPr>
    </w:p>
    <w:p w14:paraId="35BC444C" w14:textId="6E705E17" w:rsidR="000945FC" w:rsidRPr="007957C5" w:rsidRDefault="000945FC"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The inter-</w:t>
      </w:r>
      <w:r w:rsidR="00FD1365" w:rsidRPr="007957C5">
        <w:rPr>
          <w:rFonts w:ascii="Avenir Roman" w:hAnsi="Avenir Roman"/>
          <w:sz w:val="22"/>
          <w:szCs w:val="22"/>
        </w:rPr>
        <w:t>relation</w:t>
      </w:r>
      <w:r w:rsidRPr="007957C5">
        <w:rPr>
          <w:rFonts w:ascii="Avenir Roman" w:hAnsi="Avenir Roman"/>
          <w:sz w:val="22"/>
          <w:szCs w:val="22"/>
        </w:rPr>
        <w:t>ship</w:t>
      </w:r>
      <w:r w:rsidR="00FD1365" w:rsidRPr="007957C5">
        <w:rPr>
          <w:rFonts w:ascii="Avenir Roman" w:hAnsi="Avenir Roman"/>
          <w:sz w:val="22"/>
          <w:szCs w:val="22"/>
        </w:rPr>
        <w:t xml:space="preserve"> </w:t>
      </w:r>
      <w:r w:rsidRPr="007957C5">
        <w:rPr>
          <w:rFonts w:ascii="Avenir Roman" w:hAnsi="Avenir Roman"/>
          <w:sz w:val="22"/>
          <w:szCs w:val="22"/>
        </w:rPr>
        <w:t xml:space="preserve">between article 5 and </w:t>
      </w:r>
      <w:r w:rsidR="00FD1365" w:rsidRPr="007957C5">
        <w:rPr>
          <w:rFonts w:ascii="Avenir Roman" w:hAnsi="Avenir Roman"/>
          <w:sz w:val="22"/>
          <w:szCs w:val="22"/>
        </w:rPr>
        <w:t>article 19</w:t>
      </w:r>
      <w:r w:rsidRPr="007957C5">
        <w:rPr>
          <w:rFonts w:ascii="Avenir Roman" w:hAnsi="Avenir Roman"/>
          <w:sz w:val="22"/>
          <w:szCs w:val="22"/>
        </w:rPr>
        <w:t xml:space="preserve"> </w:t>
      </w:r>
      <w:r w:rsidR="00FD1365" w:rsidRPr="007957C5">
        <w:rPr>
          <w:rFonts w:ascii="Avenir Roman" w:hAnsi="Avenir Roman"/>
          <w:sz w:val="22"/>
          <w:szCs w:val="22"/>
        </w:rPr>
        <w:t xml:space="preserve">reinforces that </w:t>
      </w:r>
      <w:r w:rsidR="0001598F" w:rsidRPr="007957C5">
        <w:rPr>
          <w:rFonts w:ascii="Avenir Roman" w:hAnsi="Avenir Roman"/>
          <w:sz w:val="22"/>
          <w:szCs w:val="22"/>
        </w:rPr>
        <w:t>segregated approaches to living arrangements for people with disability, regardless of the ‘quality’ of these arrangements are inherently discriminatory and therefore a violation of human rights. I</w:t>
      </w:r>
      <w:r w:rsidR="00FD1365" w:rsidRPr="007957C5">
        <w:rPr>
          <w:rFonts w:ascii="Avenir Roman" w:hAnsi="Avenir Roman"/>
          <w:sz w:val="22"/>
          <w:szCs w:val="22"/>
        </w:rPr>
        <w:t xml:space="preserve">nstitutionalisation of all kinds is discriminatory “as it demonstrates a failure to create </w:t>
      </w:r>
      <w:r w:rsidR="0002448D" w:rsidRPr="007957C5">
        <w:rPr>
          <w:rFonts w:ascii="Avenir Roman" w:hAnsi="Avenir Roman"/>
          <w:sz w:val="22"/>
          <w:szCs w:val="22"/>
        </w:rPr>
        <w:t xml:space="preserve">housing </w:t>
      </w:r>
      <w:r w:rsidR="00FD1365" w:rsidRPr="007957C5">
        <w:rPr>
          <w:rFonts w:ascii="Avenir Roman" w:hAnsi="Avenir Roman"/>
          <w:sz w:val="22"/>
          <w:szCs w:val="22"/>
        </w:rPr>
        <w:t>support and services in the community for persons with disabilities, who are forced to relinquish their participation in community life</w:t>
      </w:r>
      <w:r w:rsidR="00567EF6" w:rsidRPr="007957C5">
        <w:rPr>
          <w:rFonts w:ascii="Avenir Roman" w:hAnsi="Avenir Roman"/>
          <w:sz w:val="22"/>
          <w:szCs w:val="22"/>
        </w:rPr>
        <w:t>” in order to receive essential support and/or treatment</w:t>
      </w:r>
      <w:r w:rsidR="000E0596" w:rsidRPr="007957C5">
        <w:rPr>
          <w:rFonts w:ascii="Avenir Roman" w:hAnsi="Avenir Roman"/>
          <w:sz w:val="22"/>
          <w:szCs w:val="22"/>
        </w:rPr>
        <w:t>.</w:t>
      </w:r>
      <w:r w:rsidR="00FD1365" w:rsidRPr="007957C5">
        <w:rPr>
          <w:rStyle w:val="FootnoteReference"/>
          <w:rFonts w:ascii="Avenir Roman" w:hAnsi="Avenir Roman"/>
          <w:sz w:val="22"/>
          <w:szCs w:val="22"/>
        </w:rPr>
        <w:footnoteReference w:id="64"/>
      </w:r>
      <w:r w:rsidR="00FD1365" w:rsidRPr="007957C5">
        <w:rPr>
          <w:rFonts w:ascii="Avenir Roman" w:hAnsi="Avenir Roman"/>
          <w:sz w:val="22"/>
          <w:szCs w:val="22"/>
        </w:rPr>
        <w:t xml:space="preserve"> </w:t>
      </w:r>
    </w:p>
    <w:p w14:paraId="2E261D98" w14:textId="77777777" w:rsidR="00FC5206" w:rsidRPr="007957C5" w:rsidRDefault="00FC5206" w:rsidP="007957C5">
      <w:pPr>
        <w:pStyle w:val="ListParagraph"/>
        <w:spacing w:line="240" w:lineRule="auto"/>
        <w:jc w:val="left"/>
        <w:rPr>
          <w:rFonts w:ascii="Avenir Roman" w:hAnsi="Avenir Roman"/>
          <w:sz w:val="22"/>
          <w:szCs w:val="22"/>
        </w:rPr>
      </w:pPr>
    </w:p>
    <w:p w14:paraId="1AC6F1B9" w14:textId="67D7A4BC" w:rsidR="000945FC" w:rsidRPr="007957C5" w:rsidRDefault="00FC5206"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Segregation from community life is a </w:t>
      </w:r>
      <w:r w:rsidR="00957804" w:rsidRPr="007957C5">
        <w:rPr>
          <w:rFonts w:ascii="Avenir Roman" w:hAnsi="Avenir Roman"/>
          <w:sz w:val="22"/>
          <w:szCs w:val="22"/>
        </w:rPr>
        <w:t>predominant</w:t>
      </w:r>
      <w:r w:rsidRPr="007957C5">
        <w:rPr>
          <w:rFonts w:ascii="Avenir Roman" w:hAnsi="Avenir Roman"/>
          <w:sz w:val="22"/>
          <w:szCs w:val="22"/>
        </w:rPr>
        <w:t xml:space="preserve"> element of many of the living arrangements that people with disability are compelled to live in, including </w:t>
      </w:r>
      <w:r w:rsidR="009D07DA" w:rsidRPr="007957C5">
        <w:rPr>
          <w:rFonts w:ascii="Avenir Roman" w:hAnsi="Avenir Roman"/>
          <w:sz w:val="22"/>
          <w:szCs w:val="22"/>
        </w:rPr>
        <w:t>people forced to remain in the family home</w:t>
      </w:r>
      <w:r w:rsidR="00922315" w:rsidRPr="007957C5">
        <w:rPr>
          <w:rFonts w:ascii="Avenir Roman" w:hAnsi="Avenir Roman"/>
          <w:sz w:val="22"/>
          <w:szCs w:val="22"/>
        </w:rPr>
        <w:t>;</w:t>
      </w:r>
      <w:r w:rsidR="009D07DA" w:rsidRPr="007957C5">
        <w:rPr>
          <w:rFonts w:ascii="Avenir Roman" w:hAnsi="Avenir Roman"/>
          <w:sz w:val="22"/>
          <w:szCs w:val="22"/>
        </w:rPr>
        <w:t xml:space="preserve"> </w:t>
      </w:r>
      <w:r w:rsidRPr="007957C5">
        <w:rPr>
          <w:rFonts w:ascii="Avenir Roman" w:hAnsi="Avenir Roman"/>
          <w:sz w:val="22"/>
          <w:szCs w:val="22"/>
        </w:rPr>
        <w:t>for younger people with disability in nursing homes</w:t>
      </w:r>
      <w:r w:rsidR="00922315" w:rsidRPr="007957C5">
        <w:rPr>
          <w:rFonts w:ascii="Avenir Roman" w:hAnsi="Avenir Roman"/>
          <w:sz w:val="22"/>
          <w:szCs w:val="22"/>
        </w:rPr>
        <w:t>;</w:t>
      </w:r>
      <w:r w:rsidRPr="007957C5">
        <w:rPr>
          <w:rFonts w:ascii="Avenir Roman" w:hAnsi="Avenir Roman"/>
          <w:sz w:val="22"/>
          <w:szCs w:val="22"/>
        </w:rPr>
        <w:t xml:space="preserve"> </w:t>
      </w:r>
      <w:r w:rsidR="00957804" w:rsidRPr="007957C5">
        <w:rPr>
          <w:rFonts w:ascii="Avenir Roman" w:hAnsi="Avenir Roman"/>
          <w:sz w:val="22"/>
          <w:szCs w:val="22"/>
        </w:rPr>
        <w:t>people with disability in</w:t>
      </w:r>
      <w:r w:rsidR="00922315" w:rsidRPr="007957C5">
        <w:rPr>
          <w:rFonts w:ascii="Avenir Roman" w:hAnsi="Avenir Roman"/>
          <w:sz w:val="22"/>
          <w:szCs w:val="22"/>
        </w:rPr>
        <w:t>voluntarily detained in psychiatric facilities; people with disability living in</w:t>
      </w:r>
      <w:r w:rsidR="00957804" w:rsidRPr="007957C5">
        <w:rPr>
          <w:rFonts w:ascii="Avenir Roman" w:hAnsi="Avenir Roman"/>
          <w:sz w:val="22"/>
          <w:szCs w:val="22"/>
        </w:rPr>
        <w:t xml:space="preserve"> large institutions and smaller institutional settings, such as group homes</w:t>
      </w:r>
      <w:r w:rsidR="00922315" w:rsidRPr="007957C5">
        <w:rPr>
          <w:rFonts w:ascii="Avenir Roman" w:hAnsi="Avenir Roman"/>
          <w:sz w:val="22"/>
          <w:szCs w:val="22"/>
        </w:rPr>
        <w:t>;</w:t>
      </w:r>
      <w:r w:rsidR="00957804" w:rsidRPr="007957C5">
        <w:rPr>
          <w:rFonts w:ascii="Avenir Roman" w:hAnsi="Avenir Roman"/>
          <w:sz w:val="22"/>
          <w:szCs w:val="22"/>
        </w:rPr>
        <w:t xml:space="preserve"> people with disability in boarding and rooming houses</w:t>
      </w:r>
      <w:r w:rsidR="00922315" w:rsidRPr="007957C5">
        <w:rPr>
          <w:rFonts w:ascii="Avenir Roman" w:hAnsi="Avenir Roman"/>
          <w:sz w:val="22"/>
          <w:szCs w:val="22"/>
        </w:rPr>
        <w:t>;</w:t>
      </w:r>
      <w:r w:rsidR="00957804" w:rsidRPr="007957C5">
        <w:rPr>
          <w:rFonts w:ascii="Avenir Roman" w:hAnsi="Avenir Roman"/>
          <w:sz w:val="22"/>
          <w:szCs w:val="22"/>
        </w:rPr>
        <w:t xml:space="preserve"> and </w:t>
      </w:r>
      <w:r w:rsidR="007D3506" w:rsidRPr="007957C5">
        <w:rPr>
          <w:rFonts w:ascii="Avenir Roman" w:hAnsi="Avenir Roman"/>
          <w:sz w:val="22"/>
          <w:szCs w:val="22"/>
        </w:rPr>
        <w:t xml:space="preserve">people with disability </w:t>
      </w:r>
      <w:r w:rsidR="00957804" w:rsidRPr="007957C5">
        <w:rPr>
          <w:rFonts w:ascii="Avenir Roman" w:hAnsi="Avenir Roman"/>
          <w:sz w:val="22"/>
          <w:szCs w:val="22"/>
        </w:rPr>
        <w:t xml:space="preserve">in various other </w:t>
      </w:r>
      <w:r w:rsidR="00850036" w:rsidRPr="007957C5">
        <w:rPr>
          <w:rFonts w:ascii="Avenir Roman" w:hAnsi="Avenir Roman"/>
          <w:sz w:val="22"/>
          <w:szCs w:val="22"/>
        </w:rPr>
        <w:t xml:space="preserve">unsafe and unsuitable </w:t>
      </w:r>
      <w:r w:rsidR="00957804" w:rsidRPr="007957C5">
        <w:rPr>
          <w:rFonts w:ascii="Avenir Roman" w:hAnsi="Avenir Roman"/>
          <w:sz w:val="22"/>
          <w:szCs w:val="22"/>
        </w:rPr>
        <w:t>accommodation models</w:t>
      </w:r>
      <w:r w:rsidR="00222FCD" w:rsidRPr="007957C5">
        <w:rPr>
          <w:rFonts w:ascii="Avenir Roman" w:hAnsi="Avenir Roman"/>
          <w:sz w:val="22"/>
          <w:szCs w:val="22"/>
        </w:rPr>
        <w:t xml:space="preserve">. </w:t>
      </w:r>
    </w:p>
    <w:p w14:paraId="04376508" w14:textId="77777777" w:rsidR="00957804" w:rsidRPr="007957C5" w:rsidRDefault="00957804" w:rsidP="007957C5">
      <w:pPr>
        <w:pStyle w:val="ListParagraph"/>
        <w:spacing w:line="240" w:lineRule="auto"/>
        <w:jc w:val="left"/>
        <w:rPr>
          <w:rFonts w:ascii="Avenir Roman" w:hAnsi="Avenir Roman"/>
          <w:sz w:val="22"/>
          <w:szCs w:val="22"/>
        </w:rPr>
      </w:pPr>
    </w:p>
    <w:p w14:paraId="2DE464E4" w14:textId="2758CD6A" w:rsidR="00F84807" w:rsidRPr="007957C5" w:rsidRDefault="00222FCD"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The lack of </w:t>
      </w:r>
      <w:r w:rsidR="00705448" w:rsidRPr="007957C5">
        <w:rPr>
          <w:rFonts w:ascii="Avenir Roman" w:hAnsi="Avenir Roman"/>
          <w:sz w:val="22"/>
          <w:szCs w:val="22"/>
        </w:rPr>
        <w:t xml:space="preserve">accessible </w:t>
      </w:r>
      <w:r w:rsidRPr="007957C5">
        <w:rPr>
          <w:rFonts w:ascii="Avenir Roman" w:hAnsi="Avenir Roman"/>
          <w:sz w:val="22"/>
          <w:szCs w:val="22"/>
        </w:rPr>
        <w:t xml:space="preserve">housing alternatives in the community </w:t>
      </w:r>
      <w:r w:rsidR="00CA6908" w:rsidRPr="007957C5">
        <w:rPr>
          <w:rFonts w:ascii="Avenir Roman" w:hAnsi="Avenir Roman"/>
          <w:sz w:val="22"/>
          <w:szCs w:val="22"/>
        </w:rPr>
        <w:t xml:space="preserve">was a major reason for </w:t>
      </w:r>
      <w:r w:rsidRPr="007957C5">
        <w:rPr>
          <w:rFonts w:ascii="Avenir Roman" w:hAnsi="Avenir Roman"/>
          <w:sz w:val="22"/>
          <w:szCs w:val="22"/>
        </w:rPr>
        <w:t>the introduction of SDA within the NDIS</w:t>
      </w:r>
      <w:r w:rsidR="00705448" w:rsidRPr="007957C5">
        <w:rPr>
          <w:rFonts w:ascii="Avenir Roman" w:hAnsi="Avenir Roman"/>
          <w:sz w:val="22"/>
          <w:szCs w:val="22"/>
        </w:rPr>
        <w:t xml:space="preserve">, with a focus on developing </w:t>
      </w:r>
      <w:r w:rsidR="00E6001F" w:rsidRPr="007957C5">
        <w:rPr>
          <w:rFonts w:ascii="Avenir Roman" w:hAnsi="Avenir Roman"/>
          <w:sz w:val="22"/>
          <w:szCs w:val="22"/>
        </w:rPr>
        <w:t>“</w:t>
      </w:r>
      <w:r w:rsidR="006E3051" w:rsidRPr="007957C5">
        <w:rPr>
          <w:rFonts w:ascii="Avenir Roman" w:hAnsi="Avenir Roman"/>
          <w:sz w:val="22"/>
          <w:szCs w:val="22"/>
        </w:rPr>
        <w:t xml:space="preserve">accommodation for people who require </w:t>
      </w:r>
      <w:r w:rsidR="00E6001F" w:rsidRPr="007957C5">
        <w:rPr>
          <w:rFonts w:ascii="Avenir Roman" w:hAnsi="Avenir Roman"/>
          <w:sz w:val="22"/>
          <w:szCs w:val="22"/>
        </w:rPr>
        <w:t xml:space="preserve">specialist </w:t>
      </w:r>
      <w:r w:rsidR="00705448" w:rsidRPr="007957C5">
        <w:rPr>
          <w:rFonts w:ascii="Avenir Roman" w:hAnsi="Avenir Roman"/>
          <w:sz w:val="22"/>
          <w:szCs w:val="22"/>
        </w:rPr>
        <w:t>housing solutions</w:t>
      </w:r>
      <w:r w:rsidR="006E3051" w:rsidRPr="007957C5">
        <w:rPr>
          <w:rFonts w:ascii="Avenir Roman" w:hAnsi="Avenir Roman"/>
          <w:sz w:val="22"/>
          <w:szCs w:val="22"/>
        </w:rPr>
        <w:t>”.</w:t>
      </w:r>
      <w:r w:rsidR="006E3051" w:rsidRPr="007957C5">
        <w:rPr>
          <w:rStyle w:val="FootnoteReference"/>
          <w:rFonts w:ascii="Avenir Roman" w:hAnsi="Avenir Roman"/>
          <w:sz w:val="22"/>
          <w:szCs w:val="22"/>
        </w:rPr>
        <w:footnoteReference w:id="65"/>
      </w:r>
      <w:r w:rsidR="00705448" w:rsidRPr="007957C5">
        <w:rPr>
          <w:rFonts w:ascii="Avenir Roman" w:hAnsi="Avenir Roman"/>
          <w:sz w:val="22"/>
          <w:szCs w:val="22"/>
        </w:rPr>
        <w:t xml:space="preserve"> </w:t>
      </w:r>
      <w:r w:rsidR="001B2B76" w:rsidRPr="007957C5">
        <w:rPr>
          <w:rFonts w:ascii="Avenir Roman" w:hAnsi="Avenir Roman"/>
          <w:sz w:val="22"/>
          <w:szCs w:val="22"/>
        </w:rPr>
        <w:t xml:space="preserve">SDA </w:t>
      </w:r>
      <w:r w:rsidR="00E6001F" w:rsidRPr="007957C5">
        <w:rPr>
          <w:rFonts w:ascii="Avenir Roman" w:hAnsi="Avenir Roman"/>
          <w:sz w:val="22"/>
          <w:szCs w:val="22"/>
        </w:rPr>
        <w:t xml:space="preserve">aims to </w:t>
      </w:r>
      <w:r w:rsidR="001B2B76" w:rsidRPr="007957C5">
        <w:rPr>
          <w:rFonts w:ascii="Avenir Roman" w:hAnsi="Avenir Roman"/>
          <w:sz w:val="22"/>
          <w:szCs w:val="22"/>
        </w:rPr>
        <w:t>provide</w:t>
      </w:r>
      <w:r w:rsidR="00E6001F" w:rsidRPr="007957C5">
        <w:rPr>
          <w:rFonts w:ascii="Avenir Roman" w:hAnsi="Avenir Roman"/>
          <w:sz w:val="22"/>
          <w:szCs w:val="22"/>
        </w:rPr>
        <w:t xml:space="preserve"> </w:t>
      </w:r>
      <w:r w:rsidR="006E3051" w:rsidRPr="007957C5">
        <w:rPr>
          <w:rFonts w:ascii="Avenir Roman" w:hAnsi="Avenir Roman"/>
          <w:sz w:val="22"/>
          <w:szCs w:val="22"/>
        </w:rPr>
        <w:t xml:space="preserve">eligible </w:t>
      </w:r>
      <w:r w:rsidR="001226C4" w:rsidRPr="007957C5">
        <w:rPr>
          <w:rFonts w:ascii="Avenir Roman" w:hAnsi="Avenir Roman"/>
          <w:sz w:val="22"/>
          <w:szCs w:val="22"/>
        </w:rPr>
        <w:t xml:space="preserve">people with disability choice </w:t>
      </w:r>
      <w:r w:rsidR="006E3051" w:rsidRPr="007957C5">
        <w:rPr>
          <w:rFonts w:ascii="Avenir Roman" w:hAnsi="Avenir Roman"/>
          <w:sz w:val="22"/>
          <w:szCs w:val="22"/>
        </w:rPr>
        <w:t>of</w:t>
      </w:r>
      <w:r w:rsidR="001226C4" w:rsidRPr="007957C5">
        <w:rPr>
          <w:rFonts w:ascii="Avenir Roman" w:hAnsi="Avenir Roman"/>
          <w:sz w:val="22"/>
          <w:szCs w:val="22"/>
        </w:rPr>
        <w:t xml:space="preserve"> housing options</w:t>
      </w:r>
      <w:r w:rsidR="00E6001F" w:rsidRPr="007957C5">
        <w:rPr>
          <w:rFonts w:ascii="Avenir Roman" w:hAnsi="Avenir Roman"/>
          <w:sz w:val="22"/>
          <w:szCs w:val="22"/>
        </w:rPr>
        <w:t xml:space="preserve"> given the lack of mainstream housing alternatives.  </w:t>
      </w:r>
      <w:r w:rsidR="00A17149" w:rsidRPr="007957C5">
        <w:rPr>
          <w:rFonts w:ascii="Avenir Roman" w:hAnsi="Avenir Roman"/>
          <w:sz w:val="22"/>
          <w:szCs w:val="22"/>
        </w:rPr>
        <w:t>Potentially</w:t>
      </w:r>
      <w:r w:rsidR="00CA6908" w:rsidRPr="007957C5">
        <w:rPr>
          <w:rFonts w:ascii="Avenir Roman" w:hAnsi="Avenir Roman"/>
          <w:sz w:val="22"/>
          <w:szCs w:val="22"/>
        </w:rPr>
        <w:t>,</w:t>
      </w:r>
      <w:r w:rsidR="00A17149" w:rsidRPr="007957C5">
        <w:rPr>
          <w:rFonts w:ascii="Avenir Roman" w:hAnsi="Avenir Roman"/>
          <w:sz w:val="22"/>
          <w:szCs w:val="22"/>
        </w:rPr>
        <w:t xml:space="preserve"> the </w:t>
      </w:r>
      <w:r w:rsidR="00E6001F" w:rsidRPr="007957C5">
        <w:rPr>
          <w:rFonts w:ascii="Avenir Roman" w:hAnsi="Avenir Roman"/>
          <w:sz w:val="22"/>
          <w:szCs w:val="22"/>
        </w:rPr>
        <w:t xml:space="preserve">SDA </w:t>
      </w:r>
      <w:r w:rsidR="00A17149" w:rsidRPr="007957C5">
        <w:rPr>
          <w:rFonts w:ascii="Avenir Roman" w:hAnsi="Avenir Roman"/>
          <w:sz w:val="22"/>
          <w:szCs w:val="22"/>
        </w:rPr>
        <w:t>could address critical housing shortages</w:t>
      </w:r>
      <w:r w:rsidR="001226C4" w:rsidRPr="007957C5">
        <w:rPr>
          <w:rFonts w:ascii="Avenir Roman" w:hAnsi="Avenir Roman"/>
          <w:sz w:val="22"/>
          <w:szCs w:val="22"/>
        </w:rPr>
        <w:t xml:space="preserve">, particularly for those who </w:t>
      </w:r>
      <w:r w:rsidR="001B2B76" w:rsidRPr="007957C5">
        <w:rPr>
          <w:rFonts w:ascii="Avenir Roman" w:hAnsi="Avenir Roman"/>
          <w:sz w:val="22"/>
          <w:szCs w:val="22"/>
        </w:rPr>
        <w:t>are</w:t>
      </w:r>
      <w:r w:rsidR="001226C4" w:rsidRPr="007957C5">
        <w:rPr>
          <w:rFonts w:ascii="Avenir Roman" w:hAnsi="Avenir Roman"/>
          <w:sz w:val="22"/>
          <w:szCs w:val="22"/>
        </w:rPr>
        <w:t xml:space="preserve"> living with ageing parents, younger people in nursing homes, those who </w:t>
      </w:r>
      <w:r w:rsidR="001B2B76" w:rsidRPr="007957C5">
        <w:rPr>
          <w:rFonts w:ascii="Avenir Roman" w:hAnsi="Avenir Roman"/>
          <w:sz w:val="22"/>
          <w:szCs w:val="22"/>
        </w:rPr>
        <w:t xml:space="preserve">remain in </w:t>
      </w:r>
      <w:r w:rsidR="001226C4" w:rsidRPr="007957C5">
        <w:rPr>
          <w:rFonts w:ascii="Avenir Roman" w:hAnsi="Avenir Roman"/>
          <w:sz w:val="22"/>
          <w:szCs w:val="22"/>
        </w:rPr>
        <w:t>hospitals</w:t>
      </w:r>
      <w:r w:rsidR="001B2B76" w:rsidRPr="007957C5">
        <w:rPr>
          <w:rFonts w:ascii="Avenir Roman" w:hAnsi="Avenir Roman"/>
          <w:sz w:val="22"/>
          <w:szCs w:val="22"/>
        </w:rPr>
        <w:t xml:space="preserve">, </w:t>
      </w:r>
      <w:r w:rsidR="001226C4" w:rsidRPr="007957C5">
        <w:rPr>
          <w:rFonts w:ascii="Avenir Roman" w:hAnsi="Avenir Roman"/>
          <w:sz w:val="22"/>
          <w:szCs w:val="22"/>
        </w:rPr>
        <w:t>psychiatric facilities</w:t>
      </w:r>
      <w:r w:rsidR="001B2B76" w:rsidRPr="007957C5">
        <w:rPr>
          <w:rFonts w:ascii="Avenir Roman" w:hAnsi="Avenir Roman"/>
          <w:sz w:val="22"/>
          <w:szCs w:val="22"/>
        </w:rPr>
        <w:t xml:space="preserve"> and other settings because of the lack of alternatives</w:t>
      </w:r>
      <w:r w:rsidR="001226C4" w:rsidRPr="007957C5">
        <w:rPr>
          <w:rFonts w:ascii="Avenir Roman" w:hAnsi="Avenir Roman"/>
          <w:sz w:val="22"/>
          <w:szCs w:val="22"/>
        </w:rPr>
        <w:t xml:space="preserve">. </w:t>
      </w:r>
      <w:r w:rsidR="001B2B76" w:rsidRPr="007957C5">
        <w:rPr>
          <w:rFonts w:ascii="Avenir Roman" w:hAnsi="Avenir Roman"/>
          <w:sz w:val="22"/>
          <w:szCs w:val="22"/>
        </w:rPr>
        <w:t>While the SDA housing market is new, “it is expected to create thousands of new dwellings for people with disability over the next few years”</w:t>
      </w:r>
      <w:r w:rsidR="006E3051" w:rsidRPr="007957C5">
        <w:rPr>
          <w:rStyle w:val="FootnoteReference"/>
          <w:rFonts w:ascii="Avenir Roman" w:hAnsi="Avenir Roman"/>
          <w:sz w:val="22"/>
          <w:szCs w:val="22"/>
        </w:rPr>
        <w:footnoteReference w:id="66"/>
      </w:r>
      <w:r w:rsidR="001B2B76" w:rsidRPr="007957C5">
        <w:rPr>
          <w:rFonts w:ascii="Avenir Roman" w:hAnsi="Avenir Roman"/>
          <w:sz w:val="22"/>
          <w:szCs w:val="22"/>
        </w:rPr>
        <w:t xml:space="preserve"> </w:t>
      </w:r>
      <w:r w:rsidR="0019070A" w:rsidRPr="007957C5">
        <w:rPr>
          <w:rFonts w:ascii="Avenir Roman" w:hAnsi="Avenir Roman"/>
          <w:sz w:val="22"/>
          <w:szCs w:val="22"/>
        </w:rPr>
        <w:t>increasing</w:t>
      </w:r>
      <w:r w:rsidR="001B2B76" w:rsidRPr="007957C5">
        <w:rPr>
          <w:rFonts w:ascii="Avenir Roman" w:hAnsi="Avenir Roman"/>
          <w:sz w:val="22"/>
          <w:szCs w:val="22"/>
        </w:rPr>
        <w:t xml:space="preserve"> choice in where to live and who to live with. </w:t>
      </w:r>
    </w:p>
    <w:p w14:paraId="2DFF567F" w14:textId="77777777" w:rsidR="00F84807" w:rsidRPr="007957C5" w:rsidRDefault="00F84807" w:rsidP="007957C5">
      <w:pPr>
        <w:pStyle w:val="ListParagraph"/>
        <w:spacing w:line="240" w:lineRule="auto"/>
        <w:jc w:val="left"/>
        <w:rPr>
          <w:rFonts w:ascii="Avenir Roman" w:hAnsi="Avenir Roman"/>
          <w:sz w:val="22"/>
          <w:szCs w:val="22"/>
        </w:rPr>
      </w:pPr>
    </w:p>
    <w:p w14:paraId="01ECDA27" w14:textId="3670D925" w:rsidR="00F73EE5" w:rsidRPr="007957C5" w:rsidRDefault="009D07DA"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However, </w:t>
      </w:r>
      <w:r w:rsidR="001B2B76" w:rsidRPr="007957C5">
        <w:rPr>
          <w:rFonts w:ascii="Avenir Roman" w:hAnsi="Avenir Roman"/>
          <w:sz w:val="22"/>
          <w:szCs w:val="22"/>
        </w:rPr>
        <w:t xml:space="preserve">SDA is targeted to people with “very </w:t>
      </w:r>
      <w:r w:rsidR="006E3051" w:rsidRPr="007957C5">
        <w:rPr>
          <w:rFonts w:ascii="Avenir Roman" w:hAnsi="Avenir Roman"/>
          <w:sz w:val="22"/>
          <w:szCs w:val="22"/>
        </w:rPr>
        <w:t xml:space="preserve">extreme functional impairment or very high </w:t>
      </w:r>
      <w:r w:rsidR="001B2B76" w:rsidRPr="007957C5">
        <w:rPr>
          <w:rFonts w:ascii="Avenir Roman" w:hAnsi="Avenir Roman"/>
          <w:sz w:val="22"/>
          <w:szCs w:val="22"/>
        </w:rPr>
        <w:t>support needs”</w:t>
      </w:r>
      <w:r w:rsidR="006E3051" w:rsidRPr="007957C5">
        <w:rPr>
          <w:rStyle w:val="FootnoteReference"/>
          <w:rFonts w:ascii="Avenir Roman" w:hAnsi="Avenir Roman"/>
          <w:sz w:val="22"/>
          <w:szCs w:val="22"/>
        </w:rPr>
        <w:footnoteReference w:id="67"/>
      </w:r>
      <w:r w:rsidR="001B2B76" w:rsidRPr="007957C5">
        <w:rPr>
          <w:rFonts w:ascii="Avenir Roman" w:hAnsi="Avenir Roman"/>
          <w:sz w:val="22"/>
          <w:szCs w:val="22"/>
        </w:rPr>
        <w:t xml:space="preserve"> </w:t>
      </w:r>
      <w:r w:rsidR="00F84807" w:rsidRPr="007957C5">
        <w:rPr>
          <w:rFonts w:ascii="Avenir Roman" w:hAnsi="Avenir Roman"/>
          <w:sz w:val="22"/>
          <w:szCs w:val="22"/>
        </w:rPr>
        <w:t>so</w:t>
      </w:r>
      <w:r w:rsidR="001B2B76" w:rsidRPr="007957C5">
        <w:rPr>
          <w:rFonts w:ascii="Avenir Roman" w:hAnsi="Avenir Roman"/>
          <w:sz w:val="22"/>
          <w:szCs w:val="22"/>
        </w:rPr>
        <w:t xml:space="preserve"> only 6% of NDIS participants are eligible.</w:t>
      </w:r>
      <w:r w:rsidR="00F84807" w:rsidRPr="007957C5">
        <w:rPr>
          <w:rFonts w:ascii="Avenir Roman" w:hAnsi="Avenir Roman"/>
          <w:sz w:val="22"/>
          <w:szCs w:val="22"/>
        </w:rPr>
        <w:t xml:space="preserve"> </w:t>
      </w:r>
      <w:r w:rsidR="004958DD" w:rsidRPr="007957C5">
        <w:rPr>
          <w:rFonts w:ascii="Avenir Roman" w:hAnsi="Avenir Roman"/>
          <w:sz w:val="22"/>
          <w:szCs w:val="22"/>
        </w:rPr>
        <w:t>In addition, and a</w:t>
      </w:r>
      <w:r w:rsidRPr="007957C5">
        <w:rPr>
          <w:rFonts w:ascii="Avenir Roman" w:hAnsi="Avenir Roman"/>
          <w:sz w:val="22"/>
          <w:szCs w:val="22"/>
        </w:rPr>
        <w:t>s noted above, m</w:t>
      </w:r>
      <w:r w:rsidR="00F84807" w:rsidRPr="007957C5">
        <w:rPr>
          <w:rFonts w:ascii="Avenir Roman" w:hAnsi="Avenir Roman"/>
          <w:sz w:val="22"/>
          <w:szCs w:val="22"/>
        </w:rPr>
        <w:t xml:space="preserve">ost NDIS participants with SDA funding transitioned to the NDIS within an existing supported accommodation arrangement, particularly in group homes.  </w:t>
      </w:r>
      <w:r w:rsidRPr="007957C5">
        <w:rPr>
          <w:rFonts w:ascii="Avenir Roman" w:hAnsi="Avenir Roman"/>
          <w:sz w:val="22"/>
          <w:szCs w:val="22"/>
        </w:rPr>
        <w:t>T</w:t>
      </w:r>
      <w:r w:rsidR="00F84807" w:rsidRPr="007957C5">
        <w:rPr>
          <w:rFonts w:ascii="Avenir Roman" w:hAnsi="Avenir Roman"/>
          <w:sz w:val="22"/>
          <w:szCs w:val="22"/>
        </w:rPr>
        <w:t xml:space="preserve">he majority of these participants were not offered or not aware of other choices, and it is unclear what measures are being taken to ensure these participants will be able to canvass </w:t>
      </w:r>
      <w:r w:rsidR="00FD248A" w:rsidRPr="007957C5">
        <w:rPr>
          <w:rFonts w:ascii="Avenir Roman" w:hAnsi="Avenir Roman"/>
          <w:sz w:val="22"/>
          <w:szCs w:val="22"/>
        </w:rPr>
        <w:t xml:space="preserve">and make choices about </w:t>
      </w:r>
      <w:r w:rsidR="00F84807" w:rsidRPr="007957C5">
        <w:rPr>
          <w:rFonts w:ascii="Avenir Roman" w:hAnsi="Avenir Roman"/>
          <w:sz w:val="22"/>
          <w:szCs w:val="22"/>
        </w:rPr>
        <w:t>other housing options</w:t>
      </w:r>
      <w:r w:rsidR="000A704A" w:rsidRPr="007957C5">
        <w:rPr>
          <w:rFonts w:ascii="Avenir Roman" w:hAnsi="Avenir Roman"/>
          <w:sz w:val="22"/>
          <w:szCs w:val="22"/>
        </w:rPr>
        <w:t xml:space="preserve"> that are not segregated and congregate</w:t>
      </w:r>
      <w:r w:rsidR="00A17149" w:rsidRPr="007957C5">
        <w:rPr>
          <w:rFonts w:ascii="Avenir Roman" w:hAnsi="Avenir Roman"/>
          <w:sz w:val="22"/>
          <w:szCs w:val="22"/>
        </w:rPr>
        <w:t>d</w:t>
      </w:r>
      <w:r w:rsidR="000A704A" w:rsidRPr="007957C5">
        <w:rPr>
          <w:rFonts w:ascii="Avenir Roman" w:hAnsi="Avenir Roman"/>
          <w:sz w:val="22"/>
          <w:szCs w:val="22"/>
        </w:rPr>
        <w:t xml:space="preserve"> living arrangements</w:t>
      </w:r>
      <w:r w:rsidR="00FD248A" w:rsidRPr="007957C5">
        <w:rPr>
          <w:rFonts w:ascii="Avenir Roman" w:hAnsi="Avenir Roman"/>
          <w:sz w:val="22"/>
          <w:szCs w:val="22"/>
        </w:rPr>
        <w:t>.</w:t>
      </w:r>
      <w:r w:rsidR="00F84807" w:rsidRPr="007957C5">
        <w:rPr>
          <w:rFonts w:ascii="Avenir Roman" w:hAnsi="Avenir Roman"/>
          <w:sz w:val="22"/>
          <w:szCs w:val="22"/>
        </w:rPr>
        <w:t xml:space="preserve"> </w:t>
      </w:r>
      <w:r w:rsidR="00517760" w:rsidRPr="007957C5">
        <w:rPr>
          <w:rFonts w:ascii="Avenir Roman" w:hAnsi="Avenir Roman"/>
          <w:sz w:val="22"/>
          <w:szCs w:val="22"/>
        </w:rPr>
        <w:t>Although SDA has enabled development of contemporary, non-segregated housing options, o</w:t>
      </w:r>
      <w:r w:rsidR="00932B11" w:rsidRPr="007957C5">
        <w:rPr>
          <w:rFonts w:ascii="Avenir Roman" w:hAnsi="Avenir Roman"/>
          <w:sz w:val="22"/>
          <w:szCs w:val="22"/>
        </w:rPr>
        <w:t xml:space="preserve">f great concern is </w:t>
      </w:r>
      <w:r w:rsidRPr="007957C5">
        <w:rPr>
          <w:rFonts w:ascii="Avenir Roman" w:hAnsi="Avenir Roman"/>
          <w:sz w:val="22"/>
          <w:szCs w:val="22"/>
        </w:rPr>
        <w:t xml:space="preserve">the fact </w:t>
      </w:r>
      <w:r w:rsidR="00932B11" w:rsidRPr="007957C5">
        <w:rPr>
          <w:rFonts w:ascii="Avenir Roman" w:hAnsi="Avenir Roman"/>
          <w:sz w:val="22"/>
          <w:szCs w:val="22"/>
        </w:rPr>
        <w:t xml:space="preserve">that </w:t>
      </w:r>
      <w:r w:rsidR="00F73EE5" w:rsidRPr="007957C5">
        <w:rPr>
          <w:rFonts w:ascii="Avenir Roman" w:hAnsi="Avenir Roman"/>
          <w:sz w:val="22"/>
          <w:szCs w:val="22"/>
        </w:rPr>
        <w:t xml:space="preserve">the </w:t>
      </w:r>
      <w:r w:rsidR="00932B11" w:rsidRPr="007957C5">
        <w:rPr>
          <w:rFonts w:ascii="Avenir Roman" w:hAnsi="Avenir Roman"/>
          <w:sz w:val="22"/>
          <w:szCs w:val="22"/>
        </w:rPr>
        <w:t xml:space="preserve">SDA </w:t>
      </w:r>
      <w:r w:rsidR="00F73EE5" w:rsidRPr="007957C5">
        <w:rPr>
          <w:rFonts w:ascii="Avenir Roman" w:hAnsi="Avenir Roman"/>
          <w:sz w:val="22"/>
          <w:szCs w:val="22"/>
        </w:rPr>
        <w:t>rules and guidelines allow for the building of new group homes, with the group home being one of the most common building type</w:t>
      </w:r>
      <w:r w:rsidR="00E95F88" w:rsidRPr="007957C5">
        <w:rPr>
          <w:rFonts w:ascii="Avenir Roman" w:hAnsi="Avenir Roman"/>
          <w:sz w:val="22"/>
          <w:szCs w:val="22"/>
        </w:rPr>
        <w:t>s</w:t>
      </w:r>
      <w:r w:rsidR="00F73EE5" w:rsidRPr="007957C5">
        <w:rPr>
          <w:rFonts w:ascii="Avenir Roman" w:hAnsi="Avenir Roman"/>
          <w:sz w:val="22"/>
          <w:szCs w:val="22"/>
        </w:rPr>
        <w:t>, particularly in NSW.</w:t>
      </w:r>
      <w:r w:rsidR="00E95F88" w:rsidRPr="007957C5">
        <w:rPr>
          <w:rStyle w:val="FootnoteReference"/>
          <w:rFonts w:ascii="Avenir Roman" w:hAnsi="Avenir Roman"/>
          <w:sz w:val="22"/>
          <w:szCs w:val="22"/>
        </w:rPr>
        <w:footnoteReference w:id="68"/>
      </w:r>
      <w:r w:rsidR="00517760" w:rsidRPr="007957C5">
        <w:rPr>
          <w:rFonts w:ascii="Avenir Roman" w:hAnsi="Avenir Roman"/>
          <w:sz w:val="22"/>
          <w:szCs w:val="22"/>
        </w:rPr>
        <w:t xml:space="preserve"> This </w:t>
      </w:r>
      <w:r w:rsidR="00E6001F" w:rsidRPr="007957C5">
        <w:rPr>
          <w:rFonts w:ascii="Avenir Roman" w:hAnsi="Avenir Roman"/>
          <w:sz w:val="22"/>
          <w:szCs w:val="22"/>
        </w:rPr>
        <w:t xml:space="preserve">means that </w:t>
      </w:r>
      <w:r w:rsidR="00A17149" w:rsidRPr="007957C5">
        <w:rPr>
          <w:rFonts w:ascii="Avenir Roman" w:hAnsi="Avenir Roman"/>
          <w:sz w:val="22"/>
          <w:szCs w:val="22"/>
        </w:rPr>
        <w:t xml:space="preserve">SDA </w:t>
      </w:r>
      <w:r w:rsidRPr="007957C5">
        <w:rPr>
          <w:rFonts w:ascii="Avenir Roman" w:hAnsi="Avenir Roman"/>
          <w:sz w:val="22"/>
          <w:szCs w:val="22"/>
        </w:rPr>
        <w:t>is facilitating the continuation of segregated and congregate forms of housing for people with disability rather than ending these forms of housing.</w:t>
      </w:r>
    </w:p>
    <w:p w14:paraId="7679B194" w14:textId="77777777" w:rsidR="00F73EE5" w:rsidRPr="007957C5" w:rsidRDefault="00F73EE5" w:rsidP="007957C5">
      <w:pPr>
        <w:pStyle w:val="ListParagraph"/>
        <w:spacing w:line="240" w:lineRule="auto"/>
        <w:jc w:val="left"/>
        <w:rPr>
          <w:rFonts w:ascii="Avenir Roman" w:hAnsi="Avenir Roman"/>
          <w:sz w:val="22"/>
          <w:szCs w:val="22"/>
        </w:rPr>
      </w:pPr>
    </w:p>
    <w:p w14:paraId="7ED59370" w14:textId="1DB5E23B" w:rsidR="00C5437B" w:rsidRPr="007957C5" w:rsidRDefault="00A17149"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Rather than enable further group home developments through SDA, the NDIA should </w:t>
      </w:r>
      <w:r w:rsidR="004958DD" w:rsidRPr="007957C5">
        <w:rPr>
          <w:rFonts w:ascii="Avenir Roman" w:hAnsi="Avenir Roman"/>
          <w:sz w:val="22"/>
          <w:szCs w:val="22"/>
        </w:rPr>
        <w:t xml:space="preserve">remove group homes as an SDA new build option, and </w:t>
      </w:r>
      <w:r w:rsidRPr="007957C5">
        <w:rPr>
          <w:rFonts w:ascii="Avenir Roman" w:hAnsi="Avenir Roman"/>
          <w:sz w:val="22"/>
          <w:szCs w:val="22"/>
        </w:rPr>
        <w:t xml:space="preserve">focus on repurposing existing group homes </w:t>
      </w:r>
      <w:r w:rsidR="004958DD" w:rsidRPr="007957C5">
        <w:rPr>
          <w:rFonts w:ascii="Avenir Roman" w:hAnsi="Avenir Roman"/>
          <w:sz w:val="22"/>
          <w:szCs w:val="22"/>
        </w:rPr>
        <w:t xml:space="preserve">into genuine non-segregated housing options that facilitate community participation and inclusion. </w:t>
      </w:r>
      <w:r w:rsidR="00A620BC" w:rsidRPr="007957C5">
        <w:rPr>
          <w:rFonts w:ascii="Avenir Roman" w:hAnsi="Avenir Roman"/>
          <w:sz w:val="22"/>
          <w:szCs w:val="22"/>
        </w:rPr>
        <w:t xml:space="preserve">The Independent Advisory Council to the NDIS has prepared a range of advice on contemporary options for housing and support, </w:t>
      </w:r>
      <w:r w:rsidR="00A620BC" w:rsidRPr="007957C5">
        <w:rPr>
          <w:rFonts w:ascii="Avenir Roman" w:hAnsi="Avenir Roman"/>
          <w:sz w:val="22"/>
          <w:szCs w:val="22"/>
        </w:rPr>
        <w:lastRenderedPageBreak/>
        <w:t>including in relation to repurposing group homes.</w:t>
      </w:r>
      <w:r w:rsidR="00A620BC" w:rsidRPr="007957C5">
        <w:rPr>
          <w:rStyle w:val="FootnoteReference"/>
          <w:rFonts w:ascii="Avenir Roman" w:hAnsi="Avenir Roman"/>
          <w:sz w:val="22"/>
          <w:szCs w:val="22"/>
        </w:rPr>
        <w:footnoteReference w:id="69"/>
      </w:r>
      <w:r w:rsidR="00A620BC" w:rsidRPr="007957C5">
        <w:rPr>
          <w:rFonts w:ascii="Avenir Roman" w:hAnsi="Avenir Roman"/>
          <w:sz w:val="22"/>
          <w:szCs w:val="22"/>
        </w:rPr>
        <w:t xml:space="preserve"> </w:t>
      </w:r>
      <w:r w:rsidRPr="007957C5">
        <w:rPr>
          <w:rFonts w:ascii="Avenir Roman" w:hAnsi="Avenir Roman"/>
          <w:sz w:val="22"/>
          <w:szCs w:val="22"/>
        </w:rPr>
        <w:t xml:space="preserve">For example, </w:t>
      </w:r>
      <w:r w:rsidR="004958DD" w:rsidRPr="007957C5">
        <w:rPr>
          <w:rFonts w:ascii="Avenir Roman" w:hAnsi="Avenir Roman"/>
          <w:sz w:val="22"/>
          <w:szCs w:val="22"/>
        </w:rPr>
        <w:t xml:space="preserve">repurposing options for </w:t>
      </w:r>
      <w:r w:rsidRPr="007957C5">
        <w:rPr>
          <w:rFonts w:ascii="Avenir Roman" w:hAnsi="Avenir Roman"/>
          <w:sz w:val="22"/>
          <w:szCs w:val="22"/>
        </w:rPr>
        <w:t xml:space="preserve">group homes </w:t>
      </w:r>
      <w:r w:rsidR="00701A51" w:rsidRPr="007957C5">
        <w:rPr>
          <w:rFonts w:ascii="Avenir Roman" w:hAnsi="Avenir Roman"/>
          <w:sz w:val="22"/>
          <w:szCs w:val="22"/>
        </w:rPr>
        <w:t>should</w:t>
      </w:r>
      <w:r w:rsidR="00731159" w:rsidRPr="007957C5">
        <w:rPr>
          <w:rFonts w:ascii="Avenir Roman" w:hAnsi="Avenir Roman"/>
          <w:sz w:val="22"/>
          <w:szCs w:val="22"/>
        </w:rPr>
        <w:t xml:space="preserve"> replicate genuine community living </w:t>
      </w:r>
      <w:r w:rsidRPr="007957C5">
        <w:rPr>
          <w:rFonts w:ascii="Avenir Roman" w:hAnsi="Avenir Roman"/>
          <w:sz w:val="22"/>
          <w:szCs w:val="22"/>
        </w:rPr>
        <w:t>options</w:t>
      </w:r>
      <w:r w:rsidR="00731159" w:rsidRPr="007957C5">
        <w:rPr>
          <w:rFonts w:ascii="Avenir Roman" w:hAnsi="Avenir Roman"/>
          <w:sz w:val="22"/>
          <w:szCs w:val="22"/>
        </w:rPr>
        <w:t xml:space="preserve">, </w:t>
      </w:r>
      <w:r w:rsidR="00701A51" w:rsidRPr="007957C5">
        <w:rPr>
          <w:rFonts w:ascii="Avenir Roman" w:hAnsi="Avenir Roman"/>
          <w:sz w:val="22"/>
          <w:szCs w:val="22"/>
        </w:rPr>
        <w:t xml:space="preserve">and could </w:t>
      </w:r>
      <w:r w:rsidR="004958DD" w:rsidRPr="007957C5">
        <w:rPr>
          <w:rFonts w:ascii="Avenir Roman" w:hAnsi="Avenir Roman"/>
          <w:sz w:val="22"/>
          <w:szCs w:val="22"/>
        </w:rPr>
        <w:t xml:space="preserve">include group homes </w:t>
      </w:r>
      <w:r w:rsidR="00731159" w:rsidRPr="007957C5">
        <w:rPr>
          <w:rFonts w:ascii="Avenir Roman" w:hAnsi="Avenir Roman"/>
          <w:sz w:val="22"/>
          <w:szCs w:val="22"/>
        </w:rPr>
        <w:t>be</w:t>
      </w:r>
      <w:r w:rsidR="004958DD" w:rsidRPr="007957C5">
        <w:rPr>
          <w:rFonts w:ascii="Avenir Roman" w:hAnsi="Avenir Roman"/>
          <w:sz w:val="22"/>
          <w:szCs w:val="22"/>
        </w:rPr>
        <w:t xml:space="preserve">coming ordinary residential housing for </w:t>
      </w:r>
      <w:r w:rsidR="003761FF" w:rsidRPr="007957C5">
        <w:rPr>
          <w:rFonts w:ascii="Avenir Roman" w:hAnsi="Avenir Roman"/>
          <w:sz w:val="22"/>
          <w:szCs w:val="22"/>
        </w:rPr>
        <w:t xml:space="preserve">people with disability who have partners and families, </w:t>
      </w:r>
      <w:r w:rsidR="004958DD" w:rsidRPr="007957C5">
        <w:rPr>
          <w:rFonts w:ascii="Avenir Roman" w:hAnsi="Avenir Roman"/>
          <w:sz w:val="22"/>
          <w:szCs w:val="22"/>
        </w:rPr>
        <w:t>for</w:t>
      </w:r>
      <w:r w:rsidR="003761FF" w:rsidRPr="007957C5">
        <w:rPr>
          <w:rFonts w:ascii="Avenir Roman" w:hAnsi="Avenir Roman"/>
          <w:sz w:val="22"/>
          <w:szCs w:val="22"/>
        </w:rPr>
        <w:t xml:space="preserve"> </w:t>
      </w:r>
      <w:r w:rsidRPr="007957C5">
        <w:rPr>
          <w:rFonts w:ascii="Avenir Roman" w:hAnsi="Avenir Roman"/>
          <w:sz w:val="22"/>
          <w:szCs w:val="22"/>
        </w:rPr>
        <w:t xml:space="preserve">families who have family members with disability, </w:t>
      </w:r>
      <w:r w:rsidR="003761FF" w:rsidRPr="007957C5">
        <w:rPr>
          <w:rFonts w:ascii="Avenir Roman" w:hAnsi="Avenir Roman"/>
          <w:sz w:val="22"/>
          <w:szCs w:val="22"/>
        </w:rPr>
        <w:t xml:space="preserve">or </w:t>
      </w:r>
      <w:r w:rsidRPr="007957C5">
        <w:rPr>
          <w:rFonts w:ascii="Avenir Roman" w:hAnsi="Avenir Roman"/>
          <w:sz w:val="22"/>
          <w:szCs w:val="22"/>
        </w:rPr>
        <w:t xml:space="preserve">for shared housing for people with disability sharing with people </w:t>
      </w:r>
      <w:r w:rsidR="004958DD" w:rsidRPr="007957C5">
        <w:rPr>
          <w:rFonts w:ascii="Avenir Roman" w:hAnsi="Avenir Roman"/>
          <w:sz w:val="22"/>
          <w:szCs w:val="22"/>
        </w:rPr>
        <w:t xml:space="preserve">with and </w:t>
      </w:r>
      <w:r w:rsidRPr="007957C5">
        <w:rPr>
          <w:rFonts w:ascii="Avenir Roman" w:hAnsi="Avenir Roman"/>
          <w:sz w:val="22"/>
          <w:szCs w:val="22"/>
        </w:rPr>
        <w:t xml:space="preserve">without disability. </w:t>
      </w:r>
    </w:p>
    <w:p w14:paraId="1A3DCCAD" w14:textId="77777777" w:rsidR="00D25543" w:rsidRPr="007957C5" w:rsidRDefault="00D25543" w:rsidP="007957C5">
      <w:pPr>
        <w:pStyle w:val="ListParagraph"/>
        <w:spacing w:line="240" w:lineRule="auto"/>
        <w:jc w:val="left"/>
        <w:rPr>
          <w:rFonts w:ascii="Avenir Roman" w:hAnsi="Avenir Roman"/>
          <w:sz w:val="22"/>
          <w:szCs w:val="22"/>
        </w:rPr>
      </w:pPr>
    </w:p>
    <w:p w14:paraId="6417A697" w14:textId="4B799272" w:rsidR="00826072" w:rsidRPr="00E50CD5" w:rsidRDefault="00D25543"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The ongoing </w:t>
      </w:r>
      <w:r w:rsidR="007B5662" w:rsidRPr="007957C5">
        <w:rPr>
          <w:rFonts w:ascii="Avenir Roman" w:hAnsi="Avenir Roman"/>
          <w:sz w:val="22"/>
          <w:szCs w:val="22"/>
        </w:rPr>
        <w:t xml:space="preserve">predominance and support for the group home model of accommodation reinforces and maintains the segregation of people with disability from the community.  </w:t>
      </w:r>
      <w:r w:rsidR="00226282" w:rsidRPr="007957C5">
        <w:rPr>
          <w:rFonts w:ascii="Avenir Roman" w:hAnsi="Avenir Roman"/>
          <w:sz w:val="22"/>
          <w:szCs w:val="22"/>
        </w:rPr>
        <w:t xml:space="preserve">It violates the human rights principles and standards of equality and non-discrimination and prevents realisation of the right to live independently and be included in the community. </w:t>
      </w:r>
    </w:p>
    <w:p w14:paraId="5386F54F" w14:textId="34FCDF84" w:rsidR="00F83177" w:rsidRPr="007957C5" w:rsidRDefault="00836ACA" w:rsidP="00564172">
      <w:pPr>
        <w:pStyle w:val="Heading3"/>
        <w:numPr>
          <w:ilvl w:val="1"/>
          <w:numId w:val="22"/>
        </w:numPr>
        <w:spacing w:after="120" w:line="240" w:lineRule="auto"/>
        <w:ind w:left="1134" w:hanging="709"/>
        <w:rPr>
          <w:rFonts w:ascii="Avenir Roman" w:hAnsi="Avenir Roman"/>
          <w:i/>
          <w:sz w:val="22"/>
          <w:szCs w:val="22"/>
        </w:rPr>
      </w:pPr>
      <w:bookmarkStart w:id="114" w:name="_Toc43919155"/>
      <w:r w:rsidRPr="007957C5">
        <w:rPr>
          <w:rFonts w:ascii="Avenir Roman" w:hAnsi="Avenir Roman"/>
          <w:i/>
          <w:sz w:val="22"/>
          <w:szCs w:val="22"/>
        </w:rPr>
        <w:t>Adequate standard of living and social protection</w:t>
      </w:r>
      <w:bookmarkEnd w:id="114"/>
    </w:p>
    <w:p w14:paraId="7BD1369A" w14:textId="464A6484" w:rsidR="00025CDD" w:rsidRPr="007957C5" w:rsidRDefault="002C113C"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There is a critical interrelationship between Article 28 and article 19.  </w:t>
      </w:r>
      <w:r w:rsidR="004B3A34" w:rsidRPr="007957C5">
        <w:rPr>
          <w:rFonts w:ascii="Avenir Roman" w:hAnsi="Avenir Roman"/>
          <w:sz w:val="22"/>
          <w:szCs w:val="22"/>
        </w:rPr>
        <w:t xml:space="preserve">The </w:t>
      </w:r>
      <w:r w:rsidR="00306877" w:rsidRPr="007957C5">
        <w:rPr>
          <w:rFonts w:ascii="Avenir Roman" w:hAnsi="Avenir Roman"/>
          <w:sz w:val="22"/>
          <w:szCs w:val="22"/>
        </w:rPr>
        <w:t xml:space="preserve">ICESCR </w:t>
      </w:r>
      <w:r w:rsidR="004B3A34" w:rsidRPr="007957C5">
        <w:rPr>
          <w:rFonts w:ascii="Avenir Roman" w:hAnsi="Avenir Roman"/>
          <w:sz w:val="22"/>
          <w:szCs w:val="22"/>
        </w:rPr>
        <w:t xml:space="preserve">right to an adequate standard of living is </w:t>
      </w:r>
      <w:r w:rsidR="00306877" w:rsidRPr="007957C5">
        <w:rPr>
          <w:rFonts w:ascii="Avenir Roman" w:hAnsi="Avenir Roman"/>
          <w:sz w:val="22"/>
          <w:szCs w:val="22"/>
        </w:rPr>
        <w:t>explicitly</w:t>
      </w:r>
      <w:r w:rsidR="004B3A34" w:rsidRPr="007957C5">
        <w:rPr>
          <w:rFonts w:ascii="Avenir Roman" w:hAnsi="Avenir Roman"/>
          <w:sz w:val="22"/>
          <w:szCs w:val="22"/>
        </w:rPr>
        <w:t xml:space="preserve"> </w:t>
      </w:r>
      <w:r w:rsidR="0081374B" w:rsidRPr="007957C5">
        <w:rPr>
          <w:rFonts w:ascii="Avenir Roman" w:hAnsi="Avenir Roman"/>
          <w:sz w:val="22"/>
          <w:szCs w:val="22"/>
        </w:rPr>
        <w:t xml:space="preserve">applied to people with disability </w:t>
      </w:r>
      <w:r w:rsidR="004B3A34" w:rsidRPr="007957C5">
        <w:rPr>
          <w:rFonts w:ascii="Avenir Roman" w:hAnsi="Avenir Roman"/>
          <w:sz w:val="22"/>
          <w:szCs w:val="22"/>
        </w:rPr>
        <w:t>by article 28 of the CRPD</w:t>
      </w:r>
      <w:r w:rsidR="00306877" w:rsidRPr="007957C5">
        <w:rPr>
          <w:rFonts w:ascii="Avenir Roman" w:hAnsi="Avenir Roman"/>
          <w:sz w:val="22"/>
          <w:szCs w:val="22"/>
        </w:rPr>
        <w:t xml:space="preserve"> </w:t>
      </w:r>
      <w:r w:rsidR="00306877" w:rsidRPr="007957C5">
        <w:rPr>
          <w:rFonts w:ascii="Avenir Roman" w:hAnsi="Avenir Roman"/>
          <w:i/>
          <w:sz w:val="22"/>
          <w:szCs w:val="22"/>
        </w:rPr>
        <w:t>Adequate standard of living and social protection</w:t>
      </w:r>
      <w:r w:rsidR="00652E67" w:rsidRPr="007957C5">
        <w:rPr>
          <w:rFonts w:ascii="Avenir Roman" w:hAnsi="Avenir Roman"/>
          <w:sz w:val="22"/>
          <w:szCs w:val="22"/>
        </w:rPr>
        <w:t xml:space="preserve">.  </w:t>
      </w:r>
      <w:r w:rsidR="00025CDD" w:rsidRPr="007957C5">
        <w:rPr>
          <w:rFonts w:ascii="Avenir Roman" w:hAnsi="Avenir Roman"/>
          <w:sz w:val="22"/>
          <w:szCs w:val="22"/>
        </w:rPr>
        <w:t xml:space="preserve">Article 28 and article 19 cover some of the same subject matter, but they have a different focus in the context of living independently and being included in the community.  Article 28 </w:t>
      </w:r>
      <w:r w:rsidR="00025CDD" w:rsidRPr="007957C5">
        <w:rPr>
          <w:rFonts w:ascii="Avenir Roman" w:hAnsi="Avenir Roman"/>
          <w:sz w:val="22"/>
          <w:szCs w:val="22"/>
          <w:lang w:val="en-AU"/>
        </w:rPr>
        <w:t xml:space="preserve">guarantees the right to an adequate standard of living, including the right to adequate housing and support services, while </w:t>
      </w:r>
      <w:r w:rsidR="00025CDD" w:rsidRPr="007957C5">
        <w:rPr>
          <w:rFonts w:ascii="Avenir Roman" w:hAnsi="Avenir Roman"/>
          <w:sz w:val="22"/>
          <w:szCs w:val="22"/>
        </w:rPr>
        <w:t xml:space="preserve">article 19 guarantees the right to liberty of movement and freedom to choose one’s residence by requiring “housing and support services </w:t>
      </w:r>
      <w:r w:rsidR="00025CDD" w:rsidRPr="007957C5">
        <w:rPr>
          <w:rFonts w:ascii="Avenir Roman" w:hAnsi="Avenir Roman"/>
          <w:sz w:val="22"/>
          <w:szCs w:val="22"/>
          <w:lang w:val="en-AU"/>
        </w:rPr>
        <w:t>to be structured and provided in ways that enable independence, autonomy, participation and inclusion in the community.”</w:t>
      </w:r>
      <w:r w:rsidR="00025CDD" w:rsidRPr="007957C5">
        <w:rPr>
          <w:rStyle w:val="FootnoteReference"/>
          <w:rFonts w:ascii="Avenir Roman" w:hAnsi="Avenir Roman"/>
          <w:sz w:val="22"/>
          <w:szCs w:val="22"/>
          <w:lang w:val="en-AU"/>
        </w:rPr>
        <w:footnoteReference w:id="70"/>
      </w:r>
    </w:p>
    <w:p w14:paraId="2EFF03CE" w14:textId="77777777" w:rsidR="00025CDD" w:rsidRPr="007957C5" w:rsidRDefault="00025CDD" w:rsidP="007957C5">
      <w:pPr>
        <w:pStyle w:val="ListParagraph"/>
        <w:spacing w:line="240" w:lineRule="auto"/>
        <w:ind w:left="1134"/>
        <w:jc w:val="left"/>
        <w:rPr>
          <w:rFonts w:ascii="Avenir Roman" w:hAnsi="Avenir Roman"/>
          <w:sz w:val="22"/>
          <w:szCs w:val="22"/>
        </w:rPr>
      </w:pPr>
    </w:p>
    <w:p w14:paraId="128ED107" w14:textId="2845953E" w:rsidR="004B3A34" w:rsidRPr="007957C5" w:rsidRDefault="002C113C" w:rsidP="00564172">
      <w:pPr>
        <w:pStyle w:val="ListParagraph"/>
        <w:numPr>
          <w:ilvl w:val="2"/>
          <w:numId w:val="22"/>
        </w:numPr>
        <w:spacing w:after="0" w:line="240" w:lineRule="auto"/>
        <w:ind w:left="1134" w:hanging="708"/>
        <w:contextualSpacing w:val="0"/>
        <w:jc w:val="left"/>
        <w:rPr>
          <w:rFonts w:ascii="Avenir Roman" w:hAnsi="Avenir Roman"/>
          <w:sz w:val="22"/>
          <w:szCs w:val="22"/>
        </w:rPr>
      </w:pPr>
      <w:r w:rsidRPr="007957C5">
        <w:rPr>
          <w:rFonts w:ascii="Avenir Roman" w:hAnsi="Avenir Roman"/>
          <w:sz w:val="22"/>
          <w:szCs w:val="22"/>
        </w:rPr>
        <w:t xml:space="preserve">Article </w:t>
      </w:r>
      <w:r w:rsidR="00D43462" w:rsidRPr="007957C5">
        <w:rPr>
          <w:rFonts w:ascii="Avenir Roman" w:hAnsi="Avenir Roman"/>
          <w:sz w:val="22"/>
          <w:szCs w:val="22"/>
        </w:rPr>
        <w:t xml:space="preserve">28 </w:t>
      </w:r>
      <w:r w:rsidR="00105EA2" w:rsidRPr="007957C5">
        <w:rPr>
          <w:rFonts w:ascii="Avenir Roman" w:hAnsi="Avenir Roman"/>
          <w:sz w:val="22"/>
          <w:szCs w:val="22"/>
        </w:rPr>
        <w:t>includes recognition of the right to adequate housing</w:t>
      </w:r>
      <w:r w:rsidR="00652E67" w:rsidRPr="007957C5">
        <w:rPr>
          <w:rFonts w:ascii="Avenir Roman" w:hAnsi="Avenir Roman"/>
          <w:sz w:val="22"/>
          <w:szCs w:val="22"/>
        </w:rPr>
        <w:t xml:space="preserve">, </w:t>
      </w:r>
      <w:r w:rsidR="00105EA2" w:rsidRPr="007957C5">
        <w:rPr>
          <w:rFonts w:ascii="Avenir Roman" w:hAnsi="Avenir Roman"/>
          <w:sz w:val="22"/>
          <w:szCs w:val="22"/>
        </w:rPr>
        <w:t xml:space="preserve">the continuous improvement of living conditions, and the right to social protection. </w:t>
      </w:r>
      <w:r w:rsidR="009D6CF7" w:rsidRPr="007957C5">
        <w:rPr>
          <w:rFonts w:ascii="Avenir Roman" w:hAnsi="Avenir Roman"/>
          <w:sz w:val="22"/>
          <w:szCs w:val="22"/>
        </w:rPr>
        <w:t>A</w:t>
      </w:r>
      <w:r w:rsidR="00306877" w:rsidRPr="007957C5">
        <w:rPr>
          <w:rFonts w:ascii="Avenir Roman" w:hAnsi="Avenir Roman"/>
          <w:sz w:val="22"/>
          <w:szCs w:val="22"/>
        </w:rPr>
        <w:t xml:space="preserve">rticle 28 </w:t>
      </w:r>
      <w:r w:rsidR="009D6CF7" w:rsidRPr="007957C5">
        <w:rPr>
          <w:rFonts w:ascii="Avenir Roman" w:hAnsi="Avenir Roman"/>
          <w:sz w:val="22"/>
          <w:szCs w:val="22"/>
        </w:rPr>
        <w:t xml:space="preserve">is directed </w:t>
      </w:r>
      <w:r w:rsidRPr="007957C5">
        <w:rPr>
          <w:rFonts w:ascii="Avenir Roman" w:hAnsi="Avenir Roman"/>
          <w:sz w:val="22"/>
          <w:szCs w:val="22"/>
        </w:rPr>
        <w:t xml:space="preserve">to </w:t>
      </w:r>
      <w:r w:rsidR="009D6CF7" w:rsidRPr="007957C5">
        <w:rPr>
          <w:rFonts w:ascii="Avenir Roman" w:hAnsi="Avenir Roman"/>
          <w:sz w:val="22"/>
          <w:szCs w:val="22"/>
        </w:rPr>
        <w:t xml:space="preserve">living independently </w:t>
      </w:r>
      <w:r w:rsidR="003F2680" w:rsidRPr="007957C5">
        <w:rPr>
          <w:rFonts w:ascii="Avenir Roman" w:hAnsi="Avenir Roman"/>
          <w:sz w:val="22"/>
          <w:szCs w:val="22"/>
        </w:rPr>
        <w:t xml:space="preserve">and being included </w:t>
      </w:r>
      <w:r w:rsidR="009D6CF7" w:rsidRPr="007957C5">
        <w:rPr>
          <w:rFonts w:ascii="Avenir Roman" w:hAnsi="Avenir Roman"/>
          <w:sz w:val="22"/>
          <w:szCs w:val="22"/>
        </w:rPr>
        <w:t xml:space="preserve">in the community by stipulating </w:t>
      </w:r>
      <w:r w:rsidR="00C935E1" w:rsidRPr="007957C5">
        <w:rPr>
          <w:rFonts w:ascii="Avenir Roman" w:hAnsi="Avenir Roman"/>
          <w:sz w:val="22"/>
          <w:szCs w:val="22"/>
        </w:rPr>
        <w:t xml:space="preserve">that </w:t>
      </w:r>
      <w:r w:rsidR="00836ACA" w:rsidRPr="007957C5">
        <w:rPr>
          <w:rFonts w:ascii="Avenir Roman" w:hAnsi="Avenir Roman"/>
          <w:sz w:val="22"/>
          <w:szCs w:val="22"/>
        </w:rPr>
        <w:t xml:space="preserve">people with disability have a right to </w:t>
      </w:r>
      <w:r w:rsidR="009D6CF7" w:rsidRPr="007957C5">
        <w:rPr>
          <w:rFonts w:ascii="Avenir Roman" w:hAnsi="Avenir Roman"/>
          <w:sz w:val="22"/>
          <w:szCs w:val="22"/>
        </w:rPr>
        <w:t xml:space="preserve">an adequate standard of living </w:t>
      </w:r>
      <w:r w:rsidR="00836ACA" w:rsidRPr="007957C5">
        <w:rPr>
          <w:rFonts w:ascii="Avenir Roman" w:hAnsi="Avenir Roman"/>
          <w:sz w:val="22"/>
          <w:szCs w:val="22"/>
        </w:rPr>
        <w:t xml:space="preserve">in order to facilitate their full participation and inclusion in community life on an equal basis with others. This </w:t>
      </w:r>
      <w:r w:rsidR="009D6CF7" w:rsidRPr="007957C5">
        <w:rPr>
          <w:rFonts w:ascii="Avenir Roman" w:hAnsi="Avenir Roman"/>
          <w:sz w:val="22"/>
          <w:szCs w:val="22"/>
        </w:rPr>
        <w:t>includ</w:t>
      </w:r>
      <w:r w:rsidR="00C935E1" w:rsidRPr="007957C5">
        <w:rPr>
          <w:rFonts w:ascii="Avenir Roman" w:hAnsi="Avenir Roman"/>
          <w:sz w:val="22"/>
          <w:szCs w:val="22"/>
        </w:rPr>
        <w:t>es</w:t>
      </w:r>
      <w:r w:rsidR="009D6CF7" w:rsidRPr="007957C5">
        <w:rPr>
          <w:rFonts w:ascii="Avenir Roman" w:hAnsi="Avenir Roman"/>
          <w:sz w:val="22"/>
          <w:szCs w:val="22"/>
        </w:rPr>
        <w:t xml:space="preserve"> access to affordable disability-related supports</w:t>
      </w:r>
      <w:r w:rsidR="00836ACA" w:rsidRPr="007957C5">
        <w:rPr>
          <w:rFonts w:ascii="Avenir Roman" w:hAnsi="Avenir Roman"/>
          <w:sz w:val="22"/>
          <w:szCs w:val="22"/>
        </w:rPr>
        <w:t xml:space="preserve">, social </w:t>
      </w:r>
      <w:r w:rsidR="009D6CF7" w:rsidRPr="007957C5">
        <w:rPr>
          <w:rFonts w:ascii="Avenir Roman" w:hAnsi="Avenir Roman"/>
          <w:sz w:val="22"/>
          <w:szCs w:val="22"/>
        </w:rPr>
        <w:t>assistance with disability-related expenses,</w:t>
      </w:r>
      <w:r w:rsidR="00306877" w:rsidRPr="007957C5">
        <w:rPr>
          <w:rFonts w:ascii="Avenir Roman" w:hAnsi="Avenir Roman"/>
          <w:sz w:val="22"/>
          <w:szCs w:val="22"/>
        </w:rPr>
        <w:t xml:space="preserve"> equal access to public housing programs</w:t>
      </w:r>
      <w:r w:rsidR="009D6CF7" w:rsidRPr="007957C5">
        <w:rPr>
          <w:rFonts w:ascii="Avenir Roman" w:hAnsi="Avenir Roman"/>
          <w:sz w:val="22"/>
          <w:szCs w:val="22"/>
        </w:rPr>
        <w:t xml:space="preserve">, </w:t>
      </w:r>
      <w:r w:rsidR="00306877" w:rsidRPr="007957C5">
        <w:rPr>
          <w:rFonts w:ascii="Avenir Roman" w:hAnsi="Avenir Roman"/>
          <w:sz w:val="22"/>
          <w:szCs w:val="22"/>
        </w:rPr>
        <w:t xml:space="preserve">the provision of </w:t>
      </w:r>
      <w:r w:rsidR="009D6CF7" w:rsidRPr="007957C5">
        <w:rPr>
          <w:rFonts w:ascii="Avenir Roman" w:hAnsi="Avenir Roman"/>
          <w:sz w:val="22"/>
          <w:szCs w:val="22"/>
        </w:rPr>
        <w:t>social protection and poverty alleviation programs, particularly for women and girls with disability and older people with disability.</w:t>
      </w:r>
      <w:r w:rsidR="00CF35F8" w:rsidRPr="007957C5">
        <w:rPr>
          <w:rStyle w:val="FootnoteReference"/>
          <w:rFonts w:ascii="Avenir Roman" w:hAnsi="Avenir Roman"/>
          <w:sz w:val="22"/>
          <w:szCs w:val="22"/>
        </w:rPr>
        <w:footnoteReference w:id="71"/>
      </w:r>
      <w:r w:rsidR="009D6CF7" w:rsidRPr="007957C5">
        <w:rPr>
          <w:rFonts w:ascii="Avenir Roman" w:hAnsi="Avenir Roman"/>
          <w:sz w:val="22"/>
          <w:szCs w:val="22"/>
        </w:rPr>
        <w:t xml:space="preserve"> </w:t>
      </w:r>
    </w:p>
    <w:p w14:paraId="04917CE8" w14:textId="77777777" w:rsidR="00E52A97" w:rsidRPr="007957C5" w:rsidRDefault="00E52A97" w:rsidP="00E50CD5">
      <w:pPr>
        <w:spacing w:after="0" w:line="240" w:lineRule="auto"/>
        <w:jc w:val="left"/>
        <w:rPr>
          <w:rFonts w:ascii="Avenir Roman" w:hAnsi="Avenir Roman"/>
          <w:sz w:val="22"/>
          <w:szCs w:val="22"/>
        </w:rPr>
      </w:pPr>
    </w:p>
    <w:p w14:paraId="5C7194FD" w14:textId="2360713C" w:rsidR="00E52A97" w:rsidRPr="007957C5" w:rsidRDefault="00E52A97"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 xml:space="preserve">An adequate standard of living is not the reality for many people with disability, </w:t>
      </w:r>
      <w:r w:rsidR="00B65BEA" w:rsidRPr="007957C5">
        <w:rPr>
          <w:rFonts w:ascii="Avenir Roman" w:hAnsi="Avenir Roman"/>
          <w:sz w:val="22"/>
          <w:szCs w:val="22"/>
        </w:rPr>
        <w:t xml:space="preserve">particularly </w:t>
      </w:r>
      <w:r w:rsidRPr="007957C5">
        <w:rPr>
          <w:rFonts w:ascii="Avenir Roman" w:hAnsi="Avenir Roman"/>
          <w:sz w:val="22"/>
          <w:szCs w:val="22"/>
        </w:rPr>
        <w:t>women and girls with disability. In Australia, 45% of people with disability live in poverty which is more than double the average of other countries in the Organisation for Economic Cooperation and Development (OECD).</w:t>
      </w:r>
      <w:r w:rsidRPr="007957C5">
        <w:rPr>
          <w:rStyle w:val="FootnoteReference"/>
          <w:rFonts w:ascii="Avenir Roman" w:hAnsi="Avenir Roman"/>
          <w:sz w:val="22"/>
          <w:szCs w:val="22"/>
        </w:rPr>
        <w:footnoteReference w:id="72"/>
      </w:r>
      <w:r w:rsidRPr="007957C5">
        <w:rPr>
          <w:rFonts w:ascii="Avenir Roman" w:hAnsi="Avenir Roman"/>
          <w:sz w:val="22"/>
          <w:szCs w:val="22"/>
        </w:rPr>
        <w:t xml:space="preserve"> Women with disability “bear a disproportionate burden of poverty” and experience greater social exclusion due to socioeconomic disadvantage, intersectional discrimination, poor </w:t>
      </w:r>
      <w:r w:rsidRPr="007957C5">
        <w:rPr>
          <w:rFonts w:ascii="Avenir Roman" w:hAnsi="Avenir Roman"/>
          <w:sz w:val="22"/>
          <w:szCs w:val="22"/>
        </w:rPr>
        <w:lastRenderedPageBreak/>
        <w:t>service access, inadequate and unsafe housing, violence, inadequate health care, and a lack of opportunities to actively participate in society.</w:t>
      </w:r>
      <w:r w:rsidR="00B534BC" w:rsidRPr="007957C5">
        <w:rPr>
          <w:rStyle w:val="FootnoteReference"/>
          <w:rFonts w:ascii="Avenir Roman" w:hAnsi="Avenir Roman"/>
          <w:sz w:val="22"/>
          <w:szCs w:val="22"/>
        </w:rPr>
        <w:footnoteReference w:id="73"/>
      </w:r>
      <w:r w:rsidRPr="007957C5">
        <w:rPr>
          <w:rFonts w:ascii="Avenir Roman" w:hAnsi="Avenir Roman"/>
          <w:sz w:val="22"/>
          <w:szCs w:val="22"/>
        </w:rPr>
        <w:t xml:space="preserve"> Women with disability experience a greater risk of institutionalisation</w:t>
      </w:r>
      <w:r w:rsidR="00B534BC" w:rsidRPr="007957C5">
        <w:rPr>
          <w:rFonts w:ascii="Avenir Roman" w:hAnsi="Avenir Roman"/>
          <w:sz w:val="22"/>
          <w:szCs w:val="22"/>
        </w:rPr>
        <w:t>;</w:t>
      </w:r>
      <w:r w:rsidR="00B534BC" w:rsidRPr="007957C5">
        <w:rPr>
          <w:rStyle w:val="FootnoteReference"/>
          <w:rFonts w:ascii="Avenir Roman" w:hAnsi="Avenir Roman"/>
          <w:sz w:val="22"/>
          <w:szCs w:val="22"/>
        </w:rPr>
        <w:footnoteReference w:id="74"/>
      </w:r>
      <w:r w:rsidR="00B534BC" w:rsidRPr="007957C5">
        <w:rPr>
          <w:rFonts w:ascii="Avenir Roman" w:hAnsi="Avenir Roman"/>
          <w:sz w:val="22"/>
          <w:szCs w:val="22"/>
        </w:rPr>
        <w:t xml:space="preserve"> </w:t>
      </w:r>
      <w:r w:rsidRPr="007957C5">
        <w:rPr>
          <w:rFonts w:ascii="Avenir Roman" w:hAnsi="Avenir Roman"/>
          <w:sz w:val="22"/>
          <w:szCs w:val="22"/>
        </w:rPr>
        <w:t>are over-represented in public housing</w:t>
      </w:r>
      <w:r w:rsidR="00B534BC" w:rsidRPr="007957C5">
        <w:rPr>
          <w:rFonts w:ascii="Avenir Roman" w:hAnsi="Avenir Roman"/>
          <w:sz w:val="22"/>
          <w:szCs w:val="22"/>
        </w:rPr>
        <w:t>;</w:t>
      </w:r>
      <w:r w:rsidRPr="007957C5">
        <w:rPr>
          <w:rFonts w:ascii="Avenir Roman" w:hAnsi="Avenir Roman"/>
          <w:sz w:val="22"/>
          <w:szCs w:val="22"/>
        </w:rPr>
        <w:t xml:space="preserve"> less likely to own their own homes</w:t>
      </w:r>
      <w:r w:rsidR="00B534BC" w:rsidRPr="007957C5">
        <w:rPr>
          <w:rFonts w:ascii="Avenir Roman" w:hAnsi="Avenir Roman"/>
          <w:sz w:val="22"/>
          <w:szCs w:val="22"/>
        </w:rPr>
        <w:t>;</w:t>
      </w:r>
      <w:r w:rsidRPr="007957C5">
        <w:rPr>
          <w:rFonts w:ascii="Avenir Roman" w:hAnsi="Avenir Roman"/>
          <w:sz w:val="22"/>
          <w:szCs w:val="22"/>
        </w:rPr>
        <w:t xml:space="preserve"> pay the highest level of their gross income on housing although they are in the lowest income brackets</w:t>
      </w:r>
      <w:r w:rsidR="00B534BC" w:rsidRPr="007957C5">
        <w:rPr>
          <w:rFonts w:ascii="Avenir Roman" w:hAnsi="Avenir Roman"/>
          <w:sz w:val="22"/>
          <w:szCs w:val="22"/>
        </w:rPr>
        <w:t>;</w:t>
      </w:r>
      <w:r w:rsidRPr="007957C5">
        <w:rPr>
          <w:rFonts w:ascii="Avenir Roman" w:hAnsi="Avenir Roman"/>
          <w:sz w:val="22"/>
          <w:szCs w:val="22"/>
        </w:rPr>
        <w:t xml:space="preserve"> are at increased risk of homelessness</w:t>
      </w:r>
      <w:r w:rsidR="00B534BC" w:rsidRPr="007957C5">
        <w:rPr>
          <w:rFonts w:ascii="Avenir Roman" w:hAnsi="Avenir Roman"/>
          <w:sz w:val="22"/>
          <w:szCs w:val="22"/>
        </w:rPr>
        <w:t>;</w:t>
      </w:r>
      <w:r w:rsidR="00B534BC" w:rsidRPr="007957C5">
        <w:rPr>
          <w:rStyle w:val="FootnoteReference"/>
          <w:rFonts w:ascii="Avenir Roman" w:hAnsi="Avenir Roman"/>
          <w:sz w:val="22"/>
          <w:szCs w:val="22"/>
        </w:rPr>
        <w:footnoteReference w:id="75"/>
      </w:r>
      <w:r w:rsidR="00B534BC" w:rsidRPr="007957C5">
        <w:rPr>
          <w:rFonts w:ascii="Avenir Roman" w:hAnsi="Avenir Roman"/>
          <w:sz w:val="22"/>
          <w:szCs w:val="22"/>
        </w:rPr>
        <w:t xml:space="preserve"> </w:t>
      </w:r>
      <w:r w:rsidRPr="007957C5">
        <w:rPr>
          <w:rFonts w:ascii="Avenir Roman" w:hAnsi="Avenir Roman"/>
          <w:sz w:val="22"/>
          <w:szCs w:val="22"/>
        </w:rPr>
        <w:t>with older women being the fastest growing cohort of homeless Australians.</w:t>
      </w:r>
      <w:r w:rsidR="00945773" w:rsidRPr="007957C5">
        <w:rPr>
          <w:rStyle w:val="FootnoteReference"/>
          <w:rFonts w:ascii="Avenir Roman" w:hAnsi="Avenir Roman"/>
          <w:sz w:val="22"/>
          <w:szCs w:val="22"/>
        </w:rPr>
        <w:footnoteReference w:id="76"/>
      </w:r>
    </w:p>
    <w:p w14:paraId="2F04B3E0" w14:textId="77777777" w:rsidR="00E52A97" w:rsidRPr="007957C5" w:rsidRDefault="00E52A97" w:rsidP="007957C5">
      <w:pPr>
        <w:pStyle w:val="ListParagraph"/>
        <w:spacing w:line="240" w:lineRule="auto"/>
        <w:ind w:left="1134"/>
        <w:jc w:val="left"/>
        <w:rPr>
          <w:rFonts w:ascii="Avenir Roman" w:hAnsi="Avenir Roman"/>
          <w:sz w:val="22"/>
          <w:szCs w:val="22"/>
        </w:rPr>
      </w:pPr>
    </w:p>
    <w:p w14:paraId="6D23D7A6" w14:textId="36210C83" w:rsidR="005F231F" w:rsidRPr="007957C5" w:rsidRDefault="00E52A97" w:rsidP="00564172">
      <w:pPr>
        <w:pStyle w:val="ListParagraph"/>
        <w:numPr>
          <w:ilvl w:val="2"/>
          <w:numId w:val="22"/>
        </w:numPr>
        <w:spacing w:after="0" w:line="240" w:lineRule="auto"/>
        <w:ind w:left="1134" w:hanging="708"/>
        <w:contextualSpacing w:val="0"/>
        <w:jc w:val="left"/>
        <w:rPr>
          <w:rFonts w:ascii="Avenir Roman" w:hAnsi="Avenir Roman"/>
          <w:sz w:val="22"/>
          <w:szCs w:val="22"/>
        </w:rPr>
      </w:pPr>
      <w:r w:rsidRPr="007957C5">
        <w:rPr>
          <w:rFonts w:ascii="Avenir Roman" w:hAnsi="Avenir Roman"/>
          <w:sz w:val="22"/>
          <w:szCs w:val="22"/>
        </w:rPr>
        <w:t xml:space="preserve">Australia is a signatory to the </w:t>
      </w:r>
      <w:r w:rsidR="006D7583" w:rsidRPr="007957C5">
        <w:rPr>
          <w:rFonts w:ascii="Avenir Roman" w:hAnsi="Avenir Roman"/>
          <w:sz w:val="22"/>
          <w:szCs w:val="22"/>
        </w:rPr>
        <w:t xml:space="preserve">UN Sustainable Development Goals (SDGs), which </w:t>
      </w:r>
      <w:r w:rsidR="00942BCE" w:rsidRPr="007957C5">
        <w:rPr>
          <w:rFonts w:ascii="Avenir Roman" w:hAnsi="Avenir Roman"/>
          <w:sz w:val="22"/>
          <w:szCs w:val="22"/>
        </w:rPr>
        <w:t>are</w:t>
      </w:r>
      <w:r w:rsidR="006D7583" w:rsidRPr="007957C5">
        <w:rPr>
          <w:rFonts w:ascii="Avenir Roman" w:hAnsi="Avenir Roman"/>
          <w:sz w:val="22"/>
          <w:szCs w:val="22"/>
        </w:rPr>
        <w:t xml:space="preserve"> 17 </w:t>
      </w:r>
      <w:r w:rsidR="00942BCE" w:rsidRPr="007957C5">
        <w:rPr>
          <w:rFonts w:ascii="Avenir Roman" w:hAnsi="Avenir Roman"/>
          <w:sz w:val="22"/>
          <w:szCs w:val="22"/>
        </w:rPr>
        <w:t xml:space="preserve">global </w:t>
      </w:r>
      <w:r w:rsidR="006D7583" w:rsidRPr="007957C5">
        <w:rPr>
          <w:rFonts w:ascii="Avenir Roman" w:hAnsi="Avenir Roman"/>
          <w:sz w:val="22"/>
          <w:szCs w:val="22"/>
        </w:rPr>
        <w:t xml:space="preserve">goals to end poverty and </w:t>
      </w:r>
      <w:r w:rsidR="00942BCE" w:rsidRPr="007957C5">
        <w:rPr>
          <w:rFonts w:ascii="Avenir Roman" w:hAnsi="Avenir Roman"/>
          <w:sz w:val="22"/>
          <w:szCs w:val="22"/>
        </w:rPr>
        <w:t xml:space="preserve">inequality by focusing on </w:t>
      </w:r>
      <w:r w:rsidR="00ED1874" w:rsidRPr="007957C5">
        <w:rPr>
          <w:rFonts w:ascii="Avenir Roman" w:hAnsi="Avenir Roman"/>
          <w:sz w:val="22"/>
          <w:szCs w:val="22"/>
        </w:rPr>
        <w:t xml:space="preserve">a range of </w:t>
      </w:r>
      <w:r w:rsidR="00C4148C" w:rsidRPr="007957C5">
        <w:rPr>
          <w:rFonts w:ascii="Avenir Roman" w:hAnsi="Avenir Roman"/>
          <w:sz w:val="22"/>
          <w:szCs w:val="22"/>
        </w:rPr>
        <w:t>targets</w:t>
      </w:r>
      <w:r w:rsidR="00ED1874" w:rsidRPr="007957C5">
        <w:rPr>
          <w:rFonts w:ascii="Avenir Roman" w:hAnsi="Avenir Roman"/>
          <w:sz w:val="22"/>
          <w:szCs w:val="22"/>
        </w:rPr>
        <w:t xml:space="preserve">, including </w:t>
      </w:r>
      <w:r w:rsidR="00C4148C" w:rsidRPr="007957C5">
        <w:rPr>
          <w:rFonts w:ascii="Avenir Roman" w:hAnsi="Avenir Roman"/>
          <w:sz w:val="22"/>
          <w:szCs w:val="22"/>
        </w:rPr>
        <w:t>those</w:t>
      </w:r>
      <w:r w:rsidR="00942BCE" w:rsidRPr="007957C5">
        <w:rPr>
          <w:rFonts w:ascii="Avenir Roman" w:hAnsi="Avenir Roman"/>
          <w:sz w:val="22"/>
          <w:szCs w:val="22"/>
        </w:rPr>
        <w:t xml:space="preserve"> to improve health, education, </w:t>
      </w:r>
      <w:r w:rsidR="00816928" w:rsidRPr="007957C5">
        <w:rPr>
          <w:rFonts w:ascii="Avenir Roman" w:hAnsi="Avenir Roman"/>
          <w:sz w:val="22"/>
          <w:szCs w:val="22"/>
        </w:rPr>
        <w:t xml:space="preserve">employment, </w:t>
      </w:r>
      <w:r w:rsidR="00942BCE" w:rsidRPr="007957C5">
        <w:rPr>
          <w:rFonts w:ascii="Avenir Roman" w:hAnsi="Avenir Roman"/>
          <w:sz w:val="22"/>
          <w:szCs w:val="22"/>
        </w:rPr>
        <w:t>economic growth</w:t>
      </w:r>
      <w:r w:rsidR="00ED1874" w:rsidRPr="007957C5">
        <w:rPr>
          <w:rFonts w:ascii="Avenir Roman" w:hAnsi="Avenir Roman"/>
          <w:sz w:val="22"/>
          <w:szCs w:val="22"/>
        </w:rPr>
        <w:t xml:space="preserve"> and gender inequality</w:t>
      </w:r>
      <w:r w:rsidR="00942BCE" w:rsidRPr="007957C5">
        <w:rPr>
          <w:rFonts w:ascii="Avenir Roman" w:hAnsi="Avenir Roman"/>
          <w:sz w:val="22"/>
          <w:szCs w:val="22"/>
        </w:rPr>
        <w:t>.</w:t>
      </w:r>
      <w:r w:rsidR="00942BCE" w:rsidRPr="007957C5">
        <w:rPr>
          <w:rStyle w:val="FootnoteReference"/>
          <w:rFonts w:ascii="Avenir Roman" w:hAnsi="Avenir Roman"/>
          <w:sz w:val="22"/>
          <w:szCs w:val="22"/>
        </w:rPr>
        <w:footnoteReference w:id="77"/>
      </w:r>
      <w:r w:rsidR="00942BCE" w:rsidRPr="007957C5">
        <w:rPr>
          <w:rFonts w:ascii="Avenir Roman" w:hAnsi="Avenir Roman"/>
          <w:sz w:val="22"/>
          <w:szCs w:val="22"/>
        </w:rPr>
        <w:t xml:space="preserve"> The key response</w:t>
      </w:r>
      <w:r w:rsidR="00945773" w:rsidRPr="007957C5">
        <w:rPr>
          <w:rFonts w:ascii="Avenir Roman" w:hAnsi="Avenir Roman"/>
          <w:sz w:val="22"/>
          <w:szCs w:val="22"/>
        </w:rPr>
        <w:t xml:space="preserve"> </w:t>
      </w:r>
      <w:r w:rsidR="00942BCE" w:rsidRPr="007957C5">
        <w:rPr>
          <w:rFonts w:ascii="Avenir Roman" w:hAnsi="Avenir Roman"/>
          <w:sz w:val="22"/>
          <w:szCs w:val="22"/>
        </w:rPr>
        <w:t xml:space="preserve">to the SDGs for people with disability </w:t>
      </w:r>
      <w:r w:rsidR="00945773" w:rsidRPr="007957C5">
        <w:rPr>
          <w:rFonts w:ascii="Avenir Roman" w:hAnsi="Avenir Roman"/>
          <w:sz w:val="22"/>
          <w:szCs w:val="22"/>
        </w:rPr>
        <w:t xml:space="preserve">in Australia </w:t>
      </w:r>
      <w:r w:rsidR="00942BCE" w:rsidRPr="007957C5">
        <w:rPr>
          <w:rFonts w:ascii="Avenir Roman" w:hAnsi="Avenir Roman"/>
          <w:sz w:val="22"/>
          <w:szCs w:val="22"/>
        </w:rPr>
        <w:t xml:space="preserve">is the </w:t>
      </w:r>
      <w:r w:rsidR="00942BCE" w:rsidRPr="007957C5">
        <w:rPr>
          <w:rFonts w:ascii="Avenir Roman" w:hAnsi="Avenir Roman"/>
          <w:i/>
          <w:sz w:val="22"/>
          <w:szCs w:val="22"/>
        </w:rPr>
        <w:t>National Disability Strategy 2010-2020</w:t>
      </w:r>
      <w:r w:rsidR="00514A42" w:rsidRPr="007957C5">
        <w:rPr>
          <w:rFonts w:ascii="Avenir Roman" w:hAnsi="Avenir Roman"/>
          <w:sz w:val="22"/>
          <w:szCs w:val="22"/>
        </w:rPr>
        <w:t xml:space="preserve"> (NDS)</w:t>
      </w:r>
      <w:r w:rsidR="00942BCE" w:rsidRPr="007957C5">
        <w:rPr>
          <w:rFonts w:ascii="Avenir Roman" w:hAnsi="Avenir Roman"/>
          <w:sz w:val="22"/>
          <w:szCs w:val="22"/>
        </w:rPr>
        <w:t>,</w:t>
      </w:r>
      <w:r w:rsidR="00D50724" w:rsidRPr="007957C5">
        <w:rPr>
          <w:rStyle w:val="FootnoteReference"/>
          <w:rFonts w:ascii="Avenir Roman" w:hAnsi="Avenir Roman"/>
          <w:sz w:val="22"/>
          <w:szCs w:val="22"/>
        </w:rPr>
        <w:footnoteReference w:id="78"/>
      </w:r>
      <w:r w:rsidR="00D50724" w:rsidRPr="007957C5">
        <w:rPr>
          <w:rFonts w:ascii="Avenir Roman" w:hAnsi="Avenir Roman"/>
          <w:sz w:val="22"/>
          <w:szCs w:val="22"/>
        </w:rPr>
        <w:t xml:space="preserve"> </w:t>
      </w:r>
      <w:r w:rsidR="00942BCE" w:rsidRPr="007957C5">
        <w:rPr>
          <w:rFonts w:ascii="Avenir Roman" w:hAnsi="Avenir Roman"/>
          <w:sz w:val="22"/>
          <w:szCs w:val="22"/>
        </w:rPr>
        <w:t xml:space="preserve">which is the 10 year national policy framework agreed by all levels of government to </w:t>
      </w:r>
      <w:r w:rsidR="00816928" w:rsidRPr="007957C5">
        <w:rPr>
          <w:rFonts w:ascii="Avenir Roman" w:hAnsi="Avenir Roman"/>
          <w:sz w:val="22"/>
          <w:szCs w:val="22"/>
        </w:rPr>
        <w:t>implement the CRPD and i</w:t>
      </w:r>
      <w:r w:rsidR="00942BCE" w:rsidRPr="007957C5">
        <w:rPr>
          <w:rFonts w:ascii="Avenir Roman" w:hAnsi="Avenir Roman"/>
          <w:sz w:val="22"/>
          <w:szCs w:val="22"/>
        </w:rPr>
        <w:t>mprove the lives of people with disability, including in the areas health, education, justice, employment, income support systems and infrastructure.</w:t>
      </w:r>
      <w:r w:rsidR="00514A42" w:rsidRPr="007957C5">
        <w:rPr>
          <w:rStyle w:val="FootnoteReference"/>
          <w:rFonts w:ascii="Avenir Roman" w:hAnsi="Avenir Roman"/>
          <w:sz w:val="22"/>
          <w:szCs w:val="22"/>
        </w:rPr>
        <w:footnoteReference w:id="79"/>
      </w:r>
      <w:r w:rsidR="00514A42" w:rsidRPr="007957C5">
        <w:rPr>
          <w:rFonts w:ascii="Avenir Roman" w:hAnsi="Avenir Roman"/>
          <w:sz w:val="22"/>
          <w:szCs w:val="22"/>
        </w:rPr>
        <w:t xml:space="preserve"> However, the NDS </w:t>
      </w:r>
      <w:r w:rsidR="00BD6F40" w:rsidRPr="007957C5">
        <w:rPr>
          <w:rFonts w:ascii="Avenir Roman" w:hAnsi="Avenir Roman"/>
          <w:sz w:val="22"/>
          <w:szCs w:val="22"/>
        </w:rPr>
        <w:t xml:space="preserve">has not delivered on its goals, lacks accountability and evaluation mechanisms, has no centralised coordination mechanism and has been </w:t>
      </w:r>
      <w:r w:rsidR="00DB7054" w:rsidRPr="007957C5">
        <w:rPr>
          <w:rFonts w:ascii="Avenir Roman" w:hAnsi="Avenir Roman"/>
          <w:sz w:val="22"/>
          <w:szCs w:val="22"/>
        </w:rPr>
        <w:t>deprioritised</w:t>
      </w:r>
      <w:r w:rsidR="00BD6F40" w:rsidRPr="007957C5">
        <w:rPr>
          <w:rFonts w:ascii="Avenir Roman" w:hAnsi="Avenir Roman"/>
          <w:sz w:val="22"/>
          <w:szCs w:val="22"/>
        </w:rPr>
        <w:t xml:space="preserve"> by the introduction of the NDIS.</w:t>
      </w:r>
      <w:r w:rsidR="00BD6F40" w:rsidRPr="007957C5">
        <w:rPr>
          <w:rStyle w:val="FootnoteReference"/>
          <w:rFonts w:ascii="Avenir Roman" w:hAnsi="Avenir Roman"/>
          <w:sz w:val="22"/>
          <w:szCs w:val="22"/>
        </w:rPr>
        <w:footnoteReference w:id="80"/>
      </w:r>
      <w:r w:rsidR="00BD6F40" w:rsidRPr="007957C5">
        <w:rPr>
          <w:rFonts w:ascii="Avenir Roman" w:hAnsi="Avenir Roman"/>
          <w:sz w:val="22"/>
          <w:szCs w:val="22"/>
        </w:rPr>
        <w:t xml:space="preserve"> </w:t>
      </w:r>
      <w:r w:rsidR="00972F3E" w:rsidRPr="007957C5">
        <w:rPr>
          <w:rFonts w:ascii="Avenir Roman" w:hAnsi="Avenir Roman"/>
          <w:sz w:val="22"/>
          <w:szCs w:val="22"/>
        </w:rPr>
        <w:t xml:space="preserve">A new NDS is currently in development. </w:t>
      </w:r>
    </w:p>
    <w:p w14:paraId="52CED01E" w14:textId="77777777" w:rsidR="00972F3E" w:rsidRPr="007957C5" w:rsidRDefault="00972F3E" w:rsidP="00E50CD5">
      <w:pPr>
        <w:spacing w:after="0" w:line="240" w:lineRule="auto"/>
        <w:jc w:val="left"/>
        <w:rPr>
          <w:rFonts w:ascii="Avenir Roman" w:hAnsi="Avenir Roman"/>
          <w:sz w:val="22"/>
          <w:szCs w:val="22"/>
        </w:rPr>
      </w:pPr>
    </w:p>
    <w:p w14:paraId="0F5258AD" w14:textId="5C59430C" w:rsidR="00E52A97" w:rsidRPr="007957C5" w:rsidRDefault="005F231F"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Most concerningly for women and girls with disability, the NDS remains gender neutral</w:t>
      </w:r>
      <w:r w:rsidR="00587556" w:rsidRPr="007957C5">
        <w:rPr>
          <w:rFonts w:ascii="Avenir Roman" w:hAnsi="Avenir Roman"/>
          <w:sz w:val="22"/>
          <w:szCs w:val="22"/>
        </w:rPr>
        <w:t>.</w:t>
      </w:r>
      <w:r w:rsidR="00E96603" w:rsidRPr="007957C5">
        <w:rPr>
          <w:rStyle w:val="FootnoteReference"/>
          <w:rFonts w:ascii="Avenir Roman" w:hAnsi="Avenir Roman"/>
          <w:sz w:val="22"/>
          <w:szCs w:val="22"/>
        </w:rPr>
        <w:footnoteReference w:id="81"/>
      </w:r>
      <w:r w:rsidR="00587556" w:rsidRPr="007957C5">
        <w:rPr>
          <w:rFonts w:ascii="Avenir Roman" w:hAnsi="Avenir Roman"/>
          <w:sz w:val="22"/>
          <w:szCs w:val="22"/>
        </w:rPr>
        <w:t xml:space="preserve"> There are no gender-specific measures to progress, monitor, review or evaluate actions across the NDS outcome areas; there are </w:t>
      </w:r>
      <w:r w:rsidRPr="007957C5">
        <w:rPr>
          <w:rFonts w:ascii="Avenir Roman" w:hAnsi="Avenir Roman"/>
          <w:sz w:val="22"/>
          <w:szCs w:val="22"/>
        </w:rPr>
        <w:t>no mechanisms for the collection of disaggregated data</w:t>
      </w:r>
      <w:r w:rsidR="00587556" w:rsidRPr="007957C5">
        <w:rPr>
          <w:rFonts w:ascii="Avenir Roman" w:hAnsi="Avenir Roman"/>
          <w:sz w:val="22"/>
          <w:szCs w:val="22"/>
        </w:rPr>
        <w:t>; and no reporting on the gender dimensions of any aspect of the NDS.</w:t>
      </w:r>
      <w:r w:rsidR="00587556" w:rsidRPr="007957C5">
        <w:rPr>
          <w:rStyle w:val="FootnoteReference"/>
          <w:rFonts w:ascii="Avenir Roman" w:hAnsi="Avenir Roman"/>
          <w:sz w:val="22"/>
          <w:szCs w:val="22"/>
        </w:rPr>
        <w:footnoteReference w:id="82"/>
      </w:r>
      <w:r w:rsidR="00587556" w:rsidRPr="007957C5">
        <w:rPr>
          <w:rFonts w:ascii="Avenir Roman" w:hAnsi="Avenir Roman"/>
          <w:sz w:val="22"/>
          <w:szCs w:val="22"/>
        </w:rPr>
        <w:t xml:space="preserve"> </w:t>
      </w:r>
    </w:p>
    <w:p w14:paraId="7CD9FB5B" w14:textId="77777777" w:rsidR="00EE549A" w:rsidRPr="007957C5" w:rsidRDefault="00EE549A" w:rsidP="007957C5">
      <w:pPr>
        <w:spacing w:line="240" w:lineRule="auto"/>
        <w:jc w:val="left"/>
        <w:rPr>
          <w:rFonts w:ascii="Avenir Roman" w:eastAsiaTheme="minorHAnsi" w:hAnsi="Avenir Roman"/>
          <w:sz w:val="22"/>
          <w:szCs w:val="22"/>
        </w:rPr>
      </w:pPr>
    </w:p>
    <w:p w14:paraId="6A70F371" w14:textId="6B8AF3AB" w:rsidR="00E52C27" w:rsidRPr="007957C5" w:rsidRDefault="00E52C27" w:rsidP="00564172">
      <w:pPr>
        <w:pStyle w:val="Heading3"/>
        <w:numPr>
          <w:ilvl w:val="1"/>
          <w:numId w:val="22"/>
        </w:numPr>
        <w:spacing w:after="120" w:line="240" w:lineRule="auto"/>
        <w:ind w:left="1134" w:hanging="709"/>
        <w:rPr>
          <w:rFonts w:ascii="Avenir Roman" w:hAnsi="Avenir Roman"/>
          <w:i/>
          <w:sz w:val="22"/>
          <w:szCs w:val="22"/>
        </w:rPr>
      </w:pPr>
      <w:bookmarkStart w:id="115" w:name="_Toc43919156"/>
      <w:r w:rsidRPr="007957C5">
        <w:rPr>
          <w:rFonts w:ascii="Avenir Roman" w:hAnsi="Avenir Roman"/>
          <w:i/>
          <w:sz w:val="22"/>
          <w:szCs w:val="22"/>
        </w:rPr>
        <w:lastRenderedPageBreak/>
        <w:t>Accessibility</w:t>
      </w:r>
      <w:r w:rsidR="00E31873" w:rsidRPr="007957C5">
        <w:rPr>
          <w:rFonts w:ascii="Avenir Roman" w:hAnsi="Avenir Roman"/>
          <w:i/>
          <w:sz w:val="22"/>
          <w:szCs w:val="22"/>
        </w:rPr>
        <w:t xml:space="preserve"> and universal design</w:t>
      </w:r>
      <w:bookmarkEnd w:id="115"/>
    </w:p>
    <w:p w14:paraId="026A7AA1" w14:textId="1AC82841" w:rsidR="00E31873" w:rsidRPr="007957C5" w:rsidRDefault="0017013F" w:rsidP="00564172">
      <w:pPr>
        <w:pStyle w:val="ListParagraph"/>
        <w:numPr>
          <w:ilvl w:val="2"/>
          <w:numId w:val="22"/>
        </w:numPr>
        <w:spacing w:line="240" w:lineRule="auto"/>
        <w:ind w:left="1134"/>
        <w:jc w:val="left"/>
        <w:rPr>
          <w:rFonts w:ascii="Avenir Roman" w:hAnsi="Avenir Roman"/>
          <w:sz w:val="22"/>
          <w:szCs w:val="22"/>
        </w:rPr>
      </w:pPr>
      <w:r w:rsidRPr="007957C5">
        <w:rPr>
          <w:rFonts w:ascii="Avenir Roman" w:hAnsi="Avenir Roman"/>
          <w:sz w:val="22"/>
          <w:szCs w:val="22"/>
        </w:rPr>
        <w:t xml:space="preserve">A precondition for living independently </w:t>
      </w:r>
      <w:r w:rsidR="000945FC" w:rsidRPr="007957C5">
        <w:rPr>
          <w:rFonts w:ascii="Avenir Roman" w:hAnsi="Avenir Roman"/>
          <w:sz w:val="22"/>
          <w:szCs w:val="22"/>
        </w:rPr>
        <w:t xml:space="preserve">and being included </w:t>
      </w:r>
      <w:r w:rsidRPr="007957C5">
        <w:rPr>
          <w:rFonts w:ascii="Avenir Roman" w:hAnsi="Avenir Roman"/>
          <w:sz w:val="22"/>
          <w:szCs w:val="22"/>
        </w:rPr>
        <w:t xml:space="preserve">in the community </w:t>
      </w:r>
      <w:r w:rsidR="00C951B7" w:rsidRPr="007957C5">
        <w:rPr>
          <w:rFonts w:ascii="Avenir Roman" w:hAnsi="Avenir Roman"/>
          <w:sz w:val="22"/>
          <w:szCs w:val="22"/>
        </w:rPr>
        <w:t xml:space="preserve">for people with disability </w:t>
      </w:r>
      <w:r w:rsidRPr="007957C5">
        <w:rPr>
          <w:rFonts w:ascii="Avenir Roman" w:hAnsi="Avenir Roman"/>
          <w:sz w:val="22"/>
          <w:szCs w:val="22"/>
        </w:rPr>
        <w:t xml:space="preserve">is the accessibility of </w:t>
      </w:r>
      <w:r w:rsidR="00C951B7" w:rsidRPr="007957C5">
        <w:rPr>
          <w:rFonts w:ascii="Avenir Roman" w:hAnsi="Avenir Roman"/>
          <w:sz w:val="22"/>
          <w:szCs w:val="22"/>
        </w:rPr>
        <w:t xml:space="preserve">mainstream </w:t>
      </w:r>
      <w:r w:rsidRPr="007957C5">
        <w:rPr>
          <w:rFonts w:ascii="Avenir Roman" w:hAnsi="Avenir Roman"/>
          <w:sz w:val="22"/>
          <w:szCs w:val="22"/>
        </w:rPr>
        <w:t>places and facilities.</w:t>
      </w:r>
      <w:r w:rsidR="00664E07" w:rsidRPr="007957C5">
        <w:rPr>
          <w:rStyle w:val="FootnoteReference"/>
          <w:rFonts w:ascii="Avenir Roman" w:hAnsi="Avenir Roman"/>
          <w:sz w:val="22"/>
          <w:szCs w:val="22"/>
        </w:rPr>
        <w:footnoteReference w:id="83"/>
      </w:r>
      <w:r w:rsidRPr="007957C5">
        <w:rPr>
          <w:rFonts w:ascii="Avenir Roman" w:hAnsi="Avenir Roman"/>
          <w:sz w:val="22"/>
          <w:szCs w:val="22"/>
        </w:rPr>
        <w:t xml:space="preserve"> Article 9 </w:t>
      </w:r>
      <w:r w:rsidRPr="007957C5">
        <w:rPr>
          <w:rFonts w:ascii="Avenir Roman" w:hAnsi="Avenir Roman"/>
          <w:i/>
          <w:sz w:val="22"/>
          <w:szCs w:val="22"/>
        </w:rPr>
        <w:t>Accessibility</w:t>
      </w:r>
      <w:r w:rsidRPr="007957C5">
        <w:rPr>
          <w:rFonts w:ascii="Avenir Roman" w:hAnsi="Avenir Roman"/>
          <w:sz w:val="22"/>
          <w:szCs w:val="22"/>
        </w:rPr>
        <w:t xml:space="preserve"> outlines measures </w:t>
      </w:r>
      <w:r w:rsidR="009550A2" w:rsidRPr="007957C5">
        <w:rPr>
          <w:rFonts w:ascii="Avenir Roman" w:hAnsi="Avenir Roman"/>
          <w:sz w:val="22"/>
          <w:szCs w:val="22"/>
        </w:rPr>
        <w:t xml:space="preserve">for the </w:t>
      </w:r>
      <w:r w:rsidR="00E31873" w:rsidRPr="007957C5">
        <w:rPr>
          <w:rFonts w:ascii="Avenir Roman" w:hAnsi="Avenir Roman"/>
          <w:sz w:val="22"/>
          <w:szCs w:val="22"/>
        </w:rPr>
        <w:t>remov</w:t>
      </w:r>
      <w:r w:rsidR="009550A2" w:rsidRPr="007957C5">
        <w:rPr>
          <w:rFonts w:ascii="Avenir Roman" w:hAnsi="Avenir Roman"/>
          <w:sz w:val="22"/>
          <w:szCs w:val="22"/>
        </w:rPr>
        <w:t>al of accessibility</w:t>
      </w:r>
      <w:r w:rsidR="00E31873" w:rsidRPr="007957C5">
        <w:rPr>
          <w:rFonts w:ascii="Avenir Roman" w:hAnsi="Avenir Roman"/>
          <w:sz w:val="22"/>
          <w:szCs w:val="22"/>
        </w:rPr>
        <w:t xml:space="preserve"> barriers that prevent or limit people with disability from living independently and participating fully in all aspects of life.  This includes barriers in relation to the built environment, facilities and services open to the public, transport, housing, </w:t>
      </w:r>
      <w:r w:rsidR="00C951B7" w:rsidRPr="007957C5">
        <w:rPr>
          <w:rFonts w:ascii="Avenir Roman" w:hAnsi="Avenir Roman"/>
          <w:sz w:val="22"/>
          <w:szCs w:val="22"/>
        </w:rPr>
        <w:t xml:space="preserve">cultural and recreational facilities, schools, </w:t>
      </w:r>
      <w:r w:rsidR="00E31873" w:rsidRPr="007957C5">
        <w:rPr>
          <w:rFonts w:ascii="Avenir Roman" w:hAnsi="Avenir Roman"/>
          <w:sz w:val="22"/>
          <w:szCs w:val="22"/>
        </w:rPr>
        <w:t>information</w:t>
      </w:r>
      <w:r w:rsidR="00664E07" w:rsidRPr="007957C5">
        <w:rPr>
          <w:rFonts w:ascii="Avenir Roman" w:hAnsi="Avenir Roman"/>
          <w:sz w:val="22"/>
          <w:szCs w:val="22"/>
        </w:rPr>
        <w:t>, technology</w:t>
      </w:r>
      <w:r w:rsidR="00E31873" w:rsidRPr="007957C5">
        <w:rPr>
          <w:rFonts w:ascii="Avenir Roman" w:hAnsi="Avenir Roman"/>
          <w:sz w:val="22"/>
          <w:szCs w:val="22"/>
        </w:rPr>
        <w:t xml:space="preserve"> and communications. </w:t>
      </w:r>
    </w:p>
    <w:p w14:paraId="41416728" w14:textId="77777777" w:rsidR="00E31873" w:rsidRPr="007957C5" w:rsidRDefault="00E31873" w:rsidP="007957C5">
      <w:pPr>
        <w:pStyle w:val="ListParagraph"/>
        <w:spacing w:line="240" w:lineRule="auto"/>
        <w:ind w:left="1134"/>
        <w:jc w:val="left"/>
        <w:rPr>
          <w:rFonts w:ascii="Avenir Roman" w:hAnsi="Avenir Roman"/>
          <w:sz w:val="22"/>
          <w:szCs w:val="22"/>
        </w:rPr>
      </w:pPr>
    </w:p>
    <w:p w14:paraId="5811A36B" w14:textId="61540718" w:rsidR="00EA524F" w:rsidRPr="007957C5" w:rsidRDefault="00E31873" w:rsidP="00564172">
      <w:pPr>
        <w:pStyle w:val="ListParagraph"/>
        <w:numPr>
          <w:ilvl w:val="2"/>
          <w:numId w:val="22"/>
        </w:numPr>
        <w:spacing w:line="240" w:lineRule="auto"/>
        <w:ind w:left="1134"/>
        <w:jc w:val="left"/>
        <w:rPr>
          <w:rFonts w:ascii="Avenir Roman" w:hAnsi="Avenir Roman"/>
          <w:sz w:val="22"/>
          <w:szCs w:val="22"/>
        </w:rPr>
      </w:pPr>
      <w:r w:rsidRPr="007957C5">
        <w:rPr>
          <w:rFonts w:ascii="Avenir Roman" w:hAnsi="Avenir Roman"/>
          <w:sz w:val="22"/>
          <w:szCs w:val="22"/>
        </w:rPr>
        <w:t xml:space="preserve">Article 4 </w:t>
      </w:r>
      <w:r w:rsidRPr="007957C5">
        <w:rPr>
          <w:rFonts w:ascii="Avenir Roman" w:hAnsi="Avenir Roman"/>
          <w:i/>
          <w:sz w:val="22"/>
          <w:szCs w:val="22"/>
        </w:rPr>
        <w:t>General obligations</w:t>
      </w:r>
      <w:r w:rsidRPr="007957C5">
        <w:rPr>
          <w:rFonts w:ascii="Avenir Roman" w:hAnsi="Avenir Roman"/>
          <w:sz w:val="22"/>
          <w:szCs w:val="22"/>
        </w:rPr>
        <w:t xml:space="preserve"> includes </w:t>
      </w:r>
      <w:r w:rsidR="00B4279F" w:rsidRPr="007957C5">
        <w:rPr>
          <w:rFonts w:ascii="Avenir Roman" w:hAnsi="Avenir Roman"/>
          <w:sz w:val="22"/>
          <w:szCs w:val="22"/>
        </w:rPr>
        <w:t>a requirement for research and development of universally designed goods, services, equipment and facilities and the promotion of universally designed standards and guidelines.</w:t>
      </w:r>
      <w:r w:rsidR="00B4279F" w:rsidRPr="007957C5">
        <w:rPr>
          <w:rStyle w:val="FootnoteReference"/>
          <w:rFonts w:ascii="Avenir Roman" w:hAnsi="Avenir Roman"/>
          <w:sz w:val="22"/>
          <w:szCs w:val="22"/>
        </w:rPr>
        <w:footnoteReference w:id="84"/>
      </w:r>
      <w:r w:rsidR="00B4279F" w:rsidRPr="007957C5">
        <w:rPr>
          <w:rFonts w:ascii="Avenir Roman" w:hAnsi="Avenir Roman"/>
          <w:sz w:val="22"/>
          <w:szCs w:val="22"/>
        </w:rPr>
        <w:t xml:space="preserve">  In </w:t>
      </w:r>
      <w:r w:rsidR="00025CDD" w:rsidRPr="007957C5">
        <w:rPr>
          <w:rFonts w:ascii="Avenir Roman" w:hAnsi="Avenir Roman"/>
          <w:sz w:val="22"/>
          <w:szCs w:val="22"/>
        </w:rPr>
        <w:t>relation to</w:t>
      </w:r>
      <w:r w:rsidR="00B4279F" w:rsidRPr="007957C5">
        <w:rPr>
          <w:rFonts w:ascii="Avenir Roman" w:hAnsi="Avenir Roman"/>
          <w:sz w:val="22"/>
          <w:szCs w:val="22"/>
        </w:rPr>
        <w:t xml:space="preserve"> article 9, universal design is a principal means to facilitate accessibility, and in the context of article 19, it provides for a barrier-free approach to independent living and inclusion in the community.</w:t>
      </w:r>
      <w:r w:rsidR="006E1308" w:rsidRPr="007957C5">
        <w:rPr>
          <w:rFonts w:ascii="Avenir Roman" w:hAnsi="Avenir Roman"/>
          <w:sz w:val="22"/>
          <w:szCs w:val="22"/>
        </w:rPr>
        <w:t xml:space="preserve"> It also “makes society accessible for all human beings, not only persons with disabilities”.</w:t>
      </w:r>
      <w:r w:rsidR="006E1308" w:rsidRPr="007957C5">
        <w:rPr>
          <w:rStyle w:val="FootnoteReference"/>
          <w:rFonts w:ascii="Avenir Roman" w:hAnsi="Avenir Roman"/>
          <w:sz w:val="22"/>
          <w:szCs w:val="22"/>
        </w:rPr>
        <w:footnoteReference w:id="85"/>
      </w:r>
      <w:r w:rsidR="006E1308" w:rsidRPr="007957C5">
        <w:rPr>
          <w:rFonts w:ascii="Avenir Roman" w:hAnsi="Avenir Roman"/>
          <w:sz w:val="22"/>
          <w:szCs w:val="22"/>
        </w:rPr>
        <w:t xml:space="preserve">  </w:t>
      </w:r>
      <w:r w:rsidR="00B4279F" w:rsidRPr="007957C5">
        <w:rPr>
          <w:rFonts w:ascii="Avenir Roman" w:hAnsi="Avenir Roman"/>
          <w:sz w:val="22"/>
          <w:szCs w:val="22"/>
        </w:rPr>
        <w:t xml:space="preserve">This includes </w:t>
      </w:r>
      <w:r w:rsidR="00EA524F" w:rsidRPr="007957C5">
        <w:rPr>
          <w:rFonts w:ascii="Avenir Roman" w:hAnsi="Avenir Roman"/>
          <w:sz w:val="22"/>
          <w:szCs w:val="22"/>
        </w:rPr>
        <w:t>through the development of universal design standards for accessibility across a range of areas and the incorporation of universal housing design in building and construction codes</w:t>
      </w:r>
      <w:r w:rsidR="00140826" w:rsidRPr="007957C5">
        <w:rPr>
          <w:rFonts w:ascii="Avenir Roman" w:hAnsi="Avenir Roman"/>
          <w:sz w:val="22"/>
          <w:szCs w:val="22"/>
        </w:rPr>
        <w:t xml:space="preserve"> to ensure social and residential housing is accessible to all members of the community</w:t>
      </w:r>
      <w:r w:rsidR="00EA524F" w:rsidRPr="007957C5">
        <w:rPr>
          <w:rFonts w:ascii="Avenir Roman" w:hAnsi="Avenir Roman"/>
          <w:sz w:val="22"/>
          <w:szCs w:val="22"/>
        </w:rPr>
        <w:t>.</w:t>
      </w:r>
      <w:r w:rsidR="00F94125" w:rsidRPr="007957C5">
        <w:rPr>
          <w:rStyle w:val="FootnoteReference"/>
          <w:rFonts w:ascii="Avenir Roman" w:hAnsi="Avenir Roman"/>
          <w:sz w:val="22"/>
          <w:szCs w:val="22"/>
        </w:rPr>
        <w:footnoteReference w:id="86"/>
      </w:r>
    </w:p>
    <w:p w14:paraId="465313B4" w14:textId="77777777" w:rsidR="005E62CA" w:rsidRPr="007957C5" w:rsidRDefault="005E62CA" w:rsidP="007957C5">
      <w:pPr>
        <w:pStyle w:val="ListParagraph"/>
        <w:spacing w:line="240" w:lineRule="auto"/>
        <w:jc w:val="left"/>
        <w:rPr>
          <w:rFonts w:ascii="Avenir Roman" w:hAnsi="Avenir Roman"/>
          <w:sz w:val="22"/>
          <w:szCs w:val="22"/>
        </w:rPr>
      </w:pPr>
    </w:p>
    <w:p w14:paraId="2B6B8E4B" w14:textId="274CFD75" w:rsidR="00EE549A" w:rsidRDefault="00025CDD" w:rsidP="00564172">
      <w:pPr>
        <w:pStyle w:val="ListParagraph"/>
        <w:numPr>
          <w:ilvl w:val="2"/>
          <w:numId w:val="22"/>
        </w:numPr>
        <w:spacing w:after="0" w:line="240" w:lineRule="auto"/>
        <w:ind w:left="1134"/>
        <w:contextualSpacing w:val="0"/>
        <w:jc w:val="left"/>
        <w:rPr>
          <w:rFonts w:ascii="Avenir Roman" w:hAnsi="Avenir Roman"/>
          <w:sz w:val="22"/>
          <w:szCs w:val="22"/>
        </w:rPr>
      </w:pPr>
      <w:r w:rsidRPr="007957C5">
        <w:rPr>
          <w:rFonts w:ascii="Avenir Roman" w:hAnsi="Avenir Roman"/>
          <w:sz w:val="22"/>
          <w:szCs w:val="22"/>
        </w:rPr>
        <w:t>The majority of</w:t>
      </w:r>
      <w:r w:rsidR="00F94125" w:rsidRPr="007957C5">
        <w:rPr>
          <w:rFonts w:ascii="Avenir Roman" w:hAnsi="Avenir Roman"/>
          <w:sz w:val="22"/>
          <w:szCs w:val="22"/>
        </w:rPr>
        <w:t xml:space="preserve"> people with disability are not eligible for </w:t>
      </w:r>
      <w:r w:rsidR="00987736" w:rsidRPr="007957C5">
        <w:rPr>
          <w:rFonts w:ascii="Avenir Roman" w:hAnsi="Avenir Roman"/>
          <w:sz w:val="22"/>
          <w:szCs w:val="22"/>
        </w:rPr>
        <w:t xml:space="preserve">housing through SDA or for any support under </w:t>
      </w:r>
      <w:r w:rsidR="00F94125" w:rsidRPr="007957C5">
        <w:rPr>
          <w:rFonts w:ascii="Avenir Roman" w:hAnsi="Avenir Roman"/>
          <w:sz w:val="22"/>
          <w:szCs w:val="22"/>
        </w:rPr>
        <w:t>the NDIS</w:t>
      </w:r>
      <w:r w:rsidR="009C64AE" w:rsidRPr="007957C5">
        <w:rPr>
          <w:rFonts w:ascii="Avenir Roman" w:hAnsi="Avenir Roman"/>
          <w:sz w:val="22"/>
          <w:szCs w:val="22"/>
        </w:rPr>
        <w:t>, and are reliant on other forms of housing</w:t>
      </w:r>
      <w:r w:rsidRPr="007957C5">
        <w:rPr>
          <w:rFonts w:ascii="Avenir Roman" w:hAnsi="Avenir Roman"/>
          <w:sz w:val="22"/>
          <w:szCs w:val="22"/>
        </w:rPr>
        <w:t xml:space="preserve"> support</w:t>
      </w:r>
      <w:r w:rsidR="009C64AE" w:rsidRPr="007957C5">
        <w:rPr>
          <w:rFonts w:ascii="Avenir Roman" w:hAnsi="Avenir Roman"/>
          <w:sz w:val="22"/>
          <w:szCs w:val="22"/>
        </w:rPr>
        <w:t>, such as public housing or private rental</w:t>
      </w:r>
      <w:r w:rsidR="00F94125" w:rsidRPr="007957C5">
        <w:rPr>
          <w:rFonts w:ascii="Avenir Roman" w:hAnsi="Avenir Roman"/>
          <w:sz w:val="22"/>
          <w:szCs w:val="22"/>
        </w:rPr>
        <w:t xml:space="preserve">.  The lack of choice in where to live and with whom is underlined by the lack of accessible mainstream </w:t>
      </w:r>
      <w:r w:rsidR="009C64AE" w:rsidRPr="007957C5">
        <w:rPr>
          <w:rFonts w:ascii="Avenir Roman" w:hAnsi="Avenir Roman"/>
          <w:sz w:val="22"/>
          <w:szCs w:val="22"/>
        </w:rPr>
        <w:t xml:space="preserve">and public </w:t>
      </w:r>
      <w:r w:rsidR="00F94125" w:rsidRPr="007957C5">
        <w:rPr>
          <w:rFonts w:ascii="Avenir Roman" w:hAnsi="Avenir Roman"/>
          <w:sz w:val="22"/>
          <w:szCs w:val="22"/>
        </w:rPr>
        <w:t>housing</w:t>
      </w:r>
      <w:r w:rsidR="00987736" w:rsidRPr="007957C5">
        <w:rPr>
          <w:rFonts w:ascii="Avenir Roman" w:hAnsi="Avenir Roman"/>
          <w:sz w:val="22"/>
          <w:szCs w:val="22"/>
        </w:rPr>
        <w:t xml:space="preserve">, </w:t>
      </w:r>
      <w:r w:rsidR="009C64AE" w:rsidRPr="007957C5">
        <w:rPr>
          <w:rFonts w:ascii="Avenir Roman" w:hAnsi="Avenir Roman"/>
          <w:sz w:val="22"/>
          <w:szCs w:val="22"/>
        </w:rPr>
        <w:t xml:space="preserve">and the continued </w:t>
      </w:r>
      <w:r w:rsidR="00F94125" w:rsidRPr="007957C5">
        <w:rPr>
          <w:rFonts w:ascii="Avenir Roman" w:hAnsi="Avenir Roman"/>
          <w:sz w:val="22"/>
          <w:szCs w:val="22"/>
        </w:rPr>
        <w:t>reliance on</w:t>
      </w:r>
      <w:r w:rsidR="009C64AE" w:rsidRPr="007957C5">
        <w:rPr>
          <w:rFonts w:ascii="Avenir Roman" w:hAnsi="Avenir Roman"/>
          <w:sz w:val="22"/>
          <w:szCs w:val="22"/>
        </w:rPr>
        <w:t xml:space="preserve"> </w:t>
      </w:r>
      <w:r w:rsidR="00F94125" w:rsidRPr="007957C5">
        <w:rPr>
          <w:rFonts w:ascii="Avenir Roman" w:hAnsi="Avenir Roman"/>
          <w:sz w:val="22"/>
          <w:szCs w:val="22"/>
        </w:rPr>
        <w:t>disability specific models of accommodation</w:t>
      </w:r>
      <w:r w:rsidR="009C64AE" w:rsidRPr="007957C5">
        <w:rPr>
          <w:rFonts w:ascii="Avenir Roman" w:hAnsi="Avenir Roman"/>
          <w:sz w:val="22"/>
          <w:szCs w:val="22"/>
        </w:rPr>
        <w:t xml:space="preserve"> or precarious forms of accommodation, such as boarding or rooming houses</w:t>
      </w:r>
      <w:r w:rsidR="00AD23D1" w:rsidRPr="007957C5">
        <w:rPr>
          <w:rFonts w:ascii="Avenir Roman" w:hAnsi="Avenir Roman"/>
          <w:sz w:val="22"/>
          <w:szCs w:val="22"/>
        </w:rPr>
        <w:t>.</w:t>
      </w:r>
      <w:r w:rsidR="00F94125" w:rsidRPr="007957C5">
        <w:rPr>
          <w:rFonts w:ascii="Avenir Roman" w:hAnsi="Avenir Roman"/>
          <w:sz w:val="22"/>
          <w:szCs w:val="22"/>
        </w:rPr>
        <w:t xml:space="preserve"> The 2010 </w:t>
      </w:r>
      <w:proofErr w:type="spellStart"/>
      <w:r w:rsidR="00F94125" w:rsidRPr="007957C5">
        <w:rPr>
          <w:rFonts w:ascii="Avenir Roman" w:hAnsi="Avenir Roman"/>
          <w:sz w:val="22"/>
          <w:szCs w:val="22"/>
        </w:rPr>
        <w:t>Livable</w:t>
      </w:r>
      <w:proofErr w:type="spellEnd"/>
      <w:r w:rsidR="00F94125" w:rsidRPr="007957C5">
        <w:rPr>
          <w:rFonts w:ascii="Avenir Roman" w:hAnsi="Avenir Roman"/>
          <w:sz w:val="22"/>
          <w:szCs w:val="22"/>
        </w:rPr>
        <w:t xml:space="preserve"> Housing Design Guidelines provide aspirational targets for all new homes to incorporate universal housing design standards</w:t>
      </w:r>
      <w:r w:rsidR="00710FC4" w:rsidRPr="007957C5">
        <w:rPr>
          <w:rFonts w:ascii="Avenir Roman" w:hAnsi="Avenir Roman"/>
          <w:sz w:val="22"/>
          <w:szCs w:val="22"/>
        </w:rPr>
        <w:t xml:space="preserve"> by 2020</w:t>
      </w:r>
      <w:r w:rsidR="00850036" w:rsidRPr="007957C5">
        <w:rPr>
          <w:rFonts w:ascii="Avenir Roman" w:hAnsi="Avenir Roman"/>
          <w:sz w:val="22"/>
          <w:szCs w:val="22"/>
        </w:rPr>
        <w:t>.</w:t>
      </w:r>
      <w:r w:rsidR="0084413B" w:rsidRPr="007957C5">
        <w:rPr>
          <w:rStyle w:val="FootnoteReference"/>
          <w:rFonts w:ascii="Avenir Roman" w:hAnsi="Avenir Roman"/>
          <w:sz w:val="22"/>
          <w:szCs w:val="22"/>
        </w:rPr>
        <w:footnoteReference w:id="87"/>
      </w:r>
      <w:r w:rsidR="00850036" w:rsidRPr="007957C5">
        <w:rPr>
          <w:rFonts w:ascii="Avenir Roman" w:hAnsi="Avenir Roman"/>
          <w:sz w:val="22"/>
          <w:szCs w:val="22"/>
        </w:rPr>
        <w:t xml:space="preserve">  However</w:t>
      </w:r>
      <w:r w:rsidR="00F94125" w:rsidRPr="007957C5">
        <w:rPr>
          <w:rFonts w:ascii="Avenir Roman" w:hAnsi="Avenir Roman"/>
          <w:sz w:val="22"/>
          <w:szCs w:val="22"/>
        </w:rPr>
        <w:t xml:space="preserve">, some ten years later, only 5% of new housing construction </w:t>
      </w:r>
      <w:r w:rsidR="001673B8" w:rsidRPr="007957C5">
        <w:rPr>
          <w:rFonts w:ascii="Avenir Roman" w:hAnsi="Avenir Roman"/>
          <w:sz w:val="22"/>
          <w:szCs w:val="22"/>
        </w:rPr>
        <w:t>is expected to</w:t>
      </w:r>
      <w:r w:rsidR="00F94125" w:rsidRPr="007957C5">
        <w:rPr>
          <w:rFonts w:ascii="Avenir Roman" w:hAnsi="Avenir Roman"/>
          <w:sz w:val="22"/>
          <w:szCs w:val="22"/>
        </w:rPr>
        <w:t xml:space="preserve"> me</w:t>
      </w:r>
      <w:r w:rsidR="001673B8" w:rsidRPr="007957C5">
        <w:rPr>
          <w:rFonts w:ascii="Avenir Roman" w:hAnsi="Avenir Roman"/>
          <w:sz w:val="22"/>
          <w:szCs w:val="22"/>
        </w:rPr>
        <w:t>e</w:t>
      </w:r>
      <w:r w:rsidR="00F94125" w:rsidRPr="007957C5">
        <w:rPr>
          <w:rFonts w:ascii="Avenir Roman" w:hAnsi="Avenir Roman"/>
          <w:sz w:val="22"/>
          <w:szCs w:val="22"/>
        </w:rPr>
        <w:t>t these standards</w:t>
      </w:r>
      <w:r w:rsidR="00850036" w:rsidRPr="007957C5">
        <w:rPr>
          <w:rFonts w:ascii="Avenir Roman" w:hAnsi="Avenir Roman"/>
          <w:sz w:val="22"/>
          <w:szCs w:val="22"/>
        </w:rPr>
        <w:t>,</w:t>
      </w:r>
      <w:r w:rsidR="003F14E1" w:rsidRPr="007957C5">
        <w:rPr>
          <w:rStyle w:val="FootnoteReference"/>
          <w:rFonts w:ascii="Avenir Roman" w:hAnsi="Avenir Roman"/>
          <w:sz w:val="22"/>
          <w:szCs w:val="22"/>
        </w:rPr>
        <w:footnoteReference w:id="88"/>
      </w:r>
      <w:r w:rsidR="003F14E1" w:rsidRPr="007957C5">
        <w:rPr>
          <w:rFonts w:ascii="Avenir Roman" w:hAnsi="Avenir Roman"/>
          <w:sz w:val="22"/>
          <w:szCs w:val="22"/>
        </w:rPr>
        <w:t xml:space="preserve"> </w:t>
      </w:r>
      <w:r w:rsidR="00850036" w:rsidRPr="007957C5">
        <w:rPr>
          <w:rFonts w:ascii="Avenir Roman" w:hAnsi="Avenir Roman"/>
          <w:sz w:val="22"/>
          <w:szCs w:val="22"/>
        </w:rPr>
        <w:t xml:space="preserve">leaving people with disability with little </w:t>
      </w:r>
      <w:r w:rsidR="003F14E1" w:rsidRPr="007957C5">
        <w:rPr>
          <w:rFonts w:ascii="Avenir Roman" w:hAnsi="Avenir Roman"/>
          <w:sz w:val="22"/>
          <w:szCs w:val="22"/>
        </w:rPr>
        <w:t xml:space="preserve">to no </w:t>
      </w:r>
      <w:r w:rsidR="00850036" w:rsidRPr="007957C5">
        <w:rPr>
          <w:rFonts w:ascii="Avenir Roman" w:hAnsi="Avenir Roman"/>
          <w:sz w:val="22"/>
          <w:szCs w:val="22"/>
        </w:rPr>
        <w:t>housing options in the community</w:t>
      </w:r>
      <w:r w:rsidR="00780312" w:rsidRPr="007957C5">
        <w:rPr>
          <w:rFonts w:ascii="Avenir Roman" w:hAnsi="Avenir Roman"/>
          <w:sz w:val="22"/>
          <w:szCs w:val="22"/>
        </w:rPr>
        <w:t xml:space="preserve">, reinforcing </w:t>
      </w:r>
      <w:r w:rsidR="00C61568" w:rsidRPr="007957C5">
        <w:rPr>
          <w:rFonts w:ascii="Avenir Roman" w:hAnsi="Avenir Roman"/>
          <w:sz w:val="22"/>
          <w:szCs w:val="22"/>
        </w:rPr>
        <w:t xml:space="preserve">and maintaining </w:t>
      </w:r>
      <w:r w:rsidR="00780312" w:rsidRPr="007957C5">
        <w:rPr>
          <w:rFonts w:ascii="Avenir Roman" w:hAnsi="Avenir Roman"/>
          <w:sz w:val="22"/>
          <w:szCs w:val="22"/>
        </w:rPr>
        <w:t>segregation</w:t>
      </w:r>
      <w:r w:rsidR="00C61568" w:rsidRPr="007957C5">
        <w:rPr>
          <w:rFonts w:ascii="Avenir Roman" w:hAnsi="Avenir Roman"/>
          <w:sz w:val="22"/>
          <w:szCs w:val="22"/>
        </w:rPr>
        <w:t xml:space="preserve">, </w:t>
      </w:r>
      <w:r w:rsidR="00780312" w:rsidRPr="007957C5">
        <w:rPr>
          <w:rFonts w:ascii="Avenir Roman" w:hAnsi="Avenir Roman"/>
          <w:sz w:val="22"/>
          <w:szCs w:val="22"/>
        </w:rPr>
        <w:t>social isolation</w:t>
      </w:r>
      <w:r w:rsidR="00C61568" w:rsidRPr="007957C5">
        <w:rPr>
          <w:rFonts w:ascii="Avenir Roman" w:hAnsi="Avenir Roman"/>
          <w:sz w:val="22"/>
          <w:szCs w:val="22"/>
        </w:rPr>
        <w:t xml:space="preserve"> and an inadequate standard of living</w:t>
      </w:r>
      <w:r w:rsidR="00850036" w:rsidRPr="007957C5">
        <w:rPr>
          <w:rFonts w:ascii="Avenir Roman" w:hAnsi="Avenir Roman"/>
          <w:sz w:val="22"/>
          <w:szCs w:val="22"/>
        </w:rPr>
        <w:t xml:space="preserve">. </w:t>
      </w:r>
    </w:p>
    <w:p w14:paraId="4FA449C5" w14:textId="77777777" w:rsidR="00E50CD5" w:rsidRPr="00E50CD5" w:rsidRDefault="00E50CD5" w:rsidP="00E50CD5">
      <w:pPr>
        <w:spacing w:after="0" w:line="240" w:lineRule="auto"/>
        <w:jc w:val="left"/>
        <w:rPr>
          <w:rFonts w:ascii="Avenir Roman" w:hAnsi="Avenir Roman"/>
          <w:sz w:val="22"/>
          <w:szCs w:val="22"/>
        </w:rPr>
      </w:pPr>
    </w:p>
    <w:p w14:paraId="1F9C6603" w14:textId="77777777" w:rsidR="00E50CD5" w:rsidRDefault="00E50CD5">
      <w:pPr>
        <w:rPr>
          <w:rFonts w:ascii="Avenir Roman" w:hAnsi="Avenir Roman"/>
          <w:i/>
          <w:smallCaps/>
          <w:spacing w:val="5"/>
          <w:sz w:val="22"/>
          <w:szCs w:val="22"/>
        </w:rPr>
      </w:pPr>
      <w:r>
        <w:rPr>
          <w:rFonts w:ascii="Avenir Roman" w:hAnsi="Avenir Roman"/>
          <w:i/>
          <w:sz w:val="22"/>
          <w:szCs w:val="22"/>
        </w:rPr>
        <w:br w:type="page"/>
      </w:r>
    </w:p>
    <w:p w14:paraId="04B5E81D" w14:textId="6ECBE851" w:rsidR="00366D4A" w:rsidRPr="007957C5" w:rsidRDefault="000A729F" w:rsidP="00564172">
      <w:pPr>
        <w:pStyle w:val="Heading3"/>
        <w:numPr>
          <w:ilvl w:val="1"/>
          <w:numId w:val="22"/>
        </w:numPr>
        <w:spacing w:after="120" w:line="240" w:lineRule="auto"/>
        <w:ind w:left="1134" w:hanging="708"/>
        <w:rPr>
          <w:rFonts w:ascii="Avenir Roman" w:hAnsi="Avenir Roman"/>
          <w:i/>
          <w:sz w:val="22"/>
          <w:szCs w:val="22"/>
        </w:rPr>
      </w:pPr>
      <w:bookmarkStart w:id="116" w:name="_Toc43919157"/>
      <w:r w:rsidRPr="007957C5">
        <w:rPr>
          <w:rFonts w:ascii="Avenir Roman" w:hAnsi="Avenir Roman"/>
          <w:i/>
          <w:sz w:val="22"/>
          <w:szCs w:val="22"/>
        </w:rPr>
        <w:lastRenderedPageBreak/>
        <w:t>E</w:t>
      </w:r>
      <w:r w:rsidR="00366D4A" w:rsidRPr="007957C5">
        <w:rPr>
          <w:rFonts w:ascii="Avenir Roman" w:hAnsi="Avenir Roman"/>
          <w:i/>
          <w:sz w:val="22"/>
          <w:szCs w:val="22"/>
        </w:rPr>
        <w:t>lements of institutionalisation</w:t>
      </w:r>
      <w:bookmarkEnd w:id="116"/>
    </w:p>
    <w:p w14:paraId="7A4B1C9C" w14:textId="23E9A181" w:rsidR="00137A67" w:rsidRPr="007957C5" w:rsidRDefault="00E52C27" w:rsidP="00564172">
      <w:pPr>
        <w:pStyle w:val="ListParagraph"/>
        <w:numPr>
          <w:ilvl w:val="2"/>
          <w:numId w:val="22"/>
        </w:numPr>
        <w:spacing w:line="240" w:lineRule="auto"/>
        <w:ind w:left="1134"/>
        <w:jc w:val="left"/>
        <w:rPr>
          <w:rFonts w:ascii="Avenir Roman" w:hAnsi="Avenir Roman"/>
          <w:sz w:val="22"/>
          <w:szCs w:val="22"/>
        </w:rPr>
      </w:pPr>
      <w:r w:rsidRPr="007957C5">
        <w:rPr>
          <w:rFonts w:ascii="Avenir Roman" w:hAnsi="Avenir Roman"/>
          <w:sz w:val="22"/>
          <w:szCs w:val="22"/>
        </w:rPr>
        <w:t>Segregation and isolation and t</w:t>
      </w:r>
      <w:r w:rsidR="00457B70" w:rsidRPr="007957C5">
        <w:rPr>
          <w:rFonts w:ascii="Avenir Roman" w:hAnsi="Avenir Roman"/>
          <w:sz w:val="22"/>
          <w:szCs w:val="22"/>
        </w:rPr>
        <w:t>he loss of liberty</w:t>
      </w:r>
      <w:r w:rsidR="00372C38" w:rsidRPr="007957C5">
        <w:rPr>
          <w:rFonts w:ascii="Avenir Roman" w:hAnsi="Avenir Roman"/>
          <w:sz w:val="22"/>
          <w:szCs w:val="22"/>
        </w:rPr>
        <w:t xml:space="preserve"> and security</w:t>
      </w:r>
      <w:r w:rsidR="00457B70" w:rsidRPr="007957C5">
        <w:rPr>
          <w:rFonts w:ascii="Avenir Roman" w:hAnsi="Avenir Roman"/>
          <w:sz w:val="22"/>
          <w:szCs w:val="22"/>
        </w:rPr>
        <w:t>, personal choice</w:t>
      </w:r>
      <w:r w:rsidRPr="007957C5">
        <w:rPr>
          <w:rFonts w:ascii="Avenir Roman" w:hAnsi="Avenir Roman"/>
          <w:sz w:val="22"/>
          <w:szCs w:val="22"/>
        </w:rPr>
        <w:t xml:space="preserve">, </w:t>
      </w:r>
      <w:r w:rsidR="00457B70" w:rsidRPr="007957C5">
        <w:rPr>
          <w:rFonts w:ascii="Avenir Roman" w:hAnsi="Avenir Roman"/>
          <w:sz w:val="22"/>
          <w:szCs w:val="22"/>
        </w:rPr>
        <w:t xml:space="preserve">autonomy </w:t>
      </w:r>
      <w:r w:rsidR="00BE7F62" w:rsidRPr="007957C5">
        <w:rPr>
          <w:rFonts w:ascii="Avenir Roman" w:hAnsi="Avenir Roman"/>
          <w:sz w:val="22"/>
          <w:szCs w:val="22"/>
        </w:rPr>
        <w:t>and freedom of movement</w:t>
      </w:r>
      <w:r w:rsidR="0002448D" w:rsidRPr="007957C5">
        <w:rPr>
          <w:rFonts w:ascii="Avenir Roman" w:hAnsi="Avenir Roman"/>
          <w:sz w:val="22"/>
          <w:szCs w:val="22"/>
        </w:rPr>
        <w:t xml:space="preserve"> </w:t>
      </w:r>
      <w:r w:rsidR="00457B70" w:rsidRPr="007957C5">
        <w:rPr>
          <w:rFonts w:ascii="Avenir Roman" w:hAnsi="Avenir Roman"/>
          <w:sz w:val="22"/>
          <w:szCs w:val="22"/>
        </w:rPr>
        <w:t>are “defining elements” of institutionalisation</w:t>
      </w:r>
      <w:r w:rsidR="0002448D" w:rsidRPr="007957C5">
        <w:rPr>
          <w:rFonts w:ascii="Avenir Roman" w:hAnsi="Avenir Roman"/>
          <w:sz w:val="22"/>
          <w:szCs w:val="22"/>
        </w:rPr>
        <w:t>.</w:t>
      </w:r>
      <w:r w:rsidR="0002448D" w:rsidRPr="007957C5">
        <w:rPr>
          <w:rStyle w:val="FootnoteReference"/>
          <w:rFonts w:ascii="Avenir Roman" w:hAnsi="Avenir Roman"/>
          <w:sz w:val="22"/>
          <w:szCs w:val="22"/>
          <w:lang w:val="en-AU"/>
        </w:rPr>
        <w:footnoteReference w:id="89"/>
      </w:r>
      <w:r w:rsidR="0002448D" w:rsidRPr="007957C5">
        <w:rPr>
          <w:rFonts w:ascii="Avenir Roman" w:hAnsi="Avenir Roman"/>
          <w:sz w:val="22"/>
          <w:szCs w:val="22"/>
        </w:rPr>
        <w:t xml:space="preserve"> These </w:t>
      </w:r>
      <w:r w:rsidR="005C73B1" w:rsidRPr="007957C5">
        <w:rPr>
          <w:rFonts w:ascii="Avenir Roman" w:hAnsi="Avenir Roman"/>
          <w:sz w:val="22"/>
          <w:szCs w:val="22"/>
        </w:rPr>
        <w:t>elements</w:t>
      </w:r>
      <w:r w:rsidR="00457B70" w:rsidRPr="007957C5">
        <w:rPr>
          <w:rFonts w:ascii="Avenir Roman" w:hAnsi="Avenir Roman"/>
          <w:sz w:val="22"/>
          <w:szCs w:val="22"/>
        </w:rPr>
        <w:t xml:space="preserve"> can occur in family homes, in large-scale institutions, </w:t>
      </w:r>
      <w:r w:rsidR="003C2DAA" w:rsidRPr="007957C5">
        <w:rPr>
          <w:rFonts w:ascii="Avenir Roman" w:hAnsi="Avenir Roman"/>
          <w:sz w:val="22"/>
          <w:szCs w:val="22"/>
        </w:rPr>
        <w:t>disability supported accommodation arrangements</w:t>
      </w:r>
      <w:r w:rsidR="00457B70" w:rsidRPr="007957C5">
        <w:rPr>
          <w:rFonts w:ascii="Avenir Roman" w:hAnsi="Avenir Roman"/>
          <w:sz w:val="22"/>
          <w:szCs w:val="22"/>
        </w:rPr>
        <w:t>, group homes</w:t>
      </w:r>
      <w:r w:rsidR="003C2DAA" w:rsidRPr="007957C5">
        <w:rPr>
          <w:rFonts w:ascii="Avenir Roman" w:hAnsi="Avenir Roman"/>
          <w:sz w:val="22"/>
          <w:szCs w:val="22"/>
        </w:rPr>
        <w:t xml:space="preserve"> and other facilities, such as aged care, boarding </w:t>
      </w:r>
      <w:r w:rsidR="00E40A1B" w:rsidRPr="007957C5">
        <w:rPr>
          <w:rFonts w:ascii="Avenir Roman" w:hAnsi="Avenir Roman"/>
          <w:sz w:val="22"/>
          <w:szCs w:val="22"/>
        </w:rPr>
        <w:t xml:space="preserve">or rooming </w:t>
      </w:r>
      <w:r w:rsidR="003C2DAA" w:rsidRPr="007957C5">
        <w:rPr>
          <w:rFonts w:ascii="Avenir Roman" w:hAnsi="Avenir Roman"/>
          <w:sz w:val="22"/>
          <w:szCs w:val="22"/>
        </w:rPr>
        <w:t>houses and psychiatric facilities</w:t>
      </w:r>
      <w:r w:rsidR="00457B70" w:rsidRPr="007957C5">
        <w:rPr>
          <w:rFonts w:ascii="Avenir Roman" w:hAnsi="Avenir Roman"/>
          <w:sz w:val="22"/>
          <w:szCs w:val="22"/>
        </w:rPr>
        <w:t>.</w:t>
      </w:r>
      <w:r w:rsidR="003C2DAA" w:rsidRPr="007957C5">
        <w:rPr>
          <w:rFonts w:ascii="Avenir Roman" w:hAnsi="Avenir Roman"/>
          <w:sz w:val="22"/>
          <w:szCs w:val="22"/>
        </w:rPr>
        <w:t xml:space="preserve"> </w:t>
      </w:r>
    </w:p>
    <w:p w14:paraId="54E5A52F" w14:textId="77777777" w:rsidR="006F3ABE" w:rsidRPr="007957C5" w:rsidRDefault="006F3ABE" w:rsidP="007957C5">
      <w:pPr>
        <w:pStyle w:val="ListParagraph"/>
        <w:spacing w:line="240" w:lineRule="auto"/>
        <w:ind w:left="1134"/>
        <w:jc w:val="left"/>
        <w:rPr>
          <w:rFonts w:ascii="Avenir Roman" w:hAnsi="Avenir Roman"/>
          <w:sz w:val="22"/>
          <w:szCs w:val="22"/>
        </w:rPr>
      </w:pPr>
    </w:p>
    <w:p w14:paraId="7CE14387" w14:textId="0E7640B1" w:rsidR="000D3698" w:rsidRPr="007957C5" w:rsidRDefault="00343795" w:rsidP="00564172">
      <w:pPr>
        <w:pStyle w:val="ListParagraph"/>
        <w:numPr>
          <w:ilvl w:val="2"/>
          <w:numId w:val="22"/>
        </w:numPr>
        <w:spacing w:after="0" w:line="240" w:lineRule="auto"/>
        <w:ind w:left="1134"/>
        <w:contextualSpacing w:val="0"/>
        <w:jc w:val="left"/>
        <w:rPr>
          <w:rFonts w:ascii="Avenir Roman" w:hAnsi="Avenir Roman"/>
          <w:sz w:val="22"/>
          <w:szCs w:val="22"/>
        </w:rPr>
      </w:pPr>
      <w:r w:rsidRPr="007957C5">
        <w:rPr>
          <w:rFonts w:ascii="Avenir Roman" w:hAnsi="Avenir Roman"/>
          <w:sz w:val="22"/>
          <w:szCs w:val="22"/>
        </w:rPr>
        <w:t xml:space="preserve">There is significant evidence that clearly demonstrates that these defining elements of institutionalisation are </w:t>
      </w:r>
      <w:r w:rsidR="00A3358C" w:rsidRPr="007957C5">
        <w:rPr>
          <w:rFonts w:ascii="Avenir Roman" w:hAnsi="Avenir Roman"/>
          <w:sz w:val="22"/>
          <w:szCs w:val="22"/>
        </w:rPr>
        <w:t>inherent to</w:t>
      </w:r>
      <w:r w:rsidRPr="007957C5">
        <w:rPr>
          <w:rFonts w:ascii="Avenir Roman" w:hAnsi="Avenir Roman"/>
          <w:sz w:val="22"/>
          <w:szCs w:val="22"/>
        </w:rPr>
        <w:t xml:space="preserve"> group homes, and </w:t>
      </w:r>
      <w:r w:rsidR="00A67B0A" w:rsidRPr="007957C5">
        <w:rPr>
          <w:rFonts w:ascii="Avenir Roman" w:hAnsi="Avenir Roman"/>
          <w:sz w:val="22"/>
          <w:szCs w:val="22"/>
        </w:rPr>
        <w:t xml:space="preserve">that </w:t>
      </w:r>
      <w:r w:rsidR="006F3ABE" w:rsidRPr="007957C5">
        <w:rPr>
          <w:rFonts w:ascii="Avenir Roman" w:hAnsi="Avenir Roman"/>
          <w:sz w:val="22"/>
          <w:szCs w:val="22"/>
        </w:rPr>
        <w:t xml:space="preserve">they </w:t>
      </w:r>
      <w:r w:rsidRPr="007957C5">
        <w:rPr>
          <w:rFonts w:ascii="Avenir Roman" w:hAnsi="Avenir Roman"/>
          <w:sz w:val="22"/>
          <w:szCs w:val="22"/>
        </w:rPr>
        <w:t>underline the conditions necessary for violence, abuse, neglect and exploitation to occur.</w:t>
      </w:r>
      <w:r w:rsidRPr="007957C5">
        <w:rPr>
          <w:rStyle w:val="FootnoteReference"/>
          <w:rFonts w:ascii="Avenir Roman" w:hAnsi="Avenir Roman"/>
          <w:sz w:val="22"/>
          <w:szCs w:val="22"/>
        </w:rPr>
        <w:footnoteReference w:id="90"/>
      </w:r>
      <w:r w:rsidRPr="007957C5">
        <w:rPr>
          <w:rFonts w:ascii="Avenir Roman" w:hAnsi="Avenir Roman"/>
          <w:sz w:val="22"/>
          <w:szCs w:val="22"/>
        </w:rPr>
        <w:t xml:space="preserve"> </w:t>
      </w:r>
    </w:p>
    <w:p w14:paraId="7E3FDC32" w14:textId="77777777" w:rsidR="00A72C4B" w:rsidRPr="007957C5" w:rsidRDefault="00A72C4B" w:rsidP="00E50CD5">
      <w:pPr>
        <w:spacing w:after="0" w:line="240" w:lineRule="auto"/>
        <w:jc w:val="left"/>
        <w:rPr>
          <w:rFonts w:ascii="Avenir Roman" w:hAnsi="Avenir Roman"/>
          <w:sz w:val="22"/>
          <w:szCs w:val="22"/>
        </w:rPr>
      </w:pPr>
    </w:p>
    <w:p w14:paraId="094D55EE" w14:textId="2E5A42D1" w:rsidR="00FB466A" w:rsidRPr="007957C5" w:rsidRDefault="00DD1AD7" w:rsidP="00564172">
      <w:pPr>
        <w:pStyle w:val="ListParagraph"/>
        <w:numPr>
          <w:ilvl w:val="2"/>
          <w:numId w:val="22"/>
        </w:numPr>
        <w:spacing w:after="0" w:line="240" w:lineRule="auto"/>
        <w:ind w:left="1134"/>
        <w:contextualSpacing w:val="0"/>
        <w:jc w:val="left"/>
        <w:rPr>
          <w:rFonts w:ascii="Avenir Roman" w:hAnsi="Avenir Roman"/>
          <w:sz w:val="22"/>
          <w:szCs w:val="22"/>
        </w:rPr>
      </w:pPr>
      <w:r w:rsidRPr="007957C5">
        <w:rPr>
          <w:rFonts w:ascii="Avenir Roman" w:hAnsi="Avenir Roman"/>
          <w:sz w:val="22"/>
          <w:szCs w:val="22"/>
        </w:rPr>
        <w:t>Article 19 makes clear that institutional accommodation and support services are an explicit violation of human rights. The CRPD requires the elimination of segregated and socially isolated living arrangements where people with disability are obliged to live in order to receive daily support, and which deny or limit full inclusion in the community. It is not only about living “outside of residential institutions of all kinds”, but is also “about not losing personal choice and autonomy as a result of the imposition of certain life and living arrangements”.</w:t>
      </w:r>
      <w:r w:rsidRPr="007957C5">
        <w:rPr>
          <w:rStyle w:val="FootnoteReference"/>
          <w:rFonts w:ascii="Avenir Roman" w:hAnsi="Avenir Roman"/>
          <w:sz w:val="22"/>
          <w:szCs w:val="22"/>
        </w:rPr>
        <w:footnoteReference w:id="91"/>
      </w:r>
      <w:r w:rsidRPr="007957C5">
        <w:rPr>
          <w:rFonts w:ascii="Avenir Roman" w:hAnsi="Avenir Roman"/>
          <w:sz w:val="22"/>
          <w:szCs w:val="22"/>
        </w:rPr>
        <w:t xml:space="preserve"> </w:t>
      </w:r>
    </w:p>
    <w:p w14:paraId="1B05E378" w14:textId="77777777" w:rsidR="0051535C" w:rsidRPr="007957C5" w:rsidRDefault="0051535C" w:rsidP="00E50CD5">
      <w:pPr>
        <w:spacing w:after="0" w:line="240" w:lineRule="auto"/>
        <w:jc w:val="left"/>
        <w:rPr>
          <w:rFonts w:ascii="Avenir Roman" w:hAnsi="Avenir Roman"/>
          <w:sz w:val="22"/>
          <w:szCs w:val="22"/>
        </w:rPr>
      </w:pPr>
    </w:p>
    <w:p w14:paraId="42CA8F5E" w14:textId="6CBD9720" w:rsidR="005C73B1" w:rsidRPr="007957C5" w:rsidRDefault="00FB466A" w:rsidP="00564172">
      <w:pPr>
        <w:pStyle w:val="Heading3"/>
        <w:numPr>
          <w:ilvl w:val="1"/>
          <w:numId w:val="22"/>
        </w:numPr>
        <w:spacing w:after="120" w:line="240" w:lineRule="auto"/>
        <w:ind w:left="1134" w:hanging="708"/>
        <w:rPr>
          <w:rFonts w:ascii="Avenir Roman" w:hAnsi="Avenir Roman"/>
          <w:i/>
          <w:sz w:val="22"/>
          <w:szCs w:val="22"/>
        </w:rPr>
      </w:pPr>
      <w:bookmarkStart w:id="117" w:name="_Toc43919158"/>
      <w:r w:rsidRPr="007957C5">
        <w:rPr>
          <w:rFonts w:ascii="Avenir Roman" w:hAnsi="Avenir Roman"/>
          <w:i/>
          <w:sz w:val="22"/>
          <w:szCs w:val="22"/>
        </w:rPr>
        <w:t>Transformational change, not accommodation models</w:t>
      </w:r>
      <w:bookmarkEnd w:id="117"/>
      <w:r w:rsidRPr="007957C5">
        <w:rPr>
          <w:rFonts w:ascii="Avenir Roman" w:hAnsi="Avenir Roman"/>
          <w:i/>
          <w:sz w:val="22"/>
          <w:szCs w:val="22"/>
        </w:rPr>
        <w:t xml:space="preserve"> </w:t>
      </w:r>
    </w:p>
    <w:p w14:paraId="0030D579" w14:textId="17AFB7BF" w:rsidR="0025073B" w:rsidRPr="00E50CD5" w:rsidRDefault="001D07A5" w:rsidP="00564172">
      <w:pPr>
        <w:pStyle w:val="ListParagraph"/>
        <w:numPr>
          <w:ilvl w:val="2"/>
          <w:numId w:val="22"/>
        </w:numPr>
        <w:spacing w:line="240" w:lineRule="auto"/>
        <w:ind w:left="1134"/>
        <w:jc w:val="left"/>
        <w:rPr>
          <w:rFonts w:ascii="Avenir Roman" w:hAnsi="Avenir Roman"/>
          <w:sz w:val="22"/>
          <w:szCs w:val="22"/>
        </w:rPr>
      </w:pPr>
      <w:r w:rsidRPr="007957C5">
        <w:rPr>
          <w:rFonts w:ascii="Avenir Roman" w:hAnsi="Avenir Roman"/>
          <w:sz w:val="22"/>
          <w:szCs w:val="22"/>
        </w:rPr>
        <w:t>It is critical that the Royal Commission’s examination of living arrangements of people with disability</w:t>
      </w:r>
      <w:r w:rsidR="00CD1FF0" w:rsidRPr="007957C5">
        <w:rPr>
          <w:rFonts w:ascii="Avenir Roman" w:hAnsi="Avenir Roman"/>
          <w:sz w:val="22"/>
          <w:szCs w:val="22"/>
        </w:rPr>
        <w:t>, including group homes</w:t>
      </w:r>
      <w:r w:rsidR="00F105EB" w:rsidRPr="007957C5">
        <w:rPr>
          <w:rFonts w:ascii="Avenir Roman" w:hAnsi="Avenir Roman"/>
          <w:sz w:val="22"/>
          <w:szCs w:val="22"/>
        </w:rPr>
        <w:t>,</w:t>
      </w:r>
      <w:r w:rsidRPr="007957C5">
        <w:rPr>
          <w:rFonts w:ascii="Avenir Roman" w:hAnsi="Avenir Roman"/>
          <w:sz w:val="22"/>
          <w:szCs w:val="22"/>
        </w:rPr>
        <w:t xml:space="preserve"> goes beyond a discussion of appropriate and safe housing and accommodation models for people with disability.  </w:t>
      </w:r>
      <w:r w:rsidR="00CD1FF0" w:rsidRPr="007957C5">
        <w:rPr>
          <w:rFonts w:ascii="Avenir Roman" w:hAnsi="Avenir Roman"/>
          <w:sz w:val="22"/>
          <w:szCs w:val="22"/>
        </w:rPr>
        <w:t xml:space="preserve">Examining living arrangements as </w:t>
      </w:r>
      <w:r w:rsidR="008F1102" w:rsidRPr="007957C5">
        <w:rPr>
          <w:rFonts w:ascii="Avenir Roman" w:hAnsi="Avenir Roman"/>
          <w:sz w:val="22"/>
          <w:szCs w:val="22"/>
        </w:rPr>
        <w:t>the only</w:t>
      </w:r>
      <w:r w:rsidR="00CD1FF0" w:rsidRPr="007957C5">
        <w:rPr>
          <w:rFonts w:ascii="Avenir Roman" w:hAnsi="Avenir Roman"/>
          <w:sz w:val="22"/>
          <w:szCs w:val="22"/>
        </w:rPr>
        <w:t xml:space="preserve"> facilitator of independent living and being included in the community, reduce</w:t>
      </w:r>
      <w:r w:rsidR="0018209D" w:rsidRPr="007957C5">
        <w:rPr>
          <w:rFonts w:ascii="Avenir Roman" w:hAnsi="Avenir Roman"/>
          <w:sz w:val="22"/>
          <w:szCs w:val="22"/>
        </w:rPr>
        <w:t>s</w:t>
      </w:r>
      <w:r w:rsidR="00CD1FF0" w:rsidRPr="007957C5">
        <w:rPr>
          <w:rFonts w:ascii="Avenir Roman" w:hAnsi="Avenir Roman"/>
          <w:sz w:val="22"/>
          <w:szCs w:val="22"/>
        </w:rPr>
        <w:t xml:space="preserve"> the focus </w:t>
      </w:r>
      <w:r w:rsidR="0018209D" w:rsidRPr="007957C5">
        <w:rPr>
          <w:rFonts w:ascii="Avenir Roman" w:hAnsi="Avenir Roman"/>
          <w:sz w:val="22"/>
          <w:szCs w:val="22"/>
        </w:rPr>
        <w:t xml:space="preserve">of article 19 </w:t>
      </w:r>
      <w:r w:rsidR="00CD1FF0" w:rsidRPr="007957C5">
        <w:rPr>
          <w:rFonts w:ascii="Avenir Roman" w:hAnsi="Avenir Roman"/>
          <w:sz w:val="22"/>
          <w:szCs w:val="22"/>
        </w:rPr>
        <w:t xml:space="preserve">to particular </w:t>
      </w:r>
      <w:r w:rsidR="0018209D" w:rsidRPr="007957C5">
        <w:rPr>
          <w:rFonts w:ascii="Avenir Roman" w:hAnsi="Avenir Roman"/>
          <w:sz w:val="22"/>
          <w:szCs w:val="22"/>
        </w:rPr>
        <w:t>disability accommodation and</w:t>
      </w:r>
      <w:r w:rsidR="00CD1FF0" w:rsidRPr="007957C5">
        <w:rPr>
          <w:rFonts w:ascii="Avenir Roman" w:hAnsi="Avenir Roman"/>
          <w:sz w:val="22"/>
          <w:szCs w:val="22"/>
        </w:rPr>
        <w:t xml:space="preserve"> service settings</w:t>
      </w:r>
      <w:r w:rsidR="0018209D" w:rsidRPr="007957C5">
        <w:rPr>
          <w:rFonts w:ascii="Avenir Roman" w:hAnsi="Avenir Roman"/>
          <w:sz w:val="22"/>
          <w:szCs w:val="22"/>
        </w:rPr>
        <w:t xml:space="preserve"> and models. </w:t>
      </w:r>
      <w:r w:rsidR="00C01FF1" w:rsidRPr="007957C5">
        <w:rPr>
          <w:rFonts w:ascii="Avenir Roman" w:hAnsi="Avenir Roman"/>
          <w:sz w:val="22"/>
          <w:szCs w:val="22"/>
        </w:rPr>
        <w:t xml:space="preserve">This is not only </w:t>
      </w:r>
      <w:r w:rsidR="008F1102" w:rsidRPr="007957C5">
        <w:rPr>
          <w:rFonts w:ascii="Avenir Roman" w:hAnsi="Avenir Roman"/>
          <w:sz w:val="22"/>
          <w:szCs w:val="22"/>
        </w:rPr>
        <w:t>reductionist</w:t>
      </w:r>
      <w:r w:rsidR="00C01FF1" w:rsidRPr="007957C5">
        <w:rPr>
          <w:rFonts w:ascii="Avenir Roman" w:hAnsi="Avenir Roman"/>
          <w:sz w:val="22"/>
          <w:szCs w:val="22"/>
        </w:rPr>
        <w:t>, but risks ignoring the significan</w:t>
      </w:r>
      <w:r w:rsidR="00BB34C8" w:rsidRPr="007957C5">
        <w:rPr>
          <w:rFonts w:ascii="Avenir Roman" w:hAnsi="Avenir Roman"/>
          <w:sz w:val="22"/>
          <w:szCs w:val="22"/>
        </w:rPr>
        <w:t>ce</w:t>
      </w:r>
      <w:r w:rsidR="00C01FF1" w:rsidRPr="007957C5">
        <w:rPr>
          <w:rFonts w:ascii="Avenir Roman" w:hAnsi="Avenir Roman"/>
          <w:sz w:val="22"/>
          <w:szCs w:val="22"/>
        </w:rPr>
        <w:t xml:space="preserve"> of article 19 for ensuring human dignity, free personal development</w:t>
      </w:r>
      <w:r w:rsidR="00716A06" w:rsidRPr="007957C5">
        <w:rPr>
          <w:rFonts w:ascii="Avenir Roman" w:hAnsi="Avenir Roman"/>
          <w:sz w:val="22"/>
          <w:szCs w:val="22"/>
        </w:rPr>
        <w:t xml:space="preserve">, </w:t>
      </w:r>
      <w:r w:rsidR="00F105EB" w:rsidRPr="007957C5">
        <w:rPr>
          <w:rFonts w:ascii="Avenir Roman" w:hAnsi="Avenir Roman"/>
          <w:sz w:val="22"/>
          <w:szCs w:val="22"/>
        </w:rPr>
        <w:t xml:space="preserve">interdependence within community, </w:t>
      </w:r>
      <w:r w:rsidR="00716A06" w:rsidRPr="007957C5">
        <w:rPr>
          <w:rFonts w:ascii="Avenir Roman" w:hAnsi="Avenir Roman"/>
          <w:sz w:val="22"/>
          <w:szCs w:val="22"/>
        </w:rPr>
        <w:t>autonomy</w:t>
      </w:r>
      <w:r w:rsidR="00A72C4B" w:rsidRPr="007957C5">
        <w:rPr>
          <w:rFonts w:ascii="Avenir Roman" w:hAnsi="Avenir Roman"/>
          <w:sz w:val="22"/>
          <w:szCs w:val="22"/>
        </w:rPr>
        <w:t xml:space="preserve"> and </w:t>
      </w:r>
      <w:r w:rsidR="00716A06" w:rsidRPr="007957C5">
        <w:rPr>
          <w:rFonts w:ascii="Avenir Roman" w:hAnsi="Avenir Roman"/>
          <w:sz w:val="22"/>
          <w:szCs w:val="22"/>
        </w:rPr>
        <w:t>freedom</w:t>
      </w:r>
      <w:r w:rsidR="00A72C4B" w:rsidRPr="007957C5">
        <w:rPr>
          <w:rFonts w:ascii="Avenir Roman" w:hAnsi="Avenir Roman"/>
          <w:sz w:val="22"/>
          <w:szCs w:val="22"/>
        </w:rPr>
        <w:t>.</w:t>
      </w:r>
      <w:r w:rsidR="0085254E" w:rsidRPr="007957C5">
        <w:rPr>
          <w:rFonts w:ascii="Avenir Roman" w:hAnsi="Avenir Roman"/>
          <w:sz w:val="22"/>
          <w:szCs w:val="22"/>
        </w:rPr>
        <w:t xml:space="preserve"> Article 19 is the basis </w:t>
      </w:r>
      <w:r w:rsidR="00716A06" w:rsidRPr="007957C5">
        <w:rPr>
          <w:rFonts w:ascii="Avenir Roman" w:hAnsi="Avenir Roman"/>
          <w:sz w:val="22"/>
          <w:szCs w:val="22"/>
        </w:rPr>
        <w:t>for the full implementation of the CRPD.</w:t>
      </w:r>
      <w:r w:rsidR="00F105EB" w:rsidRPr="007957C5">
        <w:rPr>
          <w:rFonts w:ascii="Avenir Roman" w:hAnsi="Avenir Roman"/>
          <w:sz w:val="22"/>
          <w:szCs w:val="22"/>
        </w:rPr>
        <w:t xml:space="preserve"> </w:t>
      </w:r>
    </w:p>
    <w:p w14:paraId="43DF15C8" w14:textId="512070E5" w:rsidR="00DA60BF" w:rsidRPr="007957C5" w:rsidRDefault="00F70B41" w:rsidP="00564172">
      <w:pPr>
        <w:pStyle w:val="ListParagraph"/>
        <w:numPr>
          <w:ilvl w:val="2"/>
          <w:numId w:val="22"/>
        </w:numPr>
        <w:spacing w:after="120" w:line="240" w:lineRule="auto"/>
        <w:ind w:left="1134"/>
        <w:contextualSpacing w:val="0"/>
        <w:jc w:val="left"/>
        <w:rPr>
          <w:rFonts w:ascii="Avenir Roman" w:hAnsi="Avenir Roman"/>
          <w:sz w:val="22"/>
          <w:szCs w:val="22"/>
        </w:rPr>
      </w:pPr>
      <w:r w:rsidRPr="007957C5">
        <w:rPr>
          <w:rFonts w:ascii="Avenir Roman" w:hAnsi="Avenir Roman"/>
          <w:sz w:val="22"/>
          <w:szCs w:val="22"/>
        </w:rPr>
        <w:lastRenderedPageBreak/>
        <w:t xml:space="preserve">Examination of the living arrangements of people with disability within the context of article 19 will require broad </w:t>
      </w:r>
      <w:r w:rsidR="00036515" w:rsidRPr="007957C5">
        <w:rPr>
          <w:rFonts w:ascii="Avenir Roman" w:hAnsi="Avenir Roman"/>
          <w:sz w:val="22"/>
          <w:szCs w:val="22"/>
        </w:rPr>
        <w:t xml:space="preserve">examination and </w:t>
      </w:r>
      <w:r w:rsidRPr="007957C5">
        <w:rPr>
          <w:rFonts w:ascii="Avenir Roman" w:hAnsi="Avenir Roman"/>
          <w:sz w:val="22"/>
          <w:szCs w:val="22"/>
        </w:rPr>
        <w:t>analysi</w:t>
      </w:r>
      <w:r w:rsidR="00C319E3" w:rsidRPr="007957C5">
        <w:rPr>
          <w:rFonts w:ascii="Avenir Roman" w:hAnsi="Avenir Roman"/>
          <w:sz w:val="22"/>
          <w:szCs w:val="22"/>
        </w:rPr>
        <w:t>s</w:t>
      </w:r>
      <w:r w:rsidR="00716A06" w:rsidRPr="007957C5">
        <w:rPr>
          <w:rFonts w:ascii="Avenir Roman" w:hAnsi="Avenir Roman"/>
          <w:sz w:val="22"/>
          <w:szCs w:val="22"/>
        </w:rPr>
        <w:t xml:space="preserve"> by the Royal Commission</w:t>
      </w:r>
      <w:r w:rsidR="00C319E3" w:rsidRPr="007957C5">
        <w:rPr>
          <w:rFonts w:ascii="Avenir Roman" w:hAnsi="Avenir Roman"/>
          <w:sz w:val="22"/>
          <w:szCs w:val="22"/>
        </w:rPr>
        <w:t xml:space="preserve">, </w:t>
      </w:r>
      <w:r w:rsidR="00623D05" w:rsidRPr="007957C5">
        <w:rPr>
          <w:rFonts w:ascii="Avenir Roman" w:hAnsi="Avenir Roman"/>
          <w:sz w:val="22"/>
          <w:szCs w:val="22"/>
        </w:rPr>
        <w:t>guided by questions such</w:t>
      </w:r>
      <w:r w:rsidR="00C319E3" w:rsidRPr="007957C5">
        <w:rPr>
          <w:rFonts w:ascii="Avenir Roman" w:hAnsi="Avenir Roman"/>
          <w:sz w:val="22"/>
          <w:szCs w:val="22"/>
        </w:rPr>
        <w:t xml:space="preserve"> as:</w:t>
      </w:r>
      <w:r w:rsidRPr="007957C5">
        <w:rPr>
          <w:rFonts w:ascii="Avenir Roman" w:hAnsi="Avenir Roman"/>
          <w:sz w:val="22"/>
          <w:szCs w:val="22"/>
        </w:rPr>
        <w:t xml:space="preserve"> </w:t>
      </w:r>
    </w:p>
    <w:p w14:paraId="083AD08E" w14:textId="2F7DE596" w:rsidR="00301CFF" w:rsidRPr="007957C5" w:rsidRDefault="00F70B41" w:rsidP="00564172">
      <w:pPr>
        <w:pStyle w:val="ListParagraph"/>
        <w:numPr>
          <w:ilvl w:val="0"/>
          <w:numId w:val="18"/>
        </w:numPr>
        <w:spacing w:after="120" w:line="240" w:lineRule="auto"/>
        <w:ind w:left="1418" w:hanging="284"/>
        <w:contextualSpacing w:val="0"/>
        <w:jc w:val="left"/>
        <w:rPr>
          <w:rFonts w:ascii="Avenir Roman" w:hAnsi="Avenir Roman"/>
          <w:sz w:val="22"/>
          <w:szCs w:val="22"/>
        </w:rPr>
      </w:pPr>
      <w:r w:rsidRPr="007957C5">
        <w:rPr>
          <w:rFonts w:ascii="Avenir Roman" w:hAnsi="Avenir Roman"/>
          <w:sz w:val="22"/>
          <w:szCs w:val="22"/>
        </w:rPr>
        <w:t>Are people with disability genuinely able to choose th</w:t>
      </w:r>
      <w:r w:rsidR="00EA2ECE" w:rsidRPr="007957C5">
        <w:rPr>
          <w:rFonts w:ascii="Avenir Roman" w:hAnsi="Avenir Roman"/>
          <w:sz w:val="22"/>
          <w:szCs w:val="22"/>
        </w:rPr>
        <w:t>e</w:t>
      </w:r>
      <w:r w:rsidR="00123D0A" w:rsidRPr="007957C5">
        <w:rPr>
          <w:rFonts w:ascii="Avenir Roman" w:hAnsi="Avenir Roman"/>
          <w:sz w:val="22"/>
          <w:szCs w:val="22"/>
        </w:rPr>
        <w:t>ir</w:t>
      </w:r>
      <w:r w:rsidRPr="007957C5">
        <w:rPr>
          <w:rFonts w:ascii="Avenir Roman" w:hAnsi="Avenir Roman"/>
          <w:sz w:val="22"/>
          <w:szCs w:val="22"/>
        </w:rPr>
        <w:t xml:space="preserve"> living arrangement</w:t>
      </w:r>
      <w:r w:rsidR="00123D0A" w:rsidRPr="007957C5">
        <w:rPr>
          <w:rFonts w:ascii="Avenir Roman" w:hAnsi="Avenir Roman"/>
          <w:sz w:val="22"/>
          <w:szCs w:val="22"/>
        </w:rPr>
        <w:t xml:space="preserve">s, </w:t>
      </w:r>
      <w:r w:rsidRPr="007957C5">
        <w:rPr>
          <w:rFonts w:ascii="Avenir Roman" w:hAnsi="Avenir Roman"/>
          <w:sz w:val="22"/>
          <w:szCs w:val="22"/>
        </w:rPr>
        <w:t xml:space="preserve">the people they live with, and the supports that are provided? </w:t>
      </w:r>
    </w:p>
    <w:p w14:paraId="124A234A" w14:textId="6255E796" w:rsidR="00301CFF" w:rsidRPr="007957C5" w:rsidRDefault="008F1102" w:rsidP="00564172">
      <w:pPr>
        <w:pStyle w:val="ListParagraph"/>
        <w:numPr>
          <w:ilvl w:val="0"/>
          <w:numId w:val="18"/>
        </w:numPr>
        <w:spacing w:after="120" w:line="240" w:lineRule="auto"/>
        <w:ind w:left="1418" w:hanging="284"/>
        <w:contextualSpacing w:val="0"/>
        <w:jc w:val="left"/>
        <w:rPr>
          <w:rFonts w:ascii="Avenir Roman" w:hAnsi="Avenir Roman"/>
          <w:sz w:val="22"/>
          <w:szCs w:val="22"/>
        </w:rPr>
      </w:pPr>
      <w:r w:rsidRPr="007957C5">
        <w:rPr>
          <w:rFonts w:ascii="Avenir Roman" w:hAnsi="Avenir Roman"/>
          <w:sz w:val="22"/>
          <w:szCs w:val="22"/>
        </w:rPr>
        <w:t xml:space="preserve">How are people with disability supported to make </w:t>
      </w:r>
      <w:r w:rsidR="00123D0A" w:rsidRPr="007957C5">
        <w:rPr>
          <w:rFonts w:ascii="Avenir Roman" w:hAnsi="Avenir Roman"/>
          <w:sz w:val="22"/>
          <w:szCs w:val="22"/>
        </w:rPr>
        <w:t xml:space="preserve">their own </w:t>
      </w:r>
      <w:r w:rsidRPr="007957C5">
        <w:rPr>
          <w:rFonts w:ascii="Avenir Roman" w:hAnsi="Avenir Roman"/>
          <w:sz w:val="22"/>
          <w:szCs w:val="22"/>
        </w:rPr>
        <w:t xml:space="preserve">choices about where they live and who they live with? </w:t>
      </w:r>
    </w:p>
    <w:p w14:paraId="335C6ED7" w14:textId="4AC55CD2" w:rsidR="00301CFF" w:rsidRPr="007957C5" w:rsidRDefault="008F1102" w:rsidP="00564172">
      <w:pPr>
        <w:pStyle w:val="ListParagraph"/>
        <w:numPr>
          <w:ilvl w:val="0"/>
          <w:numId w:val="18"/>
        </w:numPr>
        <w:spacing w:after="120" w:line="240" w:lineRule="auto"/>
        <w:ind w:left="1418" w:hanging="284"/>
        <w:contextualSpacing w:val="0"/>
        <w:jc w:val="left"/>
        <w:rPr>
          <w:rFonts w:ascii="Avenir Roman" w:hAnsi="Avenir Roman"/>
          <w:sz w:val="22"/>
          <w:szCs w:val="22"/>
        </w:rPr>
      </w:pPr>
      <w:r w:rsidRPr="007957C5">
        <w:rPr>
          <w:rFonts w:ascii="Avenir Roman" w:hAnsi="Avenir Roman"/>
          <w:sz w:val="22"/>
          <w:szCs w:val="22"/>
        </w:rPr>
        <w:t xml:space="preserve">Are there laws, policy and practice that oblige people with disability to live in particular living arrangements and </w:t>
      </w:r>
      <w:r w:rsidR="00561700" w:rsidRPr="007957C5">
        <w:rPr>
          <w:rFonts w:ascii="Avenir Roman" w:hAnsi="Avenir Roman"/>
          <w:sz w:val="22"/>
          <w:szCs w:val="22"/>
        </w:rPr>
        <w:t xml:space="preserve">to </w:t>
      </w:r>
      <w:r w:rsidRPr="007957C5">
        <w:rPr>
          <w:rFonts w:ascii="Avenir Roman" w:hAnsi="Avenir Roman"/>
          <w:sz w:val="22"/>
          <w:szCs w:val="22"/>
        </w:rPr>
        <w:t>share support workers with others?</w:t>
      </w:r>
      <w:r w:rsidR="00180118" w:rsidRPr="007957C5">
        <w:rPr>
          <w:rFonts w:ascii="Avenir Roman" w:hAnsi="Avenir Roman"/>
          <w:sz w:val="22"/>
          <w:szCs w:val="22"/>
        </w:rPr>
        <w:t xml:space="preserve"> </w:t>
      </w:r>
    </w:p>
    <w:p w14:paraId="4C439314" w14:textId="59C8B3ED" w:rsidR="00301CFF" w:rsidRPr="007957C5" w:rsidRDefault="00301CFF" w:rsidP="00564172">
      <w:pPr>
        <w:pStyle w:val="ListParagraph"/>
        <w:numPr>
          <w:ilvl w:val="0"/>
          <w:numId w:val="18"/>
        </w:numPr>
        <w:spacing w:after="120" w:line="240" w:lineRule="auto"/>
        <w:ind w:left="1418" w:hanging="284"/>
        <w:contextualSpacing w:val="0"/>
        <w:jc w:val="left"/>
        <w:rPr>
          <w:rFonts w:ascii="Avenir Roman" w:hAnsi="Avenir Roman"/>
          <w:sz w:val="22"/>
          <w:szCs w:val="22"/>
        </w:rPr>
      </w:pPr>
      <w:r w:rsidRPr="007957C5">
        <w:rPr>
          <w:rFonts w:ascii="Avenir Roman" w:hAnsi="Avenir Roman"/>
          <w:sz w:val="22"/>
          <w:szCs w:val="22"/>
        </w:rPr>
        <w:t xml:space="preserve">Does </w:t>
      </w:r>
      <w:r w:rsidR="00733F5A" w:rsidRPr="007957C5">
        <w:rPr>
          <w:rFonts w:ascii="Avenir Roman" w:hAnsi="Avenir Roman"/>
          <w:sz w:val="22"/>
          <w:szCs w:val="22"/>
        </w:rPr>
        <w:t xml:space="preserve">housing and support arrangements </w:t>
      </w:r>
      <w:r w:rsidR="00A065D1" w:rsidRPr="007957C5">
        <w:rPr>
          <w:rFonts w:ascii="Avenir Roman" w:hAnsi="Avenir Roman"/>
          <w:sz w:val="22"/>
          <w:szCs w:val="22"/>
        </w:rPr>
        <w:t xml:space="preserve">for people with disability </w:t>
      </w:r>
      <w:r w:rsidR="00716A06" w:rsidRPr="007957C5">
        <w:rPr>
          <w:rFonts w:ascii="Avenir Roman" w:hAnsi="Avenir Roman"/>
          <w:sz w:val="22"/>
          <w:szCs w:val="22"/>
        </w:rPr>
        <w:t>facilitate</w:t>
      </w:r>
      <w:r w:rsidR="00733F5A" w:rsidRPr="007957C5">
        <w:rPr>
          <w:rFonts w:ascii="Avenir Roman" w:hAnsi="Avenir Roman"/>
          <w:sz w:val="22"/>
          <w:szCs w:val="22"/>
        </w:rPr>
        <w:t xml:space="preserve"> autonomy, freedom of movement</w:t>
      </w:r>
      <w:r w:rsidR="00A065D1" w:rsidRPr="007957C5">
        <w:rPr>
          <w:rFonts w:ascii="Avenir Roman" w:hAnsi="Avenir Roman"/>
          <w:sz w:val="22"/>
          <w:szCs w:val="22"/>
        </w:rPr>
        <w:t>, personal development</w:t>
      </w:r>
      <w:r w:rsidR="00733F5A" w:rsidRPr="007957C5">
        <w:rPr>
          <w:rFonts w:ascii="Avenir Roman" w:hAnsi="Avenir Roman"/>
          <w:sz w:val="22"/>
          <w:szCs w:val="22"/>
        </w:rPr>
        <w:t xml:space="preserve"> and community inclusion?</w:t>
      </w:r>
      <w:r w:rsidR="001A1E85" w:rsidRPr="007957C5">
        <w:rPr>
          <w:rFonts w:ascii="Avenir Roman" w:hAnsi="Avenir Roman"/>
          <w:sz w:val="22"/>
          <w:szCs w:val="22"/>
        </w:rPr>
        <w:t xml:space="preserve"> </w:t>
      </w:r>
    </w:p>
    <w:p w14:paraId="79FBB813" w14:textId="77777777" w:rsidR="00716A06" w:rsidRPr="007957C5" w:rsidRDefault="00F70B41" w:rsidP="00564172">
      <w:pPr>
        <w:pStyle w:val="ListParagraph"/>
        <w:numPr>
          <w:ilvl w:val="0"/>
          <w:numId w:val="18"/>
        </w:numPr>
        <w:spacing w:after="120" w:line="240" w:lineRule="auto"/>
        <w:ind w:left="1418" w:hanging="284"/>
        <w:contextualSpacing w:val="0"/>
        <w:jc w:val="left"/>
        <w:rPr>
          <w:rFonts w:ascii="Avenir Roman" w:hAnsi="Avenir Roman"/>
          <w:sz w:val="22"/>
          <w:szCs w:val="22"/>
        </w:rPr>
      </w:pPr>
      <w:r w:rsidRPr="007957C5">
        <w:rPr>
          <w:rFonts w:ascii="Avenir Roman" w:hAnsi="Avenir Roman"/>
          <w:sz w:val="22"/>
          <w:szCs w:val="22"/>
        </w:rPr>
        <w:t xml:space="preserve">Do people with disability </w:t>
      </w:r>
      <w:r w:rsidR="00C319E3" w:rsidRPr="007957C5">
        <w:rPr>
          <w:rFonts w:ascii="Avenir Roman" w:hAnsi="Avenir Roman"/>
          <w:sz w:val="22"/>
          <w:szCs w:val="22"/>
        </w:rPr>
        <w:t xml:space="preserve">choose and </w:t>
      </w:r>
      <w:r w:rsidRPr="007957C5">
        <w:rPr>
          <w:rFonts w:ascii="Avenir Roman" w:hAnsi="Avenir Roman"/>
          <w:sz w:val="22"/>
          <w:szCs w:val="22"/>
        </w:rPr>
        <w:t xml:space="preserve">personally direct their support workers and services? </w:t>
      </w:r>
    </w:p>
    <w:p w14:paraId="150E9CD2" w14:textId="465E5E43" w:rsidR="00301CFF" w:rsidRPr="007957C5" w:rsidRDefault="00F70B41" w:rsidP="00564172">
      <w:pPr>
        <w:pStyle w:val="ListParagraph"/>
        <w:numPr>
          <w:ilvl w:val="0"/>
          <w:numId w:val="18"/>
        </w:numPr>
        <w:spacing w:after="120" w:line="240" w:lineRule="auto"/>
        <w:ind w:left="1418" w:hanging="284"/>
        <w:contextualSpacing w:val="0"/>
        <w:jc w:val="left"/>
        <w:rPr>
          <w:rFonts w:ascii="Avenir Roman" w:hAnsi="Avenir Roman"/>
          <w:sz w:val="22"/>
          <w:szCs w:val="22"/>
        </w:rPr>
      </w:pPr>
      <w:r w:rsidRPr="007957C5">
        <w:rPr>
          <w:rFonts w:ascii="Avenir Roman" w:hAnsi="Avenir Roman"/>
          <w:sz w:val="22"/>
          <w:szCs w:val="22"/>
        </w:rPr>
        <w:t xml:space="preserve">What </w:t>
      </w:r>
      <w:r w:rsidR="00A065D1" w:rsidRPr="007957C5">
        <w:rPr>
          <w:rFonts w:ascii="Avenir Roman" w:hAnsi="Avenir Roman"/>
          <w:sz w:val="22"/>
          <w:szCs w:val="22"/>
        </w:rPr>
        <w:t xml:space="preserve">specialised and mainstream </w:t>
      </w:r>
      <w:r w:rsidRPr="007957C5">
        <w:rPr>
          <w:rFonts w:ascii="Avenir Roman" w:hAnsi="Avenir Roman"/>
          <w:sz w:val="22"/>
          <w:szCs w:val="22"/>
        </w:rPr>
        <w:t xml:space="preserve">measures or programs facilitate personal development, supported decision-making, leadership skills and community engagement? </w:t>
      </w:r>
    </w:p>
    <w:p w14:paraId="03B6DB4C" w14:textId="77777777" w:rsidR="00716A06" w:rsidRPr="007957C5" w:rsidRDefault="00F70B41" w:rsidP="00564172">
      <w:pPr>
        <w:pStyle w:val="ListParagraph"/>
        <w:numPr>
          <w:ilvl w:val="0"/>
          <w:numId w:val="18"/>
        </w:numPr>
        <w:spacing w:after="120" w:line="240" w:lineRule="auto"/>
        <w:ind w:left="1418" w:hanging="284"/>
        <w:contextualSpacing w:val="0"/>
        <w:jc w:val="left"/>
        <w:rPr>
          <w:rFonts w:ascii="Avenir Roman" w:hAnsi="Avenir Roman"/>
          <w:sz w:val="22"/>
          <w:szCs w:val="22"/>
        </w:rPr>
      </w:pPr>
      <w:r w:rsidRPr="007957C5">
        <w:rPr>
          <w:rFonts w:ascii="Avenir Roman" w:hAnsi="Avenir Roman"/>
          <w:sz w:val="22"/>
          <w:szCs w:val="22"/>
        </w:rPr>
        <w:t xml:space="preserve">What disability and mainstream supports exist to ensure accessibility and inclusion in the community, including in relation to independent living skills, </w:t>
      </w:r>
      <w:r w:rsidR="00716A06" w:rsidRPr="007957C5">
        <w:rPr>
          <w:rFonts w:ascii="Avenir Roman" w:hAnsi="Avenir Roman"/>
          <w:sz w:val="22"/>
          <w:szCs w:val="22"/>
        </w:rPr>
        <w:t>information, c</w:t>
      </w:r>
      <w:r w:rsidRPr="007957C5">
        <w:rPr>
          <w:rFonts w:ascii="Avenir Roman" w:hAnsi="Avenir Roman"/>
          <w:sz w:val="22"/>
          <w:szCs w:val="22"/>
        </w:rPr>
        <w:t>ommunications, accessible public transport, inclusive education, employment?</w:t>
      </w:r>
    </w:p>
    <w:p w14:paraId="3EFFC315" w14:textId="0435D9F3" w:rsidR="00301CFF" w:rsidRPr="007957C5" w:rsidRDefault="00A065D1" w:rsidP="00564172">
      <w:pPr>
        <w:pStyle w:val="ListParagraph"/>
        <w:numPr>
          <w:ilvl w:val="0"/>
          <w:numId w:val="18"/>
        </w:numPr>
        <w:spacing w:after="120" w:line="240" w:lineRule="auto"/>
        <w:ind w:left="1418" w:hanging="284"/>
        <w:contextualSpacing w:val="0"/>
        <w:jc w:val="left"/>
        <w:rPr>
          <w:rFonts w:ascii="Avenir Roman" w:hAnsi="Avenir Roman"/>
          <w:sz w:val="22"/>
          <w:szCs w:val="22"/>
        </w:rPr>
      </w:pPr>
      <w:r w:rsidRPr="007957C5">
        <w:rPr>
          <w:rFonts w:ascii="Avenir Roman" w:hAnsi="Avenir Roman"/>
          <w:sz w:val="22"/>
          <w:szCs w:val="22"/>
        </w:rPr>
        <w:t>Are</w:t>
      </w:r>
      <w:r w:rsidR="00716A06" w:rsidRPr="007957C5">
        <w:rPr>
          <w:rFonts w:ascii="Avenir Roman" w:hAnsi="Avenir Roman"/>
          <w:sz w:val="22"/>
          <w:szCs w:val="22"/>
        </w:rPr>
        <w:t xml:space="preserve"> </w:t>
      </w:r>
      <w:r w:rsidRPr="007957C5">
        <w:rPr>
          <w:rFonts w:ascii="Avenir Roman" w:hAnsi="Avenir Roman"/>
          <w:sz w:val="22"/>
          <w:szCs w:val="22"/>
        </w:rPr>
        <w:t xml:space="preserve">there research programs focused on </w:t>
      </w:r>
      <w:r w:rsidR="00716A06" w:rsidRPr="007957C5">
        <w:rPr>
          <w:rFonts w:ascii="Avenir Roman" w:hAnsi="Avenir Roman"/>
          <w:sz w:val="22"/>
          <w:szCs w:val="22"/>
        </w:rPr>
        <w:t>universal design</w:t>
      </w:r>
      <w:r w:rsidRPr="007957C5">
        <w:rPr>
          <w:rFonts w:ascii="Avenir Roman" w:hAnsi="Avenir Roman"/>
          <w:sz w:val="22"/>
          <w:szCs w:val="22"/>
        </w:rPr>
        <w:t xml:space="preserve">, and are universal design </w:t>
      </w:r>
      <w:r w:rsidR="00716A06" w:rsidRPr="007957C5">
        <w:rPr>
          <w:rFonts w:ascii="Avenir Roman" w:hAnsi="Avenir Roman"/>
          <w:sz w:val="22"/>
          <w:szCs w:val="22"/>
        </w:rPr>
        <w:t>standards</w:t>
      </w:r>
      <w:r w:rsidRPr="007957C5">
        <w:rPr>
          <w:rFonts w:ascii="Avenir Roman" w:hAnsi="Avenir Roman"/>
          <w:sz w:val="22"/>
          <w:szCs w:val="22"/>
        </w:rPr>
        <w:t>,</w:t>
      </w:r>
      <w:r w:rsidR="00716A06" w:rsidRPr="007957C5">
        <w:rPr>
          <w:rFonts w:ascii="Avenir Roman" w:hAnsi="Avenir Roman"/>
          <w:sz w:val="22"/>
          <w:szCs w:val="22"/>
        </w:rPr>
        <w:t xml:space="preserve"> </w:t>
      </w:r>
      <w:r w:rsidRPr="007957C5">
        <w:rPr>
          <w:rFonts w:ascii="Avenir Roman" w:hAnsi="Avenir Roman"/>
          <w:sz w:val="22"/>
          <w:szCs w:val="22"/>
        </w:rPr>
        <w:t xml:space="preserve">including universal housing design standards </w:t>
      </w:r>
      <w:r w:rsidR="00716A06" w:rsidRPr="007957C5">
        <w:rPr>
          <w:rFonts w:ascii="Avenir Roman" w:hAnsi="Avenir Roman"/>
          <w:sz w:val="22"/>
          <w:szCs w:val="22"/>
        </w:rPr>
        <w:t xml:space="preserve">integrated into </w:t>
      </w:r>
      <w:r w:rsidR="006C7F6C" w:rsidRPr="007957C5">
        <w:rPr>
          <w:rFonts w:ascii="Avenir Roman" w:hAnsi="Avenir Roman"/>
          <w:sz w:val="22"/>
          <w:szCs w:val="22"/>
        </w:rPr>
        <w:t xml:space="preserve">construction </w:t>
      </w:r>
      <w:r w:rsidR="00716A06" w:rsidRPr="007957C5">
        <w:rPr>
          <w:rFonts w:ascii="Avenir Roman" w:hAnsi="Avenir Roman"/>
          <w:sz w:val="22"/>
          <w:szCs w:val="22"/>
        </w:rPr>
        <w:t>regulations?</w:t>
      </w:r>
      <w:r w:rsidR="00F70B41" w:rsidRPr="007957C5">
        <w:rPr>
          <w:rFonts w:ascii="Avenir Roman" w:hAnsi="Avenir Roman"/>
          <w:sz w:val="22"/>
          <w:szCs w:val="22"/>
        </w:rPr>
        <w:t xml:space="preserve"> </w:t>
      </w:r>
    </w:p>
    <w:p w14:paraId="14C39FF6" w14:textId="45035D7A" w:rsidR="00301CFF" w:rsidRPr="007957C5" w:rsidRDefault="00C319E3" w:rsidP="00564172">
      <w:pPr>
        <w:pStyle w:val="ListParagraph"/>
        <w:numPr>
          <w:ilvl w:val="0"/>
          <w:numId w:val="18"/>
        </w:numPr>
        <w:spacing w:after="120" w:line="240" w:lineRule="auto"/>
        <w:ind w:left="1418" w:hanging="284"/>
        <w:contextualSpacing w:val="0"/>
        <w:jc w:val="left"/>
        <w:rPr>
          <w:rFonts w:ascii="Avenir Roman" w:hAnsi="Avenir Roman"/>
          <w:sz w:val="22"/>
          <w:szCs w:val="22"/>
        </w:rPr>
      </w:pPr>
      <w:r w:rsidRPr="007957C5">
        <w:rPr>
          <w:rFonts w:ascii="Avenir Roman" w:hAnsi="Avenir Roman"/>
          <w:sz w:val="22"/>
          <w:szCs w:val="22"/>
        </w:rPr>
        <w:t xml:space="preserve">Why </w:t>
      </w:r>
      <w:r w:rsidR="00180118" w:rsidRPr="007957C5">
        <w:rPr>
          <w:rFonts w:ascii="Avenir Roman" w:hAnsi="Avenir Roman"/>
          <w:sz w:val="22"/>
          <w:szCs w:val="22"/>
        </w:rPr>
        <w:t xml:space="preserve">and how </w:t>
      </w:r>
      <w:r w:rsidRPr="007957C5">
        <w:rPr>
          <w:rFonts w:ascii="Avenir Roman" w:hAnsi="Avenir Roman"/>
          <w:sz w:val="22"/>
          <w:szCs w:val="22"/>
        </w:rPr>
        <w:t>do governments continue to support and fund living arrangements that oblige people to live together in particular models</w:t>
      </w:r>
      <w:r w:rsidR="00180118" w:rsidRPr="007957C5">
        <w:rPr>
          <w:rFonts w:ascii="Avenir Roman" w:hAnsi="Avenir Roman"/>
          <w:sz w:val="22"/>
          <w:szCs w:val="22"/>
        </w:rPr>
        <w:t>, including group homes</w:t>
      </w:r>
      <w:r w:rsidRPr="007957C5">
        <w:rPr>
          <w:rFonts w:ascii="Avenir Roman" w:hAnsi="Avenir Roman"/>
          <w:sz w:val="22"/>
          <w:szCs w:val="22"/>
        </w:rPr>
        <w:t xml:space="preserve"> in order to receive essential support?</w:t>
      </w:r>
      <w:r w:rsidR="00EA2ECE" w:rsidRPr="007957C5">
        <w:rPr>
          <w:rFonts w:ascii="Avenir Roman" w:hAnsi="Avenir Roman"/>
          <w:sz w:val="22"/>
          <w:szCs w:val="22"/>
        </w:rPr>
        <w:t xml:space="preserve"> </w:t>
      </w:r>
    </w:p>
    <w:p w14:paraId="195733BE" w14:textId="61A59D64" w:rsidR="00DA60BF" w:rsidRPr="007957C5" w:rsidRDefault="00180118" w:rsidP="00564172">
      <w:pPr>
        <w:pStyle w:val="ListParagraph"/>
        <w:numPr>
          <w:ilvl w:val="0"/>
          <w:numId w:val="18"/>
        </w:numPr>
        <w:spacing w:after="0" w:line="240" w:lineRule="auto"/>
        <w:ind w:left="1418" w:hanging="284"/>
        <w:contextualSpacing w:val="0"/>
        <w:jc w:val="left"/>
        <w:rPr>
          <w:rFonts w:ascii="Avenir Roman" w:hAnsi="Avenir Roman"/>
          <w:sz w:val="22"/>
          <w:szCs w:val="22"/>
        </w:rPr>
      </w:pPr>
      <w:r w:rsidRPr="007957C5">
        <w:rPr>
          <w:rFonts w:ascii="Avenir Roman" w:hAnsi="Avenir Roman"/>
          <w:sz w:val="22"/>
          <w:szCs w:val="22"/>
        </w:rPr>
        <w:t>Why is housing that is available to other members of the community not accessible and available to people with disability?</w:t>
      </w:r>
    </w:p>
    <w:p w14:paraId="2993E397" w14:textId="73B60C8E" w:rsidR="00047DA9" w:rsidRPr="007957C5" w:rsidRDefault="00047DA9" w:rsidP="00E50CD5">
      <w:pPr>
        <w:spacing w:after="0" w:line="240" w:lineRule="auto"/>
        <w:jc w:val="left"/>
        <w:rPr>
          <w:rFonts w:ascii="Avenir Roman" w:hAnsi="Avenir Roman"/>
          <w:sz w:val="22"/>
          <w:szCs w:val="22"/>
        </w:rPr>
      </w:pPr>
    </w:p>
    <w:p w14:paraId="54922651" w14:textId="26BB78EC" w:rsidR="004F3521" w:rsidRPr="007957C5" w:rsidRDefault="00642ECB" w:rsidP="00564172">
      <w:pPr>
        <w:pStyle w:val="ListParagraph"/>
        <w:numPr>
          <w:ilvl w:val="2"/>
          <w:numId w:val="22"/>
        </w:numPr>
        <w:spacing w:after="0" w:line="240" w:lineRule="auto"/>
        <w:ind w:left="1134" w:hanging="708"/>
        <w:contextualSpacing w:val="0"/>
        <w:jc w:val="left"/>
        <w:rPr>
          <w:rFonts w:ascii="Avenir Roman" w:hAnsi="Avenir Roman"/>
          <w:sz w:val="22"/>
          <w:szCs w:val="22"/>
        </w:rPr>
      </w:pPr>
      <w:r w:rsidRPr="007957C5">
        <w:rPr>
          <w:rFonts w:ascii="Avenir Roman" w:hAnsi="Avenir Roman"/>
          <w:sz w:val="22"/>
          <w:szCs w:val="22"/>
        </w:rPr>
        <w:t>T</w:t>
      </w:r>
      <w:r w:rsidR="0018209D" w:rsidRPr="007957C5">
        <w:rPr>
          <w:rFonts w:ascii="Avenir Roman" w:hAnsi="Avenir Roman"/>
          <w:sz w:val="22"/>
          <w:szCs w:val="22"/>
        </w:rPr>
        <w:t xml:space="preserve">he Issues Paper and some of the discussion during the Public Hearing </w:t>
      </w:r>
      <w:r w:rsidRPr="007957C5">
        <w:rPr>
          <w:rFonts w:ascii="Avenir Roman" w:hAnsi="Avenir Roman"/>
          <w:sz w:val="22"/>
          <w:szCs w:val="22"/>
        </w:rPr>
        <w:t xml:space="preserve">implies </w:t>
      </w:r>
      <w:r w:rsidR="0018209D" w:rsidRPr="007957C5">
        <w:rPr>
          <w:rFonts w:ascii="Avenir Roman" w:hAnsi="Avenir Roman"/>
          <w:sz w:val="22"/>
          <w:szCs w:val="22"/>
        </w:rPr>
        <w:t xml:space="preserve">that good practice </w:t>
      </w:r>
      <w:r w:rsidRPr="007957C5">
        <w:rPr>
          <w:rFonts w:ascii="Avenir Roman" w:hAnsi="Avenir Roman"/>
          <w:sz w:val="22"/>
          <w:szCs w:val="22"/>
        </w:rPr>
        <w:t xml:space="preserve">within group homes could potentially </w:t>
      </w:r>
      <w:r w:rsidR="0018209D" w:rsidRPr="007957C5">
        <w:rPr>
          <w:rFonts w:ascii="Avenir Roman" w:hAnsi="Avenir Roman"/>
          <w:sz w:val="22"/>
          <w:szCs w:val="22"/>
        </w:rPr>
        <w:t>reform the group home model by</w:t>
      </w:r>
      <w:r w:rsidR="009C22AE" w:rsidRPr="007957C5">
        <w:rPr>
          <w:rFonts w:ascii="Avenir Roman" w:hAnsi="Avenir Roman"/>
          <w:sz w:val="22"/>
          <w:szCs w:val="22"/>
        </w:rPr>
        <w:t>,</w:t>
      </w:r>
      <w:r w:rsidR="0018209D" w:rsidRPr="007957C5">
        <w:rPr>
          <w:rFonts w:ascii="Avenir Roman" w:hAnsi="Avenir Roman"/>
          <w:sz w:val="22"/>
          <w:szCs w:val="22"/>
        </w:rPr>
        <w:t xml:space="preserve"> for example, changing protocols and practices, </w:t>
      </w:r>
      <w:r w:rsidR="008F7F5D" w:rsidRPr="007957C5">
        <w:rPr>
          <w:rFonts w:ascii="Avenir Roman" w:hAnsi="Avenir Roman"/>
          <w:sz w:val="22"/>
          <w:szCs w:val="22"/>
        </w:rPr>
        <w:t xml:space="preserve">providing </w:t>
      </w:r>
      <w:r w:rsidR="006C7F6C" w:rsidRPr="007957C5">
        <w:rPr>
          <w:rFonts w:ascii="Avenir Roman" w:hAnsi="Avenir Roman"/>
          <w:sz w:val="22"/>
          <w:szCs w:val="22"/>
        </w:rPr>
        <w:t xml:space="preserve">additional staff </w:t>
      </w:r>
      <w:r w:rsidR="0018209D" w:rsidRPr="007957C5">
        <w:rPr>
          <w:rFonts w:ascii="Avenir Roman" w:hAnsi="Avenir Roman"/>
          <w:sz w:val="22"/>
          <w:szCs w:val="22"/>
        </w:rPr>
        <w:t xml:space="preserve">training and enhancing support to increase choices for residents. </w:t>
      </w:r>
      <w:r w:rsidR="008F7F5D" w:rsidRPr="007957C5">
        <w:rPr>
          <w:rFonts w:ascii="Avenir Roman" w:hAnsi="Avenir Roman"/>
          <w:sz w:val="22"/>
          <w:szCs w:val="22"/>
        </w:rPr>
        <w:t xml:space="preserve">While there are examples of better group homes that provide greater independence, autonomy and social inclusion, </w:t>
      </w:r>
      <w:r w:rsidR="009C25A6" w:rsidRPr="007957C5">
        <w:rPr>
          <w:rFonts w:ascii="Avenir Roman" w:hAnsi="Avenir Roman"/>
          <w:sz w:val="22"/>
          <w:szCs w:val="22"/>
        </w:rPr>
        <w:t>th</w:t>
      </w:r>
      <w:r w:rsidR="004F3521" w:rsidRPr="007957C5">
        <w:rPr>
          <w:rFonts w:ascii="Avenir Roman" w:hAnsi="Avenir Roman"/>
          <w:sz w:val="22"/>
          <w:szCs w:val="22"/>
        </w:rPr>
        <w:t>e</w:t>
      </w:r>
      <w:r w:rsidR="009C25A6" w:rsidRPr="007957C5">
        <w:rPr>
          <w:rFonts w:ascii="Avenir Roman" w:hAnsi="Avenir Roman"/>
          <w:sz w:val="22"/>
          <w:szCs w:val="22"/>
        </w:rPr>
        <w:t xml:space="preserve"> supported accommodation model has inherent limitations that prevent it from fulfilling the right to live independently and be included in the community.</w:t>
      </w:r>
      <w:r w:rsidR="004F3521" w:rsidRPr="007957C5">
        <w:rPr>
          <w:rFonts w:ascii="Avenir Roman" w:hAnsi="Avenir Roman"/>
          <w:sz w:val="22"/>
          <w:szCs w:val="22"/>
        </w:rPr>
        <w:t xml:space="preserve"> Better group homes still contain the defining elements of institutionalisation that are inconsistent with </w:t>
      </w:r>
      <w:r w:rsidR="008D1499" w:rsidRPr="007957C5">
        <w:rPr>
          <w:rFonts w:ascii="Avenir Roman" w:hAnsi="Avenir Roman"/>
          <w:sz w:val="22"/>
          <w:szCs w:val="22"/>
        </w:rPr>
        <w:t>personal</w:t>
      </w:r>
      <w:r w:rsidR="004F3521" w:rsidRPr="007957C5">
        <w:rPr>
          <w:rFonts w:ascii="Avenir Roman" w:hAnsi="Avenir Roman"/>
          <w:sz w:val="22"/>
          <w:szCs w:val="22"/>
        </w:rPr>
        <w:t xml:space="preserve"> development, </w:t>
      </w:r>
      <w:r w:rsidR="00A26192" w:rsidRPr="007957C5">
        <w:rPr>
          <w:rFonts w:ascii="Avenir Roman" w:hAnsi="Avenir Roman"/>
          <w:sz w:val="22"/>
          <w:szCs w:val="22"/>
        </w:rPr>
        <w:t xml:space="preserve">freedom of movement, autonomy, </w:t>
      </w:r>
      <w:r w:rsidR="004F3521" w:rsidRPr="007957C5">
        <w:rPr>
          <w:rFonts w:ascii="Avenir Roman" w:hAnsi="Avenir Roman"/>
          <w:sz w:val="22"/>
          <w:szCs w:val="22"/>
        </w:rPr>
        <w:t xml:space="preserve">and </w:t>
      </w:r>
      <w:r w:rsidR="00A26192" w:rsidRPr="007957C5">
        <w:rPr>
          <w:rFonts w:ascii="Avenir Roman" w:hAnsi="Avenir Roman"/>
          <w:sz w:val="22"/>
          <w:szCs w:val="22"/>
        </w:rPr>
        <w:t>liberty and security of the person</w:t>
      </w:r>
      <w:r w:rsidR="004F3521" w:rsidRPr="007957C5">
        <w:rPr>
          <w:rFonts w:ascii="Avenir Roman" w:hAnsi="Avenir Roman"/>
          <w:sz w:val="22"/>
          <w:szCs w:val="22"/>
        </w:rPr>
        <w:t>.</w:t>
      </w:r>
      <w:r w:rsidR="00222352" w:rsidRPr="007957C5">
        <w:rPr>
          <w:rFonts w:ascii="Avenir Roman" w:hAnsi="Avenir Roman"/>
          <w:sz w:val="22"/>
          <w:szCs w:val="22"/>
        </w:rPr>
        <w:t xml:space="preserve"> </w:t>
      </w:r>
    </w:p>
    <w:p w14:paraId="52721FC0" w14:textId="77777777" w:rsidR="004F3521" w:rsidRPr="007957C5" w:rsidRDefault="004F3521" w:rsidP="00E50CD5">
      <w:pPr>
        <w:spacing w:after="0" w:line="240" w:lineRule="auto"/>
        <w:ind w:left="426"/>
        <w:jc w:val="left"/>
        <w:rPr>
          <w:rFonts w:ascii="Avenir Roman" w:hAnsi="Avenir Roman"/>
          <w:sz w:val="22"/>
          <w:szCs w:val="22"/>
        </w:rPr>
      </w:pPr>
    </w:p>
    <w:p w14:paraId="43F35098" w14:textId="32FF0807" w:rsidR="003D4D3E" w:rsidRPr="007957C5" w:rsidRDefault="00BB34C8" w:rsidP="00564172">
      <w:pPr>
        <w:pStyle w:val="ListParagraph"/>
        <w:numPr>
          <w:ilvl w:val="2"/>
          <w:numId w:val="22"/>
        </w:numPr>
        <w:spacing w:after="0" w:line="240" w:lineRule="auto"/>
        <w:ind w:left="1134" w:hanging="708"/>
        <w:contextualSpacing w:val="0"/>
        <w:jc w:val="left"/>
        <w:rPr>
          <w:rFonts w:ascii="Avenir Roman" w:hAnsi="Avenir Roman"/>
          <w:sz w:val="22"/>
          <w:szCs w:val="22"/>
        </w:rPr>
      </w:pPr>
      <w:r w:rsidRPr="007957C5">
        <w:rPr>
          <w:rFonts w:ascii="Avenir Roman" w:hAnsi="Avenir Roman"/>
          <w:sz w:val="22"/>
          <w:szCs w:val="22"/>
        </w:rPr>
        <w:t>The</w:t>
      </w:r>
      <w:r w:rsidR="00A26192" w:rsidRPr="007957C5">
        <w:rPr>
          <w:rFonts w:ascii="Avenir Roman" w:hAnsi="Avenir Roman"/>
          <w:sz w:val="22"/>
          <w:szCs w:val="22"/>
        </w:rPr>
        <w:t xml:space="preserve"> Issues Paper and discussion during the Public Hearing also sought information on alternative living arrangements to the group home model of accommodation. </w:t>
      </w:r>
      <w:r w:rsidR="00DF2861" w:rsidRPr="007957C5">
        <w:rPr>
          <w:rFonts w:ascii="Avenir Roman" w:hAnsi="Avenir Roman"/>
          <w:sz w:val="22"/>
          <w:szCs w:val="22"/>
        </w:rPr>
        <w:t xml:space="preserve">The </w:t>
      </w:r>
      <w:r w:rsidR="003D4D3E" w:rsidRPr="007957C5">
        <w:rPr>
          <w:rFonts w:ascii="Avenir Roman" w:hAnsi="Avenir Roman"/>
          <w:sz w:val="22"/>
          <w:szCs w:val="22"/>
        </w:rPr>
        <w:t>ongoing</w:t>
      </w:r>
      <w:r w:rsidR="00DF2861" w:rsidRPr="007957C5">
        <w:rPr>
          <w:rFonts w:ascii="Avenir Roman" w:hAnsi="Avenir Roman"/>
          <w:sz w:val="22"/>
          <w:szCs w:val="22"/>
        </w:rPr>
        <w:t xml:space="preserve"> reliance on institutional living arrangements for people with disability reflects the prevailing view that people with disability require different living and social </w:t>
      </w:r>
      <w:r w:rsidR="00DF2861" w:rsidRPr="007957C5">
        <w:rPr>
          <w:rFonts w:ascii="Avenir Roman" w:hAnsi="Avenir Roman"/>
          <w:sz w:val="22"/>
          <w:szCs w:val="22"/>
        </w:rPr>
        <w:lastRenderedPageBreak/>
        <w:t>arrangements</w:t>
      </w:r>
      <w:r w:rsidR="003D4D3E" w:rsidRPr="007957C5">
        <w:rPr>
          <w:rFonts w:ascii="Avenir Roman" w:hAnsi="Avenir Roman"/>
          <w:sz w:val="22"/>
          <w:szCs w:val="22"/>
        </w:rPr>
        <w:t xml:space="preserve"> than the those without disability</w:t>
      </w:r>
      <w:r w:rsidR="00DF2861" w:rsidRPr="007957C5">
        <w:rPr>
          <w:rFonts w:ascii="Avenir Roman" w:hAnsi="Avenir Roman"/>
          <w:sz w:val="22"/>
          <w:szCs w:val="22"/>
        </w:rPr>
        <w:t xml:space="preserve">.  </w:t>
      </w:r>
      <w:r w:rsidR="00CA5488" w:rsidRPr="007957C5">
        <w:rPr>
          <w:rFonts w:ascii="Avenir Roman" w:hAnsi="Avenir Roman"/>
          <w:sz w:val="22"/>
          <w:szCs w:val="22"/>
        </w:rPr>
        <w:t>D</w:t>
      </w:r>
      <w:r w:rsidRPr="007957C5">
        <w:rPr>
          <w:rFonts w:ascii="Avenir Roman" w:hAnsi="Avenir Roman"/>
          <w:sz w:val="22"/>
          <w:szCs w:val="22"/>
        </w:rPr>
        <w:t>iscussion of ‘models’ and alternative</w:t>
      </w:r>
      <w:r w:rsidR="003632BD" w:rsidRPr="007957C5">
        <w:rPr>
          <w:rFonts w:ascii="Avenir Roman" w:hAnsi="Avenir Roman"/>
          <w:sz w:val="22"/>
          <w:szCs w:val="22"/>
        </w:rPr>
        <w:t xml:space="preserve"> living arrangements </w:t>
      </w:r>
      <w:r w:rsidR="00DF2861" w:rsidRPr="007957C5">
        <w:rPr>
          <w:rFonts w:ascii="Avenir Roman" w:hAnsi="Avenir Roman"/>
          <w:sz w:val="22"/>
          <w:szCs w:val="22"/>
        </w:rPr>
        <w:t xml:space="preserve">risks </w:t>
      </w:r>
      <w:r w:rsidR="0020650B" w:rsidRPr="007957C5">
        <w:rPr>
          <w:rFonts w:ascii="Avenir Roman" w:hAnsi="Avenir Roman"/>
          <w:sz w:val="22"/>
          <w:szCs w:val="22"/>
        </w:rPr>
        <w:t>retain</w:t>
      </w:r>
      <w:r w:rsidR="00DF2861" w:rsidRPr="007957C5">
        <w:rPr>
          <w:rFonts w:ascii="Avenir Roman" w:hAnsi="Avenir Roman"/>
          <w:sz w:val="22"/>
          <w:szCs w:val="22"/>
        </w:rPr>
        <w:t>ing</w:t>
      </w:r>
      <w:r w:rsidR="0020650B" w:rsidRPr="007957C5">
        <w:rPr>
          <w:rFonts w:ascii="Avenir Roman" w:hAnsi="Avenir Roman"/>
          <w:sz w:val="22"/>
          <w:szCs w:val="22"/>
        </w:rPr>
        <w:t xml:space="preserve"> the focus on </w:t>
      </w:r>
      <w:r w:rsidR="00CA5488" w:rsidRPr="007957C5">
        <w:rPr>
          <w:rFonts w:ascii="Avenir Roman" w:hAnsi="Avenir Roman"/>
          <w:sz w:val="22"/>
          <w:szCs w:val="22"/>
        </w:rPr>
        <w:t xml:space="preserve">disability specific accommodation models, ‘special’ living arrangements and </w:t>
      </w:r>
      <w:r w:rsidR="003632BD" w:rsidRPr="007957C5">
        <w:rPr>
          <w:rFonts w:ascii="Avenir Roman" w:hAnsi="Avenir Roman"/>
          <w:sz w:val="22"/>
          <w:szCs w:val="22"/>
        </w:rPr>
        <w:t xml:space="preserve">different </w:t>
      </w:r>
      <w:r w:rsidR="00FB37C7" w:rsidRPr="007957C5">
        <w:rPr>
          <w:rFonts w:ascii="Avenir Roman" w:hAnsi="Avenir Roman"/>
          <w:sz w:val="22"/>
          <w:szCs w:val="22"/>
        </w:rPr>
        <w:t xml:space="preserve">living </w:t>
      </w:r>
      <w:r w:rsidRPr="007957C5">
        <w:rPr>
          <w:rFonts w:ascii="Avenir Roman" w:hAnsi="Avenir Roman"/>
          <w:sz w:val="22"/>
          <w:szCs w:val="22"/>
        </w:rPr>
        <w:t>alternatives to others in the community</w:t>
      </w:r>
      <w:r w:rsidR="00CA5488" w:rsidRPr="007957C5">
        <w:rPr>
          <w:rFonts w:ascii="Avenir Roman" w:hAnsi="Avenir Roman"/>
          <w:sz w:val="22"/>
          <w:szCs w:val="22"/>
        </w:rPr>
        <w:t xml:space="preserve">. </w:t>
      </w:r>
      <w:r w:rsidR="003632BD" w:rsidRPr="007957C5">
        <w:rPr>
          <w:rFonts w:ascii="Avenir Roman" w:hAnsi="Avenir Roman"/>
          <w:sz w:val="22"/>
          <w:szCs w:val="22"/>
        </w:rPr>
        <w:t xml:space="preserve">It </w:t>
      </w:r>
      <w:r w:rsidR="00D9261B" w:rsidRPr="007957C5">
        <w:rPr>
          <w:rFonts w:ascii="Avenir Roman" w:hAnsi="Avenir Roman"/>
          <w:sz w:val="22"/>
          <w:szCs w:val="22"/>
        </w:rPr>
        <w:t>diminishes</w:t>
      </w:r>
      <w:r w:rsidR="003632BD" w:rsidRPr="007957C5">
        <w:rPr>
          <w:rFonts w:ascii="Avenir Roman" w:hAnsi="Avenir Roman"/>
          <w:sz w:val="22"/>
          <w:szCs w:val="22"/>
        </w:rPr>
        <w:t xml:space="preserve"> </w:t>
      </w:r>
      <w:r w:rsidRPr="007957C5">
        <w:rPr>
          <w:rFonts w:ascii="Avenir Roman" w:hAnsi="Avenir Roman"/>
          <w:sz w:val="22"/>
          <w:szCs w:val="22"/>
        </w:rPr>
        <w:t xml:space="preserve">people with disability </w:t>
      </w:r>
      <w:r w:rsidR="003632BD" w:rsidRPr="007957C5">
        <w:rPr>
          <w:rFonts w:ascii="Avenir Roman" w:hAnsi="Avenir Roman"/>
          <w:sz w:val="22"/>
          <w:szCs w:val="22"/>
        </w:rPr>
        <w:t>to</w:t>
      </w:r>
      <w:r w:rsidRPr="007957C5">
        <w:rPr>
          <w:rFonts w:ascii="Avenir Roman" w:hAnsi="Avenir Roman"/>
          <w:sz w:val="22"/>
          <w:szCs w:val="22"/>
        </w:rPr>
        <w:t xml:space="preserve"> objects within </w:t>
      </w:r>
      <w:r w:rsidR="003632BD" w:rsidRPr="007957C5">
        <w:rPr>
          <w:rFonts w:ascii="Avenir Roman" w:hAnsi="Avenir Roman"/>
          <w:sz w:val="22"/>
          <w:szCs w:val="22"/>
        </w:rPr>
        <w:t xml:space="preserve">the institutionalised </w:t>
      </w:r>
      <w:r w:rsidRPr="007957C5">
        <w:rPr>
          <w:rFonts w:ascii="Avenir Roman" w:hAnsi="Avenir Roman"/>
          <w:sz w:val="22"/>
          <w:szCs w:val="22"/>
        </w:rPr>
        <w:t>disability accommodation and service systems</w:t>
      </w:r>
      <w:r w:rsidR="00D9261B" w:rsidRPr="007957C5">
        <w:rPr>
          <w:rFonts w:ascii="Avenir Roman" w:hAnsi="Avenir Roman"/>
          <w:sz w:val="22"/>
          <w:szCs w:val="22"/>
        </w:rPr>
        <w:t xml:space="preserve">, with </w:t>
      </w:r>
      <w:r w:rsidR="00FB37C7" w:rsidRPr="007957C5">
        <w:rPr>
          <w:rFonts w:ascii="Avenir Roman" w:hAnsi="Avenir Roman"/>
          <w:sz w:val="22"/>
          <w:szCs w:val="22"/>
        </w:rPr>
        <w:t xml:space="preserve">discussions </w:t>
      </w:r>
      <w:r w:rsidR="009E4823" w:rsidRPr="007957C5">
        <w:rPr>
          <w:rFonts w:ascii="Avenir Roman" w:hAnsi="Avenir Roman"/>
          <w:sz w:val="22"/>
          <w:szCs w:val="22"/>
        </w:rPr>
        <w:t xml:space="preserve">focused on </w:t>
      </w:r>
      <w:r w:rsidR="00FB37C7" w:rsidRPr="007957C5">
        <w:rPr>
          <w:rFonts w:ascii="Avenir Roman" w:hAnsi="Avenir Roman"/>
          <w:sz w:val="22"/>
          <w:szCs w:val="22"/>
        </w:rPr>
        <w:t>enhancements and improvements to these systems</w:t>
      </w:r>
      <w:r w:rsidR="009E4823" w:rsidRPr="007957C5">
        <w:rPr>
          <w:rFonts w:ascii="Avenir Roman" w:hAnsi="Avenir Roman"/>
          <w:sz w:val="22"/>
          <w:szCs w:val="22"/>
        </w:rPr>
        <w:t xml:space="preserve"> rather than transformational change that will enable autonomy, choice, freedom and community inclusion</w:t>
      </w:r>
      <w:r w:rsidR="003D4D3E" w:rsidRPr="007957C5">
        <w:rPr>
          <w:rFonts w:ascii="Avenir Roman" w:hAnsi="Avenir Roman"/>
          <w:sz w:val="22"/>
          <w:szCs w:val="22"/>
        </w:rPr>
        <w:t>.</w:t>
      </w:r>
      <w:r w:rsidR="00FB37C7" w:rsidRPr="007957C5">
        <w:rPr>
          <w:rFonts w:ascii="Avenir Roman" w:hAnsi="Avenir Roman"/>
          <w:sz w:val="22"/>
          <w:szCs w:val="22"/>
        </w:rPr>
        <w:t xml:space="preserve"> </w:t>
      </w:r>
    </w:p>
    <w:p w14:paraId="3BDB4EC1" w14:textId="77777777" w:rsidR="00176AD3" w:rsidRPr="007957C5" w:rsidRDefault="00176AD3" w:rsidP="00E50CD5">
      <w:pPr>
        <w:spacing w:after="0" w:line="240" w:lineRule="auto"/>
        <w:jc w:val="left"/>
        <w:rPr>
          <w:rFonts w:ascii="Avenir Roman" w:hAnsi="Avenir Roman"/>
          <w:sz w:val="22"/>
          <w:szCs w:val="22"/>
        </w:rPr>
      </w:pPr>
    </w:p>
    <w:p w14:paraId="50F4FE52" w14:textId="153D055A" w:rsidR="0034232F" w:rsidRPr="007957C5" w:rsidRDefault="0034232F" w:rsidP="00564172">
      <w:pPr>
        <w:pStyle w:val="ListParagraph"/>
        <w:numPr>
          <w:ilvl w:val="2"/>
          <w:numId w:val="22"/>
        </w:numPr>
        <w:spacing w:line="240" w:lineRule="auto"/>
        <w:ind w:left="1134" w:hanging="708"/>
        <w:jc w:val="left"/>
        <w:rPr>
          <w:rFonts w:ascii="Avenir Roman" w:hAnsi="Avenir Roman"/>
          <w:sz w:val="22"/>
          <w:szCs w:val="22"/>
        </w:rPr>
      </w:pPr>
      <w:r w:rsidRPr="007957C5">
        <w:rPr>
          <w:rFonts w:ascii="Avenir Roman" w:hAnsi="Avenir Roman"/>
          <w:sz w:val="22"/>
          <w:szCs w:val="22"/>
        </w:rPr>
        <w:t>As institutional living arrangements, group homes diminish human dignity and inherently violate the CRPD and this should be explicitly acknowledged by the Royal Commission.  In line with the definitions of violence, abuse, neglect and exploitation, the Royal Commission should also explicitly acknowledge that being compelled to live in group homes</w:t>
      </w:r>
      <w:r w:rsidR="003D4D3E" w:rsidRPr="007957C5">
        <w:rPr>
          <w:rFonts w:ascii="Avenir Roman" w:hAnsi="Avenir Roman"/>
          <w:sz w:val="22"/>
          <w:szCs w:val="22"/>
        </w:rPr>
        <w:t xml:space="preserve"> or any other living arrangement</w:t>
      </w:r>
      <w:r w:rsidRPr="007957C5">
        <w:rPr>
          <w:rFonts w:ascii="Avenir Roman" w:hAnsi="Avenir Roman"/>
          <w:sz w:val="22"/>
          <w:szCs w:val="22"/>
        </w:rPr>
        <w:t xml:space="preserve"> </w:t>
      </w:r>
      <w:r w:rsidR="003D4D3E" w:rsidRPr="007957C5">
        <w:rPr>
          <w:rFonts w:ascii="Avenir Roman" w:hAnsi="Avenir Roman"/>
          <w:sz w:val="22"/>
          <w:szCs w:val="22"/>
        </w:rPr>
        <w:t xml:space="preserve">does not comply with articles 14 and 19 of the CRPD and </w:t>
      </w:r>
      <w:r w:rsidRPr="007957C5">
        <w:rPr>
          <w:rFonts w:ascii="Avenir Roman" w:hAnsi="Avenir Roman"/>
          <w:sz w:val="22"/>
          <w:szCs w:val="22"/>
        </w:rPr>
        <w:t xml:space="preserve">constitutes </w:t>
      </w:r>
      <w:r w:rsidR="003D4D3E" w:rsidRPr="007957C5">
        <w:rPr>
          <w:rFonts w:ascii="Avenir Roman" w:hAnsi="Avenir Roman"/>
          <w:sz w:val="22"/>
          <w:szCs w:val="22"/>
        </w:rPr>
        <w:t xml:space="preserve">a </w:t>
      </w:r>
      <w:r w:rsidRPr="007957C5">
        <w:rPr>
          <w:rFonts w:ascii="Avenir Roman" w:hAnsi="Avenir Roman"/>
          <w:sz w:val="22"/>
          <w:szCs w:val="22"/>
        </w:rPr>
        <w:t>form of violence, abuse and systemic neglect.</w:t>
      </w:r>
      <w:r w:rsidRPr="007957C5">
        <w:rPr>
          <w:rStyle w:val="FootnoteReference"/>
          <w:rFonts w:ascii="Avenir Roman" w:hAnsi="Avenir Roman"/>
          <w:sz w:val="22"/>
          <w:szCs w:val="22"/>
        </w:rPr>
        <w:footnoteReference w:id="92"/>
      </w:r>
      <w:r w:rsidRPr="007957C5">
        <w:rPr>
          <w:rFonts w:ascii="Avenir Roman" w:hAnsi="Avenir Roman"/>
          <w:sz w:val="22"/>
          <w:szCs w:val="22"/>
        </w:rPr>
        <w:t xml:space="preserve"> </w:t>
      </w:r>
    </w:p>
    <w:p w14:paraId="61CD6F79" w14:textId="77777777" w:rsidR="0034232F" w:rsidRPr="007957C5" w:rsidRDefault="0034232F" w:rsidP="007957C5">
      <w:pPr>
        <w:pStyle w:val="ListParagraph"/>
        <w:spacing w:line="240" w:lineRule="auto"/>
        <w:ind w:left="1134"/>
        <w:jc w:val="left"/>
        <w:rPr>
          <w:rFonts w:ascii="Avenir Roman" w:hAnsi="Avenir Roman"/>
          <w:sz w:val="22"/>
          <w:szCs w:val="22"/>
        </w:rPr>
      </w:pPr>
    </w:p>
    <w:p w14:paraId="4714A077" w14:textId="7F21220B" w:rsidR="00C5587E" w:rsidRDefault="009E4823" w:rsidP="00564172">
      <w:pPr>
        <w:pStyle w:val="ListParagraph"/>
        <w:numPr>
          <w:ilvl w:val="2"/>
          <w:numId w:val="22"/>
        </w:numPr>
        <w:spacing w:after="0" w:line="240" w:lineRule="auto"/>
        <w:ind w:left="1134" w:hanging="709"/>
        <w:contextualSpacing w:val="0"/>
        <w:jc w:val="left"/>
        <w:rPr>
          <w:rFonts w:ascii="Avenir Roman" w:hAnsi="Avenir Roman"/>
          <w:sz w:val="22"/>
          <w:szCs w:val="22"/>
        </w:rPr>
      </w:pPr>
      <w:r w:rsidRPr="007957C5">
        <w:rPr>
          <w:rFonts w:ascii="Avenir Roman" w:hAnsi="Avenir Roman"/>
          <w:sz w:val="22"/>
          <w:szCs w:val="22"/>
        </w:rPr>
        <w:t>A</w:t>
      </w:r>
      <w:r w:rsidR="00FB37C7" w:rsidRPr="007957C5">
        <w:rPr>
          <w:rFonts w:ascii="Avenir Roman" w:hAnsi="Avenir Roman"/>
          <w:sz w:val="22"/>
          <w:szCs w:val="22"/>
        </w:rPr>
        <w:t xml:space="preserve">rticle 19 requires transformational change that will include elimination of institutional living </w:t>
      </w:r>
      <w:r w:rsidR="0014190E" w:rsidRPr="007957C5">
        <w:rPr>
          <w:rFonts w:ascii="Avenir Roman" w:hAnsi="Avenir Roman"/>
          <w:sz w:val="22"/>
          <w:szCs w:val="22"/>
        </w:rPr>
        <w:t xml:space="preserve">and support </w:t>
      </w:r>
      <w:r w:rsidR="00FB37C7" w:rsidRPr="007957C5">
        <w:rPr>
          <w:rFonts w:ascii="Avenir Roman" w:hAnsi="Avenir Roman"/>
          <w:sz w:val="22"/>
          <w:szCs w:val="22"/>
        </w:rPr>
        <w:t xml:space="preserve">environments, the </w:t>
      </w:r>
      <w:r w:rsidR="00222352" w:rsidRPr="007957C5">
        <w:rPr>
          <w:rFonts w:ascii="Avenir Roman" w:hAnsi="Avenir Roman"/>
          <w:sz w:val="22"/>
          <w:szCs w:val="22"/>
        </w:rPr>
        <w:t>requirement for</w:t>
      </w:r>
      <w:r w:rsidR="00FB37C7" w:rsidRPr="007957C5">
        <w:rPr>
          <w:rFonts w:ascii="Avenir Roman" w:hAnsi="Avenir Roman"/>
          <w:sz w:val="22"/>
          <w:szCs w:val="22"/>
        </w:rPr>
        <w:t xml:space="preserve"> universal housing design</w:t>
      </w:r>
      <w:r w:rsidR="00D9261B" w:rsidRPr="007957C5">
        <w:rPr>
          <w:rFonts w:ascii="Avenir Roman" w:hAnsi="Avenir Roman"/>
          <w:sz w:val="22"/>
          <w:szCs w:val="22"/>
        </w:rPr>
        <w:t xml:space="preserve">, </w:t>
      </w:r>
      <w:r w:rsidR="00222352" w:rsidRPr="007957C5">
        <w:rPr>
          <w:rFonts w:ascii="Avenir Roman" w:hAnsi="Avenir Roman"/>
          <w:sz w:val="22"/>
          <w:szCs w:val="22"/>
        </w:rPr>
        <w:t xml:space="preserve">the establishment of genuine individualised supports that </w:t>
      </w:r>
      <w:r w:rsidR="00996498" w:rsidRPr="007957C5">
        <w:rPr>
          <w:rFonts w:ascii="Avenir Roman" w:hAnsi="Avenir Roman"/>
          <w:sz w:val="22"/>
          <w:szCs w:val="22"/>
        </w:rPr>
        <w:t>are</w:t>
      </w:r>
      <w:r w:rsidR="00222352" w:rsidRPr="007957C5">
        <w:rPr>
          <w:rFonts w:ascii="Avenir Roman" w:hAnsi="Avenir Roman"/>
          <w:sz w:val="22"/>
          <w:szCs w:val="22"/>
        </w:rPr>
        <w:t xml:space="preserve"> freely chosen and directed by people with disability and that facilitate living within the community</w:t>
      </w:r>
      <w:r w:rsidR="00176AD3" w:rsidRPr="007957C5">
        <w:rPr>
          <w:rFonts w:ascii="Avenir Roman" w:hAnsi="Avenir Roman"/>
          <w:sz w:val="22"/>
          <w:szCs w:val="22"/>
        </w:rPr>
        <w:t>, and the removal of barriers to ensure accessibility to all aspects of community life</w:t>
      </w:r>
      <w:r w:rsidR="00222352" w:rsidRPr="007957C5">
        <w:rPr>
          <w:rFonts w:ascii="Avenir Roman" w:hAnsi="Avenir Roman"/>
          <w:sz w:val="22"/>
          <w:szCs w:val="22"/>
        </w:rPr>
        <w:t>.</w:t>
      </w:r>
      <w:r w:rsidR="00BB34C8" w:rsidRPr="007957C5">
        <w:rPr>
          <w:rFonts w:ascii="Avenir Roman" w:hAnsi="Avenir Roman"/>
          <w:sz w:val="22"/>
          <w:szCs w:val="22"/>
        </w:rPr>
        <w:t xml:space="preserve"> </w:t>
      </w:r>
    </w:p>
    <w:p w14:paraId="42E8E219" w14:textId="77777777" w:rsidR="00E50CD5" w:rsidRPr="00E50CD5" w:rsidRDefault="00E50CD5" w:rsidP="00E50CD5">
      <w:pPr>
        <w:pStyle w:val="ListParagraph"/>
        <w:rPr>
          <w:rFonts w:ascii="Avenir Roman" w:hAnsi="Avenir Roman"/>
          <w:sz w:val="22"/>
          <w:szCs w:val="22"/>
        </w:rPr>
      </w:pPr>
    </w:p>
    <w:p w14:paraId="35240BE3" w14:textId="77777777" w:rsidR="00E50CD5" w:rsidRPr="007957C5" w:rsidRDefault="00E50CD5" w:rsidP="00E50CD5">
      <w:pPr>
        <w:pStyle w:val="ListParagraph"/>
        <w:spacing w:after="0" w:line="240" w:lineRule="auto"/>
        <w:ind w:left="1134"/>
        <w:contextualSpacing w:val="0"/>
        <w:jc w:val="left"/>
        <w:rPr>
          <w:rFonts w:ascii="Avenir Roman" w:hAnsi="Avenir Roman"/>
          <w:sz w:val="22"/>
          <w:szCs w:val="22"/>
        </w:rPr>
      </w:pPr>
    </w:p>
    <w:p w14:paraId="4E08D12B" w14:textId="759F4C37" w:rsidR="00DD248F" w:rsidRPr="007957C5" w:rsidRDefault="00DD248F" w:rsidP="007957C5">
      <w:pPr>
        <w:spacing w:after="120" w:line="240" w:lineRule="auto"/>
        <w:jc w:val="left"/>
        <w:rPr>
          <w:rFonts w:ascii="Avenir Roman" w:hAnsi="Avenir Roman" w:cstheme="minorHAnsi"/>
          <w:b/>
          <w:color w:val="AC1F79"/>
          <w:sz w:val="22"/>
          <w:szCs w:val="22"/>
        </w:rPr>
      </w:pPr>
      <w:r w:rsidRPr="007957C5">
        <w:rPr>
          <w:rFonts w:ascii="Avenir Roman" w:hAnsi="Avenir Roman" w:cstheme="minorHAnsi"/>
          <w:b/>
          <w:color w:val="AC1F79"/>
          <w:sz w:val="22"/>
          <w:szCs w:val="22"/>
        </w:rPr>
        <w:t>Recommendations</w:t>
      </w:r>
    </w:p>
    <w:p w14:paraId="357171D6" w14:textId="602767D9" w:rsidR="001E40BB" w:rsidRPr="007957C5" w:rsidRDefault="00DD248F" w:rsidP="00564172">
      <w:pPr>
        <w:numPr>
          <w:ilvl w:val="0"/>
          <w:numId w:val="25"/>
        </w:numPr>
        <w:spacing w:after="120" w:line="240" w:lineRule="auto"/>
        <w:ind w:left="426" w:hanging="426"/>
        <w:jc w:val="left"/>
        <w:rPr>
          <w:rFonts w:ascii="Avenir Roman" w:hAnsi="Avenir Roman" w:cs="Calibri"/>
          <w:sz w:val="22"/>
          <w:szCs w:val="22"/>
        </w:rPr>
      </w:pPr>
      <w:r w:rsidRPr="007957C5">
        <w:rPr>
          <w:rFonts w:ascii="Avenir Roman" w:hAnsi="Avenir Roman" w:cs="Calibri"/>
          <w:sz w:val="22"/>
          <w:szCs w:val="22"/>
        </w:rPr>
        <w:t xml:space="preserve">In </w:t>
      </w:r>
      <w:r w:rsidR="004E3BF9" w:rsidRPr="007957C5">
        <w:rPr>
          <w:rFonts w:ascii="Avenir Roman" w:hAnsi="Avenir Roman" w:cs="Calibri"/>
          <w:sz w:val="22"/>
          <w:szCs w:val="22"/>
        </w:rPr>
        <w:t>the context of</w:t>
      </w:r>
      <w:r w:rsidR="000A43B0" w:rsidRPr="007957C5">
        <w:rPr>
          <w:rFonts w:ascii="Avenir Roman" w:hAnsi="Avenir Roman" w:cs="Calibri"/>
          <w:sz w:val="22"/>
          <w:szCs w:val="22"/>
        </w:rPr>
        <w:t xml:space="preserve"> living arrangements for people with disability, including group homes, the Royal Commission should </w:t>
      </w:r>
      <w:r w:rsidR="004E3BF9" w:rsidRPr="007957C5">
        <w:rPr>
          <w:rFonts w:ascii="Avenir Roman" w:hAnsi="Avenir Roman" w:cs="Calibri"/>
          <w:sz w:val="22"/>
          <w:szCs w:val="22"/>
        </w:rPr>
        <w:t>recognise</w:t>
      </w:r>
      <w:r w:rsidR="000A43B0" w:rsidRPr="007957C5">
        <w:rPr>
          <w:rFonts w:ascii="Avenir Roman" w:hAnsi="Avenir Roman" w:cs="Calibri"/>
          <w:sz w:val="22"/>
          <w:szCs w:val="22"/>
        </w:rPr>
        <w:t xml:space="preserve"> </w:t>
      </w:r>
      <w:r w:rsidR="00E320C0" w:rsidRPr="007957C5">
        <w:rPr>
          <w:rFonts w:ascii="Avenir Roman" w:hAnsi="Avenir Roman" w:cs="Calibri"/>
          <w:sz w:val="22"/>
          <w:szCs w:val="22"/>
        </w:rPr>
        <w:t xml:space="preserve">article 19, </w:t>
      </w:r>
      <w:r w:rsidR="00E320C0" w:rsidRPr="007957C5">
        <w:rPr>
          <w:rFonts w:ascii="Avenir Roman" w:hAnsi="Avenir Roman" w:cs="Calibri"/>
          <w:i/>
          <w:sz w:val="22"/>
          <w:szCs w:val="22"/>
        </w:rPr>
        <w:t>Living independently and being included in the community</w:t>
      </w:r>
      <w:r w:rsidR="00E320C0" w:rsidRPr="007957C5">
        <w:rPr>
          <w:rFonts w:ascii="Avenir Roman" w:hAnsi="Avenir Roman" w:cs="Calibri"/>
          <w:sz w:val="22"/>
          <w:szCs w:val="22"/>
        </w:rPr>
        <w:t xml:space="preserve">, </w:t>
      </w:r>
      <w:r w:rsidR="004E3BF9" w:rsidRPr="007957C5">
        <w:rPr>
          <w:rFonts w:ascii="Avenir Roman" w:hAnsi="Avenir Roman" w:cs="Calibri"/>
          <w:sz w:val="22"/>
          <w:szCs w:val="22"/>
        </w:rPr>
        <w:t xml:space="preserve">as wide-ranging and </w:t>
      </w:r>
      <w:r w:rsidR="00541540" w:rsidRPr="007957C5">
        <w:rPr>
          <w:rFonts w:ascii="Avenir Roman" w:hAnsi="Avenir Roman"/>
          <w:sz w:val="22"/>
          <w:szCs w:val="22"/>
        </w:rPr>
        <w:t>all-encompassing of CRPD rights</w:t>
      </w:r>
      <w:r w:rsidR="004E3BF9" w:rsidRPr="007957C5">
        <w:rPr>
          <w:rFonts w:ascii="Avenir Roman" w:hAnsi="Avenir Roman"/>
          <w:sz w:val="22"/>
          <w:szCs w:val="22"/>
        </w:rPr>
        <w:t xml:space="preserve">, and </w:t>
      </w:r>
      <w:r w:rsidR="001E40BB" w:rsidRPr="007957C5">
        <w:rPr>
          <w:rFonts w:ascii="Avenir Roman" w:hAnsi="Avenir Roman"/>
          <w:sz w:val="22"/>
          <w:szCs w:val="22"/>
        </w:rPr>
        <w:t xml:space="preserve">as critical to the prevention of violence, abuse, neglect and exploitation, and </w:t>
      </w:r>
      <w:r w:rsidR="004E3BF9" w:rsidRPr="007957C5">
        <w:rPr>
          <w:rFonts w:ascii="Avenir Roman" w:hAnsi="Avenir Roman"/>
          <w:sz w:val="22"/>
          <w:szCs w:val="22"/>
        </w:rPr>
        <w:t>ensure that its examination focuses on</w:t>
      </w:r>
      <w:r w:rsidR="008768EA" w:rsidRPr="007957C5">
        <w:rPr>
          <w:rFonts w:ascii="Avenir Roman" w:hAnsi="Avenir Roman"/>
          <w:sz w:val="22"/>
          <w:szCs w:val="22"/>
        </w:rPr>
        <w:t>:</w:t>
      </w:r>
    </w:p>
    <w:p w14:paraId="7D160BAF" w14:textId="2C4344D9" w:rsidR="008768EA" w:rsidRPr="00EA5017" w:rsidRDefault="004E3BF9" w:rsidP="00EA5017">
      <w:pPr>
        <w:pStyle w:val="ListParagraph"/>
        <w:numPr>
          <w:ilvl w:val="0"/>
          <w:numId w:val="25"/>
        </w:numPr>
        <w:spacing w:after="120" w:line="240" w:lineRule="auto"/>
        <w:jc w:val="left"/>
        <w:rPr>
          <w:rFonts w:ascii="Avenir Roman" w:hAnsi="Avenir Roman" w:cs="Calibri"/>
          <w:sz w:val="22"/>
          <w:szCs w:val="22"/>
        </w:rPr>
      </w:pPr>
      <w:r w:rsidRPr="00EA5017">
        <w:rPr>
          <w:rFonts w:ascii="Avenir Roman" w:hAnsi="Avenir Roman"/>
          <w:sz w:val="22"/>
          <w:szCs w:val="22"/>
        </w:rPr>
        <w:t xml:space="preserve">the role of living arrangements </w:t>
      </w:r>
      <w:r w:rsidR="008768EA" w:rsidRPr="00EA5017">
        <w:rPr>
          <w:rFonts w:ascii="Avenir Roman" w:hAnsi="Avenir Roman"/>
          <w:sz w:val="22"/>
          <w:szCs w:val="22"/>
        </w:rPr>
        <w:t xml:space="preserve">and supports </w:t>
      </w:r>
      <w:r w:rsidRPr="00EA5017">
        <w:rPr>
          <w:rFonts w:ascii="Avenir Roman" w:hAnsi="Avenir Roman"/>
          <w:sz w:val="22"/>
          <w:szCs w:val="22"/>
        </w:rPr>
        <w:t xml:space="preserve">in facilitating human dignity, </w:t>
      </w:r>
      <w:r w:rsidR="008768EA" w:rsidRPr="00EA5017">
        <w:rPr>
          <w:rFonts w:ascii="Avenir Roman" w:hAnsi="Avenir Roman"/>
          <w:sz w:val="22"/>
          <w:szCs w:val="22"/>
        </w:rPr>
        <w:t xml:space="preserve">independence, </w:t>
      </w:r>
      <w:r w:rsidRPr="00EA5017">
        <w:rPr>
          <w:rFonts w:ascii="Avenir Roman" w:hAnsi="Avenir Roman"/>
          <w:sz w:val="22"/>
          <w:szCs w:val="22"/>
        </w:rPr>
        <w:t>autonomy</w:t>
      </w:r>
      <w:r w:rsidR="008768EA" w:rsidRPr="00EA5017">
        <w:rPr>
          <w:rFonts w:ascii="Avenir Roman" w:hAnsi="Avenir Roman"/>
          <w:sz w:val="22"/>
          <w:szCs w:val="22"/>
        </w:rPr>
        <w:t>, freedom, and participation and inclusion in the community;</w:t>
      </w:r>
    </w:p>
    <w:p w14:paraId="2BB4F8D3" w14:textId="50AD1011" w:rsidR="00553B8C" w:rsidRPr="00EA5017" w:rsidRDefault="00553B8C" w:rsidP="00EA5017">
      <w:pPr>
        <w:pStyle w:val="ListParagraph"/>
        <w:numPr>
          <w:ilvl w:val="0"/>
          <w:numId w:val="25"/>
        </w:numPr>
        <w:spacing w:after="120" w:line="240" w:lineRule="auto"/>
        <w:jc w:val="left"/>
        <w:rPr>
          <w:rFonts w:ascii="Avenir Roman" w:hAnsi="Avenir Roman" w:cs="Calibri"/>
          <w:sz w:val="22"/>
          <w:szCs w:val="22"/>
        </w:rPr>
      </w:pPr>
      <w:r w:rsidRPr="00EA5017">
        <w:rPr>
          <w:rFonts w:ascii="Avenir Roman" w:hAnsi="Avenir Roman" w:cs="Calibri"/>
          <w:sz w:val="22"/>
          <w:szCs w:val="22"/>
        </w:rPr>
        <w:t>explicitly recognising segregated living arrangements as discrimination and as a form of systemic neglect;</w:t>
      </w:r>
    </w:p>
    <w:p w14:paraId="3A2732EF" w14:textId="2FB3C26E" w:rsidR="00553B8C" w:rsidRPr="00EA5017" w:rsidRDefault="008768EA" w:rsidP="00EA5017">
      <w:pPr>
        <w:pStyle w:val="ListParagraph"/>
        <w:numPr>
          <w:ilvl w:val="0"/>
          <w:numId w:val="25"/>
        </w:numPr>
        <w:spacing w:line="240" w:lineRule="auto"/>
        <w:jc w:val="left"/>
        <w:rPr>
          <w:rFonts w:ascii="Avenir Roman" w:hAnsi="Avenir Roman" w:cs="Calibri"/>
          <w:sz w:val="22"/>
          <w:szCs w:val="22"/>
        </w:rPr>
      </w:pPr>
      <w:r w:rsidRPr="00EA5017">
        <w:rPr>
          <w:rFonts w:ascii="Avenir Roman" w:hAnsi="Avenir Roman" w:cs="Calibri"/>
          <w:sz w:val="22"/>
          <w:szCs w:val="22"/>
        </w:rPr>
        <w:t xml:space="preserve">the role of existing law, policy and practice </w:t>
      </w:r>
      <w:r w:rsidR="004D5E13" w:rsidRPr="00EA5017">
        <w:rPr>
          <w:rFonts w:ascii="Avenir Roman" w:hAnsi="Avenir Roman" w:cs="Calibri"/>
          <w:sz w:val="22"/>
          <w:szCs w:val="22"/>
        </w:rPr>
        <w:t>in</w:t>
      </w:r>
      <w:r w:rsidRPr="00EA5017">
        <w:rPr>
          <w:rFonts w:ascii="Avenir Roman" w:hAnsi="Avenir Roman" w:cs="Calibri"/>
          <w:sz w:val="22"/>
          <w:szCs w:val="22"/>
        </w:rPr>
        <w:t xml:space="preserve"> continu</w:t>
      </w:r>
      <w:r w:rsidR="004D5E13" w:rsidRPr="00EA5017">
        <w:rPr>
          <w:rFonts w:ascii="Avenir Roman" w:hAnsi="Avenir Roman" w:cs="Calibri"/>
          <w:sz w:val="22"/>
          <w:szCs w:val="22"/>
        </w:rPr>
        <w:t>ing</w:t>
      </w:r>
      <w:r w:rsidRPr="00EA5017">
        <w:rPr>
          <w:rFonts w:ascii="Avenir Roman" w:hAnsi="Avenir Roman" w:cs="Calibri"/>
          <w:sz w:val="22"/>
          <w:szCs w:val="22"/>
        </w:rPr>
        <w:t xml:space="preserve"> to prevent </w:t>
      </w:r>
      <w:r w:rsidRPr="00EA5017">
        <w:rPr>
          <w:rFonts w:ascii="Avenir Roman" w:hAnsi="Avenir Roman"/>
          <w:sz w:val="22"/>
          <w:szCs w:val="22"/>
        </w:rPr>
        <w:t xml:space="preserve">the right to live independently and be included in the community, including </w:t>
      </w:r>
      <w:r w:rsidR="00040453" w:rsidRPr="00EA5017">
        <w:rPr>
          <w:rFonts w:ascii="Avenir Roman" w:hAnsi="Avenir Roman"/>
          <w:sz w:val="22"/>
          <w:szCs w:val="22"/>
        </w:rPr>
        <w:t xml:space="preserve">through substitute-decision making mechanisms; policy that encourages new segregated housing models; policy and practice that obliges </w:t>
      </w:r>
      <w:r w:rsidRPr="00EA5017">
        <w:rPr>
          <w:rFonts w:ascii="Avenir Roman" w:hAnsi="Avenir Roman"/>
          <w:sz w:val="22"/>
          <w:szCs w:val="22"/>
        </w:rPr>
        <w:t xml:space="preserve">people with disability to live in </w:t>
      </w:r>
      <w:r w:rsidR="00040453" w:rsidRPr="00EA5017">
        <w:rPr>
          <w:rFonts w:ascii="Avenir Roman" w:hAnsi="Avenir Roman"/>
          <w:sz w:val="22"/>
          <w:szCs w:val="22"/>
        </w:rPr>
        <w:t>particular</w:t>
      </w:r>
      <w:r w:rsidRPr="00EA5017">
        <w:rPr>
          <w:rFonts w:ascii="Avenir Roman" w:hAnsi="Avenir Roman"/>
          <w:sz w:val="22"/>
          <w:szCs w:val="22"/>
        </w:rPr>
        <w:t xml:space="preserve"> living arrangements to obtain essential supports;</w:t>
      </w:r>
      <w:r w:rsidR="00040453" w:rsidRPr="00EA5017">
        <w:rPr>
          <w:rFonts w:ascii="Avenir Roman" w:hAnsi="Avenir Roman"/>
          <w:sz w:val="22"/>
          <w:szCs w:val="22"/>
        </w:rPr>
        <w:t xml:space="preserve"> </w:t>
      </w:r>
      <w:r w:rsidR="00553B8C" w:rsidRPr="00EA5017">
        <w:rPr>
          <w:rFonts w:ascii="Avenir Roman" w:hAnsi="Avenir Roman"/>
          <w:sz w:val="22"/>
          <w:szCs w:val="22"/>
        </w:rPr>
        <w:t xml:space="preserve">and </w:t>
      </w:r>
      <w:r w:rsidR="00BC15E9" w:rsidRPr="00EA5017">
        <w:rPr>
          <w:rFonts w:ascii="Avenir Roman" w:hAnsi="Avenir Roman"/>
          <w:sz w:val="22"/>
          <w:szCs w:val="22"/>
        </w:rPr>
        <w:t>policy and strategy failures in relation to poverty alleviation, adequate standard of living, access to social and public housing, accessible housing design and construction</w:t>
      </w:r>
      <w:r w:rsidR="004D5E13" w:rsidRPr="00EA5017">
        <w:rPr>
          <w:rFonts w:ascii="Avenir Roman" w:hAnsi="Avenir Roman"/>
          <w:sz w:val="22"/>
          <w:szCs w:val="22"/>
        </w:rPr>
        <w:t>, and full community inclusion and participation</w:t>
      </w:r>
      <w:r w:rsidR="00BC15E9" w:rsidRPr="00EA5017">
        <w:rPr>
          <w:rFonts w:ascii="Avenir Roman" w:hAnsi="Avenir Roman"/>
          <w:sz w:val="22"/>
          <w:szCs w:val="22"/>
        </w:rPr>
        <w:t xml:space="preserve">. </w:t>
      </w:r>
    </w:p>
    <w:p w14:paraId="582B8E9C" w14:textId="66C4085C" w:rsidR="008B1C96" w:rsidRPr="007957C5" w:rsidRDefault="008B1C96" w:rsidP="00564172">
      <w:pPr>
        <w:numPr>
          <w:ilvl w:val="0"/>
          <w:numId w:val="25"/>
        </w:numPr>
        <w:spacing w:after="0" w:line="240" w:lineRule="auto"/>
        <w:ind w:left="425" w:hanging="426"/>
        <w:jc w:val="left"/>
        <w:rPr>
          <w:rFonts w:ascii="Avenir Roman" w:hAnsi="Avenir Roman" w:cs="Calibri"/>
          <w:sz w:val="22"/>
          <w:szCs w:val="22"/>
        </w:rPr>
      </w:pPr>
      <w:r w:rsidRPr="007957C5">
        <w:rPr>
          <w:rFonts w:ascii="Avenir Roman" w:hAnsi="Avenir Roman"/>
          <w:sz w:val="22"/>
          <w:szCs w:val="22"/>
        </w:rPr>
        <w:t xml:space="preserve">In line with the jurisprudence and recommendations of the CRPD Committee, Australia should </w:t>
      </w:r>
      <w:r w:rsidR="00302554" w:rsidRPr="007957C5">
        <w:rPr>
          <w:rFonts w:ascii="Avenir Roman" w:hAnsi="Avenir Roman"/>
          <w:sz w:val="22"/>
          <w:szCs w:val="22"/>
        </w:rPr>
        <w:t>withdraw</w:t>
      </w:r>
      <w:r w:rsidRPr="007957C5">
        <w:rPr>
          <w:rFonts w:ascii="Avenir Roman" w:hAnsi="Avenir Roman"/>
          <w:sz w:val="22"/>
          <w:szCs w:val="22"/>
        </w:rPr>
        <w:t xml:space="preserve"> </w:t>
      </w:r>
      <w:r w:rsidR="00302554" w:rsidRPr="007957C5">
        <w:rPr>
          <w:rFonts w:ascii="Avenir Roman" w:hAnsi="Avenir Roman"/>
          <w:sz w:val="22"/>
          <w:szCs w:val="22"/>
        </w:rPr>
        <w:t xml:space="preserve">its interpretative declaration on article 12, replace </w:t>
      </w:r>
      <w:r w:rsidRPr="007957C5">
        <w:rPr>
          <w:rFonts w:ascii="Avenir Roman" w:hAnsi="Avenir Roman"/>
          <w:sz w:val="22"/>
          <w:szCs w:val="22"/>
        </w:rPr>
        <w:t>substitute decision-</w:t>
      </w:r>
      <w:r w:rsidRPr="007957C5">
        <w:rPr>
          <w:rFonts w:ascii="Avenir Roman" w:hAnsi="Avenir Roman"/>
          <w:sz w:val="22"/>
          <w:szCs w:val="22"/>
        </w:rPr>
        <w:lastRenderedPageBreak/>
        <w:t xml:space="preserve">making </w:t>
      </w:r>
      <w:r w:rsidR="00302554" w:rsidRPr="007957C5">
        <w:rPr>
          <w:rFonts w:ascii="Avenir Roman" w:hAnsi="Avenir Roman"/>
          <w:sz w:val="22"/>
          <w:szCs w:val="22"/>
        </w:rPr>
        <w:t xml:space="preserve">mechanisms </w:t>
      </w:r>
      <w:r w:rsidRPr="007957C5">
        <w:rPr>
          <w:rFonts w:ascii="Avenir Roman" w:hAnsi="Avenir Roman"/>
          <w:sz w:val="22"/>
          <w:szCs w:val="22"/>
        </w:rPr>
        <w:t>with supported decision-making</w:t>
      </w:r>
      <w:r w:rsidR="00302554" w:rsidRPr="007957C5">
        <w:rPr>
          <w:rFonts w:ascii="Avenir Roman" w:hAnsi="Avenir Roman"/>
          <w:sz w:val="22"/>
          <w:szCs w:val="22"/>
        </w:rPr>
        <w:t xml:space="preserve">, and implement a nationally consistent supported decision-making framework.  </w:t>
      </w:r>
    </w:p>
    <w:p w14:paraId="0981A351" w14:textId="77777777" w:rsidR="00302554" w:rsidRPr="007957C5" w:rsidRDefault="00302554" w:rsidP="00E50CD5">
      <w:pPr>
        <w:spacing w:after="0" w:line="240" w:lineRule="auto"/>
        <w:ind w:left="425"/>
        <w:jc w:val="left"/>
        <w:rPr>
          <w:rFonts w:ascii="Avenir Roman" w:hAnsi="Avenir Roman" w:cs="Calibri"/>
          <w:sz w:val="22"/>
          <w:szCs w:val="22"/>
        </w:rPr>
      </w:pPr>
    </w:p>
    <w:p w14:paraId="02FB3574" w14:textId="77777777" w:rsidR="003A0E67" w:rsidRPr="007957C5" w:rsidRDefault="00D16871" w:rsidP="00564172">
      <w:pPr>
        <w:numPr>
          <w:ilvl w:val="0"/>
          <w:numId w:val="25"/>
        </w:numPr>
        <w:spacing w:after="120" w:line="240" w:lineRule="auto"/>
        <w:ind w:left="426" w:hanging="426"/>
        <w:jc w:val="left"/>
        <w:rPr>
          <w:rFonts w:ascii="Avenir Roman" w:hAnsi="Avenir Roman" w:cs="Calibri"/>
          <w:sz w:val="22"/>
          <w:szCs w:val="22"/>
        </w:rPr>
      </w:pPr>
      <w:r w:rsidRPr="007957C5">
        <w:rPr>
          <w:rFonts w:ascii="Avenir Roman" w:hAnsi="Avenir Roman" w:cs="Calibri"/>
          <w:sz w:val="22"/>
          <w:szCs w:val="22"/>
        </w:rPr>
        <w:t>The National Disability Insurance Agency should</w:t>
      </w:r>
      <w:r w:rsidR="003A0E67" w:rsidRPr="007957C5">
        <w:rPr>
          <w:rFonts w:ascii="Avenir Roman" w:hAnsi="Avenir Roman" w:cs="Calibri"/>
          <w:sz w:val="22"/>
          <w:szCs w:val="22"/>
        </w:rPr>
        <w:t>:</w:t>
      </w:r>
    </w:p>
    <w:p w14:paraId="386A5334" w14:textId="3F5227BB" w:rsidR="003A0E67" w:rsidRPr="00EA5017" w:rsidRDefault="00D16871" w:rsidP="00EA5017">
      <w:pPr>
        <w:pStyle w:val="ListParagraph"/>
        <w:numPr>
          <w:ilvl w:val="0"/>
          <w:numId w:val="25"/>
        </w:numPr>
        <w:spacing w:after="120" w:line="240" w:lineRule="auto"/>
        <w:jc w:val="left"/>
        <w:rPr>
          <w:rFonts w:ascii="Avenir Roman" w:hAnsi="Avenir Roman" w:cs="Calibri"/>
          <w:sz w:val="22"/>
          <w:szCs w:val="22"/>
        </w:rPr>
      </w:pPr>
      <w:r w:rsidRPr="00EA5017">
        <w:rPr>
          <w:rFonts w:ascii="Avenir Roman" w:hAnsi="Avenir Roman" w:cs="Calibri"/>
          <w:sz w:val="22"/>
          <w:szCs w:val="22"/>
        </w:rPr>
        <w:t xml:space="preserve">review SDA and SIL policy </w:t>
      </w:r>
      <w:r w:rsidR="003A0E67" w:rsidRPr="00EA5017">
        <w:rPr>
          <w:rFonts w:ascii="Avenir Roman" w:hAnsi="Avenir Roman" w:cs="Calibri"/>
          <w:sz w:val="22"/>
          <w:szCs w:val="22"/>
        </w:rPr>
        <w:t xml:space="preserve">and practice </w:t>
      </w:r>
      <w:r w:rsidRPr="00EA5017">
        <w:rPr>
          <w:rFonts w:ascii="Avenir Roman" w:hAnsi="Avenir Roman" w:cs="Calibri"/>
          <w:sz w:val="22"/>
          <w:szCs w:val="22"/>
        </w:rPr>
        <w:t xml:space="preserve">to ensure that people with disability are not forced into shared living </w:t>
      </w:r>
      <w:r w:rsidR="005B43A3" w:rsidRPr="00EA5017">
        <w:rPr>
          <w:rFonts w:ascii="Avenir Roman" w:hAnsi="Avenir Roman" w:cs="Calibri"/>
          <w:sz w:val="22"/>
          <w:szCs w:val="22"/>
        </w:rPr>
        <w:t xml:space="preserve">and shared support </w:t>
      </w:r>
      <w:r w:rsidRPr="00EA5017">
        <w:rPr>
          <w:rFonts w:ascii="Avenir Roman" w:hAnsi="Avenir Roman" w:cs="Calibri"/>
          <w:sz w:val="22"/>
          <w:szCs w:val="22"/>
        </w:rPr>
        <w:t>arrangements</w:t>
      </w:r>
      <w:r w:rsidR="000C349A" w:rsidRPr="00EA5017">
        <w:rPr>
          <w:rFonts w:ascii="Avenir Roman" w:hAnsi="Avenir Roman" w:cs="Calibri"/>
          <w:sz w:val="22"/>
          <w:szCs w:val="22"/>
        </w:rPr>
        <w:t>;</w:t>
      </w:r>
    </w:p>
    <w:p w14:paraId="2DECFA89" w14:textId="68142872" w:rsidR="00726279" w:rsidRPr="00EA5017" w:rsidRDefault="00726279" w:rsidP="00EA5017">
      <w:pPr>
        <w:pStyle w:val="ListParagraph"/>
        <w:numPr>
          <w:ilvl w:val="0"/>
          <w:numId w:val="25"/>
        </w:numPr>
        <w:spacing w:after="120" w:line="240" w:lineRule="auto"/>
        <w:jc w:val="left"/>
        <w:rPr>
          <w:rFonts w:ascii="Avenir Roman" w:hAnsi="Avenir Roman" w:cs="Calibri"/>
          <w:sz w:val="22"/>
          <w:szCs w:val="22"/>
        </w:rPr>
      </w:pPr>
      <w:r w:rsidRPr="00EA5017">
        <w:rPr>
          <w:rFonts w:ascii="Avenir Roman" w:hAnsi="Avenir Roman" w:cs="Calibri"/>
          <w:sz w:val="22"/>
          <w:szCs w:val="22"/>
        </w:rPr>
        <w:t>provide NDIS participants with opportunities to review their accommodation and support arrangements, and to genuinely choose options that do not oblige shared living and support arrangements;</w:t>
      </w:r>
    </w:p>
    <w:p w14:paraId="7369FAF2" w14:textId="6E56EE80" w:rsidR="003A0E67" w:rsidRPr="00EA5017" w:rsidRDefault="003A0E67" w:rsidP="00EA5017">
      <w:pPr>
        <w:pStyle w:val="ListParagraph"/>
        <w:numPr>
          <w:ilvl w:val="0"/>
          <w:numId w:val="25"/>
        </w:numPr>
        <w:spacing w:after="120" w:line="240" w:lineRule="auto"/>
        <w:jc w:val="left"/>
        <w:rPr>
          <w:rFonts w:ascii="Avenir Roman" w:hAnsi="Avenir Roman" w:cs="Calibri"/>
          <w:sz w:val="22"/>
          <w:szCs w:val="22"/>
        </w:rPr>
      </w:pPr>
      <w:r w:rsidRPr="00EA5017">
        <w:rPr>
          <w:rFonts w:ascii="Avenir Roman" w:hAnsi="Avenir Roman" w:cs="Calibri"/>
          <w:sz w:val="22"/>
          <w:szCs w:val="22"/>
        </w:rPr>
        <w:t xml:space="preserve">remove the group home category as a </w:t>
      </w:r>
      <w:r w:rsidR="00D16871" w:rsidRPr="00EA5017">
        <w:rPr>
          <w:rFonts w:ascii="Avenir Roman" w:hAnsi="Avenir Roman" w:cs="Calibri"/>
          <w:sz w:val="22"/>
          <w:szCs w:val="22"/>
        </w:rPr>
        <w:t xml:space="preserve">new build option </w:t>
      </w:r>
      <w:r w:rsidRPr="00EA5017">
        <w:rPr>
          <w:rFonts w:ascii="Avenir Roman" w:hAnsi="Avenir Roman" w:cs="Calibri"/>
          <w:sz w:val="22"/>
          <w:szCs w:val="22"/>
        </w:rPr>
        <w:t>for SDA;</w:t>
      </w:r>
      <w:r w:rsidR="00D16871" w:rsidRPr="00EA5017">
        <w:rPr>
          <w:rFonts w:ascii="Avenir Roman" w:hAnsi="Avenir Roman" w:cs="Calibri"/>
          <w:sz w:val="22"/>
          <w:szCs w:val="22"/>
        </w:rPr>
        <w:t xml:space="preserve"> </w:t>
      </w:r>
      <w:r w:rsidR="00726279" w:rsidRPr="00EA5017">
        <w:rPr>
          <w:rFonts w:ascii="Avenir Roman" w:hAnsi="Avenir Roman" w:cs="Calibri"/>
          <w:sz w:val="22"/>
          <w:szCs w:val="22"/>
        </w:rPr>
        <w:t xml:space="preserve">and </w:t>
      </w:r>
    </w:p>
    <w:p w14:paraId="2A81F847" w14:textId="70788571" w:rsidR="00D16871" w:rsidRPr="00EA5017" w:rsidRDefault="00D16871" w:rsidP="00EA5017">
      <w:pPr>
        <w:pStyle w:val="ListParagraph"/>
        <w:numPr>
          <w:ilvl w:val="0"/>
          <w:numId w:val="25"/>
        </w:numPr>
        <w:spacing w:line="240" w:lineRule="auto"/>
        <w:jc w:val="left"/>
        <w:rPr>
          <w:rFonts w:ascii="Avenir Roman" w:hAnsi="Avenir Roman" w:cs="Calibri"/>
          <w:sz w:val="22"/>
          <w:szCs w:val="22"/>
        </w:rPr>
      </w:pPr>
      <w:r w:rsidRPr="00EA5017">
        <w:rPr>
          <w:rFonts w:ascii="Avenir Roman" w:hAnsi="Avenir Roman" w:cs="Calibri"/>
          <w:sz w:val="22"/>
          <w:szCs w:val="22"/>
        </w:rPr>
        <w:t xml:space="preserve">work with its Independent Advisory Council to identify repurposing options for existing group homes to transition into genuine non-segregated housing options that facilitate </w:t>
      </w:r>
      <w:r w:rsidRPr="00EA5017">
        <w:rPr>
          <w:rFonts w:ascii="Avenir Roman" w:hAnsi="Avenir Roman"/>
          <w:sz w:val="22"/>
          <w:szCs w:val="22"/>
        </w:rPr>
        <w:t>community participation and inclusion</w:t>
      </w:r>
      <w:r w:rsidR="00726279" w:rsidRPr="00EA5017">
        <w:rPr>
          <w:rFonts w:ascii="Avenir Roman" w:hAnsi="Avenir Roman"/>
          <w:sz w:val="22"/>
          <w:szCs w:val="22"/>
        </w:rPr>
        <w:t>.</w:t>
      </w:r>
      <w:r w:rsidRPr="00EA5017">
        <w:rPr>
          <w:rFonts w:ascii="Avenir Roman" w:hAnsi="Avenir Roman"/>
          <w:sz w:val="22"/>
          <w:szCs w:val="22"/>
        </w:rPr>
        <w:t xml:space="preserve"> </w:t>
      </w:r>
    </w:p>
    <w:p w14:paraId="2EFF6064" w14:textId="77777777" w:rsidR="003A0E67" w:rsidRPr="007957C5" w:rsidRDefault="003A0E67" w:rsidP="00E50CD5">
      <w:pPr>
        <w:pStyle w:val="ListParagraph"/>
        <w:spacing w:after="0" w:line="240" w:lineRule="auto"/>
        <w:contextualSpacing w:val="0"/>
        <w:jc w:val="left"/>
        <w:rPr>
          <w:rFonts w:ascii="Avenir Roman" w:hAnsi="Avenir Roman" w:cs="Calibri"/>
          <w:sz w:val="22"/>
          <w:szCs w:val="22"/>
        </w:rPr>
      </w:pPr>
    </w:p>
    <w:p w14:paraId="412B238B" w14:textId="7287E43D" w:rsidR="003A0E67" w:rsidRPr="007957C5" w:rsidRDefault="005B43A3" w:rsidP="00564172">
      <w:pPr>
        <w:numPr>
          <w:ilvl w:val="0"/>
          <w:numId w:val="25"/>
        </w:numPr>
        <w:spacing w:after="120" w:line="240" w:lineRule="auto"/>
        <w:ind w:left="425" w:hanging="425"/>
        <w:jc w:val="left"/>
        <w:rPr>
          <w:rFonts w:ascii="Avenir Roman" w:hAnsi="Avenir Roman" w:cs="Calibri"/>
          <w:sz w:val="22"/>
          <w:szCs w:val="22"/>
        </w:rPr>
      </w:pPr>
      <w:r w:rsidRPr="007957C5">
        <w:rPr>
          <w:rFonts w:ascii="Avenir Roman" w:hAnsi="Avenir Roman" w:cs="Calibri"/>
          <w:sz w:val="22"/>
          <w:szCs w:val="22"/>
        </w:rPr>
        <w:t xml:space="preserve">A national </w:t>
      </w:r>
      <w:r w:rsidR="008D4C8C" w:rsidRPr="007957C5">
        <w:rPr>
          <w:rFonts w:ascii="Avenir Roman" w:hAnsi="Avenir Roman" w:cs="Calibri"/>
          <w:sz w:val="22"/>
          <w:szCs w:val="22"/>
        </w:rPr>
        <w:t xml:space="preserve">Deinstitutionalisation and Disability </w:t>
      </w:r>
      <w:r w:rsidRPr="007957C5">
        <w:rPr>
          <w:rFonts w:ascii="Avenir Roman" w:hAnsi="Avenir Roman" w:cs="Calibri"/>
          <w:sz w:val="22"/>
          <w:szCs w:val="22"/>
        </w:rPr>
        <w:t xml:space="preserve">Housing </w:t>
      </w:r>
      <w:r w:rsidR="008D4C8C" w:rsidRPr="007957C5">
        <w:rPr>
          <w:rFonts w:ascii="Avenir Roman" w:hAnsi="Avenir Roman" w:cs="Calibri"/>
          <w:sz w:val="22"/>
          <w:szCs w:val="22"/>
        </w:rPr>
        <w:t>Strategy</w:t>
      </w:r>
      <w:r w:rsidRPr="007957C5">
        <w:rPr>
          <w:rFonts w:ascii="Avenir Roman" w:hAnsi="Avenir Roman" w:cs="Calibri"/>
          <w:sz w:val="22"/>
          <w:szCs w:val="22"/>
        </w:rPr>
        <w:t xml:space="preserve"> should be developed</w:t>
      </w:r>
      <w:r w:rsidR="000C349A" w:rsidRPr="007957C5">
        <w:rPr>
          <w:rFonts w:ascii="Avenir Roman" w:hAnsi="Avenir Roman" w:cs="Calibri"/>
          <w:sz w:val="22"/>
          <w:szCs w:val="22"/>
        </w:rPr>
        <w:t xml:space="preserve"> </w:t>
      </w:r>
      <w:r w:rsidRPr="007957C5">
        <w:rPr>
          <w:rFonts w:ascii="Avenir Roman" w:hAnsi="Avenir Roman" w:cs="Calibri"/>
          <w:sz w:val="22"/>
          <w:szCs w:val="22"/>
        </w:rPr>
        <w:t>by Australian governments</w:t>
      </w:r>
      <w:r w:rsidR="000C349A" w:rsidRPr="007957C5">
        <w:rPr>
          <w:rFonts w:ascii="Avenir Roman" w:hAnsi="Avenir Roman" w:cs="Calibri"/>
          <w:sz w:val="22"/>
          <w:szCs w:val="22"/>
        </w:rPr>
        <w:t xml:space="preserve"> in close consultation and participation with people with disability and their representative organisations</w:t>
      </w:r>
      <w:r w:rsidRPr="007957C5">
        <w:rPr>
          <w:rFonts w:ascii="Avenir Roman" w:hAnsi="Avenir Roman" w:cs="Calibri"/>
          <w:sz w:val="22"/>
          <w:szCs w:val="22"/>
        </w:rPr>
        <w:t xml:space="preserve">, </w:t>
      </w:r>
      <w:r w:rsidR="000C349A" w:rsidRPr="007957C5">
        <w:rPr>
          <w:rFonts w:ascii="Avenir Roman" w:hAnsi="Avenir Roman" w:cs="Calibri"/>
          <w:sz w:val="22"/>
          <w:szCs w:val="22"/>
        </w:rPr>
        <w:t xml:space="preserve">with the aim </w:t>
      </w:r>
      <w:r w:rsidR="0019181A" w:rsidRPr="007957C5">
        <w:rPr>
          <w:rFonts w:ascii="Avenir Roman" w:hAnsi="Avenir Roman" w:cs="Calibri"/>
          <w:sz w:val="22"/>
          <w:szCs w:val="22"/>
        </w:rPr>
        <w:t>of</w:t>
      </w:r>
      <w:r w:rsidR="000C349A" w:rsidRPr="007957C5">
        <w:rPr>
          <w:rFonts w:ascii="Avenir Roman" w:hAnsi="Avenir Roman" w:cs="Calibri"/>
          <w:sz w:val="22"/>
          <w:szCs w:val="22"/>
        </w:rPr>
        <w:t xml:space="preserve"> </w:t>
      </w:r>
      <w:r w:rsidRPr="007957C5">
        <w:rPr>
          <w:rFonts w:ascii="Avenir Roman" w:hAnsi="Avenir Roman" w:cs="Calibri"/>
          <w:sz w:val="22"/>
          <w:szCs w:val="22"/>
        </w:rPr>
        <w:t>includ</w:t>
      </w:r>
      <w:r w:rsidR="0019181A" w:rsidRPr="007957C5">
        <w:rPr>
          <w:rFonts w:ascii="Avenir Roman" w:hAnsi="Avenir Roman" w:cs="Calibri"/>
          <w:sz w:val="22"/>
          <w:szCs w:val="22"/>
        </w:rPr>
        <w:t>ing</w:t>
      </w:r>
      <w:r w:rsidR="008D4C8C" w:rsidRPr="007957C5">
        <w:rPr>
          <w:rFonts w:ascii="Avenir Roman" w:hAnsi="Avenir Roman" w:cs="Calibri"/>
          <w:sz w:val="22"/>
          <w:szCs w:val="22"/>
        </w:rPr>
        <w:t xml:space="preserve"> strategies and timeframes for</w:t>
      </w:r>
      <w:r w:rsidRPr="007957C5">
        <w:rPr>
          <w:rFonts w:ascii="Avenir Roman" w:hAnsi="Avenir Roman" w:cs="Calibri"/>
          <w:sz w:val="22"/>
          <w:szCs w:val="22"/>
        </w:rPr>
        <w:t>:</w:t>
      </w:r>
    </w:p>
    <w:p w14:paraId="1D174979" w14:textId="2D16989C" w:rsidR="005B43A3" w:rsidRPr="00EA5017" w:rsidRDefault="008D4C8C" w:rsidP="00EA5017">
      <w:pPr>
        <w:pStyle w:val="ListParagraph"/>
        <w:numPr>
          <w:ilvl w:val="0"/>
          <w:numId w:val="25"/>
        </w:numPr>
        <w:spacing w:line="240" w:lineRule="auto"/>
        <w:jc w:val="left"/>
        <w:rPr>
          <w:rFonts w:ascii="Avenir Roman" w:hAnsi="Avenir Roman" w:cs="Calibri"/>
          <w:sz w:val="22"/>
          <w:szCs w:val="22"/>
        </w:rPr>
      </w:pPr>
      <w:r w:rsidRPr="00EA5017">
        <w:rPr>
          <w:rFonts w:ascii="Avenir Roman" w:hAnsi="Avenir Roman" w:cs="Calibri"/>
          <w:sz w:val="22"/>
          <w:szCs w:val="22"/>
        </w:rPr>
        <w:t>the closure of residential institutional living arrangements for people with disability;</w:t>
      </w:r>
    </w:p>
    <w:p w14:paraId="7E2DB594" w14:textId="302BAC25" w:rsidR="000C349A" w:rsidRPr="00EA5017" w:rsidRDefault="008D4C8C" w:rsidP="00EA5017">
      <w:pPr>
        <w:pStyle w:val="ListParagraph"/>
        <w:numPr>
          <w:ilvl w:val="0"/>
          <w:numId w:val="25"/>
        </w:numPr>
        <w:spacing w:line="240" w:lineRule="auto"/>
        <w:jc w:val="left"/>
        <w:rPr>
          <w:rFonts w:ascii="Avenir Roman" w:hAnsi="Avenir Roman" w:cs="Calibri"/>
          <w:sz w:val="22"/>
          <w:szCs w:val="22"/>
        </w:rPr>
      </w:pPr>
      <w:r w:rsidRPr="00EA5017">
        <w:rPr>
          <w:rFonts w:ascii="Avenir Roman" w:hAnsi="Avenir Roman" w:cs="Calibri"/>
          <w:sz w:val="22"/>
          <w:szCs w:val="22"/>
        </w:rPr>
        <w:t>the development of genuine community</w:t>
      </w:r>
      <w:r w:rsidR="000C349A" w:rsidRPr="00EA5017">
        <w:rPr>
          <w:rFonts w:ascii="Avenir Roman" w:hAnsi="Avenir Roman" w:cs="Calibri"/>
          <w:sz w:val="22"/>
          <w:szCs w:val="22"/>
        </w:rPr>
        <w:t>-</w:t>
      </w:r>
      <w:r w:rsidRPr="00EA5017">
        <w:rPr>
          <w:rFonts w:ascii="Avenir Roman" w:hAnsi="Avenir Roman" w:cs="Calibri"/>
          <w:sz w:val="22"/>
          <w:szCs w:val="22"/>
        </w:rPr>
        <w:t>based housing and support options</w:t>
      </w:r>
      <w:r w:rsidR="00060706" w:rsidRPr="00EA5017">
        <w:rPr>
          <w:rFonts w:ascii="Avenir Roman" w:hAnsi="Avenir Roman" w:cs="Calibri"/>
          <w:sz w:val="22"/>
          <w:szCs w:val="22"/>
        </w:rPr>
        <w:t xml:space="preserve"> that facilitate autonomy, freedom and community inclusion</w:t>
      </w:r>
      <w:r w:rsidR="000C349A" w:rsidRPr="00EA5017">
        <w:rPr>
          <w:rFonts w:ascii="Avenir Roman" w:hAnsi="Avenir Roman" w:cs="Calibri"/>
          <w:sz w:val="22"/>
          <w:szCs w:val="22"/>
        </w:rPr>
        <w:t>;</w:t>
      </w:r>
    </w:p>
    <w:p w14:paraId="1209C10A" w14:textId="77777777" w:rsidR="000C349A" w:rsidRPr="00EA5017" w:rsidRDefault="000C349A" w:rsidP="00EA5017">
      <w:pPr>
        <w:pStyle w:val="ListParagraph"/>
        <w:numPr>
          <w:ilvl w:val="0"/>
          <w:numId w:val="25"/>
        </w:numPr>
        <w:spacing w:line="240" w:lineRule="auto"/>
        <w:jc w:val="left"/>
        <w:rPr>
          <w:rFonts w:ascii="Avenir Roman" w:hAnsi="Avenir Roman" w:cs="Calibri"/>
          <w:sz w:val="22"/>
          <w:szCs w:val="22"/>
        </w:rPr>
      </w:pPr>
      <w:r w:rsidRPr="00EA5017">
        <w:rPr>
          <w:rFonts w:ascii="Avenir Roman" w:hAnsi="Avenir Roman" w:cs="Calibri"/>
          <w:sz w:val="22"/>
          <w:szCs w:val="22"/>
        </w:rPr>
        <w:t>an increase in the range, affordability and accessibility of pubic and social housing;</w:t>
      </w:r>
    </w:p>
    <w:p w14:paraId="76165FF3" w14:textId="18E024B2" w:rsidR="00D16871" w:rsidRPr="00EA5017" w:rsidRDefault="000C349A" w:rsidP="00EA5017">
      <w:pPr>
        <w:pStyle w:val="ListParagraph"/>
        <w:numPr>
          <w:ilvl w:val="0"/>
          <w:numId w:val="25"/>
        </w:numPr>
        <w:spacing w:line="240" w:lineRule="auto"/>
        <w:jc w:val="left"/>
        <w:rPr>
          <w:rFonts w:ascii="Avenir Roman" w:hAnsi="Avenir Roman" w:cs="Calibri"/>
          <w:sz w:val="22"/>
          <w:szCs w:val="22"/>
        </w:rPr>
      </w:pPr>
      <w:r w:rsidRPr="00EA5017">
        <w:rPr>
          <w:rFonts w:ascii="Avenir Roman" w:hAnsi="Avenir Roman" w:cs="Calibri"/>
          <w:sz w:val="22"/>
          <w:szCs w:val="22"/>
        </w:rPr>
        <w:t xml:space="preserve">the amendment of the National Construction Code to mandate minimum universal access design features for all new and extensively modified housing. </w:t>
      </w:r>
    </w:p>
    <w:p w14:paraId="69EC793C" w14:textId="77777777" w:rsidR="00E50CD5" w:rsidRPr="007957C5" w:rsidRDefault="00E50CD5" w:rsidP="00E50CD5">
      <w:pPr>
        <w:pStyle w:val="ListParagraph"/>
        <w:spacing w:line="240" w:lineRule="auto"/>
        <w:ind w:left="709"/>
        <w:jc w:val="left"/>
        <w:rPr>
          <w:rFonts w:ascii="Avenir Roman" w:hAnsi="Avenir Roman" w:cs="Calibri"/>
          <w:sz w:val="22"/>
          <w:szCs w:val="22"/>
        </w:rPr>
      </w:pPr>
    </w:p>
    <w:p w14:paraId="50BDA7AB" w14:textId="799D08AA" w:rsidR="00027433" w:rsidRPr="007957C5" w:rsidRDefault="00DB3FDA" w:rsidP="00564172">
      <w:pPr>
        <w:pStyle w:val="ListParagraph"/>
        <w:numPr>
          <w:ilvl w:val="0"/>
          <w:numId w:val="25"/>
        </w:numPr>
        <w:spacing w:after="120" w:line="240" w:lineRule="auto"/>
        <w:ind w:left="426" w:hanging="426"/>
        <w:contextualSpacing w:val="0"/>
        <w:jc w:val="left"/>
        <w:rPr>
          <w:rFonts w:ascii="Avenir Roman" w:hAnsi="Avenir Roman" w:cs="Calibri"/>
          <w:sz w:val="22"/>
          <w:szCs w:val="22"/>
        </w:rPr>
      </w:pPr>
      <w:r w:rsidRPr="007957C5">
        <w:rPr>
          <w:rFonts w:ascii="Avenir Roman" w:hAnsi="Avenir Roman" w:cs="Calibri"/>
          <w:sz w:val="22"/>
          <w:szCs w:val="22"/>
        </w:rPr>
        <w:t xml:space="preserve">The next ten-year National Disability Strategy </w:t>
      </w:r>
      <w:r w:rsidR="00027433" w:rsidRPr="007957C5">
        <w:rPr>
          <w:rFonts w:ascii="Avenir Roman" w:hAnsi="Avenir Roman" w:cs="Calibri"/>
          <w:sz w:val="22"/>
          <w:szCs w:val="22"/>
        </w:rPr>
        <w:t xml:space="preserve">(NDS) </w:t>
      </w:r>
      <w:r w:rsidRPr="007957C5">
        <w:rPr>
          <w:rFonts w:ascii="Avenir Roman" w:hAnsi="Avenir Roman" w:cs="Calibri"/>
          <w:sz w:val="22"/>
          <w:szCs w:val="22"/>
        </w:rPr>
        <w:t xml:space="preserve">should </w:t>
      </w:r>
      <w:r w:rsidR="0019181A" w:rsidRPr="007957C5">
        <w:rPr>
          <w:rFonts w:ascii="Avenir Roman" w:hAnsi="Avenir Roman" w:cs="Calibri"/>
          <w:sz w:val="22"/>
          <w:szCs w:val="22"/>
        </w:rPr>
        <w:t>recognise that the right to live independently and be included in the community is integral to achiev</w:t>
      </w:r>
      <w:r w:rsidR="00266B67" w:rsidRPr="007957C5">
        <w:rPr>
          <w:rFonts w:ascii="Avenir Roman" w:hAnsi="Avenir Roman" w:cs="Calibri"/>
          <w:sz w:val="22"/>
          <w:szCs w:val="22"/>
        </w:rPr>
        <w:t>ing</w:t>
      </w:r>
      <w:r w:rsidR="0019181A" w:rsidRPr="007957C5">
        <w:rPr>
          <w:rFonts w:ascii="Avenir Roman" w:hAnsi="Avenir Roman" w:cs="Calibri"/>
          <w:sz w:val="22"/>
          <w:szCs w:val="22"/>
        </w:rPr>
        <w:t xml:space="preserve"> all NDS outcome areas, and </w:t>
      </w:r>
      <w:r w:rsidR="00266B67" w:rsidRPr="007957C5">
        <w:rPr>
          <w:rFonts w:ascii="Avenir Roman" w:hAnsi="Avenir Roman" w:cs="Calibri"/>
          <w:sz w:val="22"/>
          <w:szCs w:val="22"/>
        </w:rPr>
        <w:t xml:space="preserve">should significantly </w:t>
      </w:r>
      <w:r w:rsidR="0019181A" w:rsidRPr="007957C5">
        <w:rPr>
          <w:rFonts w:ascii="Avenir Roman" w:hAnsi="Avenir Roman" w:cs="Calibri"/>
          <w:sz w:val="22"/>
          <w:szCs w:val="22"/>
        </w:rPr>
        <w:t xml:space="preserve">increase </w:t>
      </w:r>
      <w:r w:rsidR="00266B67" w:rsidRPr="007957C5">
        <w:rPr>
          <w:rFonts w:ascii="Avenir Roman" w:hAnsi="Avenir Roman" w:cs="Calibri"/>
          <w:sz w:val="22"/>
          <w:szCs w:val="22"/>
        </w:rPr>
        <w:t xml:space="preserve">its commitment and coordinated actions, </w:t>
      </w:r>
      <w:r w:rsidR="00027433" w:rsidRPr="007957C5">
        <w:rPr>
          <w:rFonts w:ascii="Avenir Roman" w:hAnsi="Avenir Roman" w:cs="Calibri"/>
          <w:sz w:val="22"/>
          <w:szCs w:val="22"/>
        </w:rPr>
        <w:t>including by:</w:t>
      </w:r>
    </w:p>
    <w:p w14:paraId="64DD868A" w14:textId="19B4827E" w:rsidR="000B58C7" w:rsidRPr="00EA5017" w:rsidRDefault="000B58C7" w:rsidP="00EA5017">
      <w:pPr>
        <w:pStyle w:val="ListParagraph"/>
        <w:numPr>
          <w:ilvl w:val="0"/>
          <w:numId w:val="25"/>
        </w:numPr>
        <w:spacing w:after="120" w:line="240" w:lineRule="auto"/>
        <w:jc w:val="left"/>
        <w:rPr>
          <w:rFonts w:ascii="Avenir Roman" w:hAnsi="Avenir Roman" w:cs="Calibri"/>
          <w:sz w:val="22"/>
          <w:szCs w:val="22"/>
        </w:rPr>
      </w:pPr>
      <w:r w:rsidRPr="00EA5017">
        <w:rPr>
          <w:rFonts w:ascii="Avenir Roman" w:hAnsi="Avenir Roman" w:cs="Calibri"/>
          <w:sz w:val="22"/>
          <w:szCs w:val="22"/>
        </w:rPr>
        <w:t xml:space="preserve">ensuring </w:t>
      </w:r>
      <w:r w:rsidR="00BF024B" w:rsidRPr="00EA5017">
        <w:rPr>
          <w:rFonts w:ascii="Avenir Roman" w:hAnsi="Avenir Roman" w:cs="Calibri"/>
          <w:sz w:val="22"/>
          <w:szCs w:val="22"/>
        </w:rPr>
        <w:t xml:space="preserve">the NDS is underpinned by strong </w:t>
      </w:r>
      <w:r w:rsidRPr="00EA5017">
        <w:rPr>
          <w:rFonts w:ascii="Avenir Roman" w:hAnsi="Avenir Roman" w:cs="Calibri"/>
          <w:sz w:val="22"/>
          <w:szCs w:val="22"/>
        </w:rPr>
        <w:t>commitment to implementation of the full range of rights contained in the CRPD</w:t>
      </w:r>
      <w:r w:rsidR="00996498" w:rsidRPr="00EA5017">
        <w:rPr>
          <w:rFonts w:ascii="Avenir Roman" w:hAnsi="Avenir Roman" w:cs="Calibri"/>
          <w:sz w:val="22"/>
          <w:szCs w:val="22"/>
        </w:rPr>
        <w:t>, including mechanisms for close consultation and active participation of people with disability through their representative organisations</w:t>
      </w:r>
      <w:r w:rsidRPr="00EA5017">
        <w:rPr>
          <w:rFonts w:ascii="Avenir Roman" w:hAnsi="Avenir Roman" w:cs="Calibri"/>
          <w:sz w:val="22"/>
          <w:szCs w:val="22"/>
        </w:rPr>
        <w:t xml:space="preserve">; </w:t>
      </w:r>
    </w:p>
    <w:p w14:paraId="7BD654EE" w14:textId="45F8623D" w:rsidR="00DB3FDA" w:rsidRPr="00EA5017" w:rsidRDefault="00027433" w:rsidP="00EA5017">
      <w:pPr>
        <w:pStyle w:val="ListParagraph"/>
        <w:numPr>
          <w:ilvl w:val="0"/>
          <w:numId w:val="25"/>
        </w:numPr>
        <w:spacing w:after="120" w:line="240" w:lineRule="auto"/>
        <w:jc w:val="left"/>
        <w:rPr>
          <w:rFonts w:ascii="Avenir Roman" w:hAnsi="Avenir Roman" w:cs="Calibri"/>
          <w:sz w:val="22"/>
          <w:szCs w:val="22"/>
        </w:rPr>
      </w:pPr>
      <w:r w:rsidRPr="00EA5017">
        <w:rPr>
          <w:rFonts w:ascii="Avenir Roman" w:hAnsi="Avenir Roman" w:cs="Calibri"/>
          <w:sz w:val="22"/>
          <w:szCs w:val="22"/>
        </w:rPr>
        <w:t>establishing a centralised coordination mechanism, such as an independent Office of Disability Inclusion to drive the NDS across government and to ensure CRPD compliance;</w:t>
      </w:r>
    </w:p>
    <w:p w14:paraId="66F91F26" w14:textId="77777777" w:rsidR="00F30962" w:rsidRPr="00EA5017" w:rsidRDefault="00027433" w:rsidP="00EA5017">
      <w:pPr>
        <w:pStyle w:val="ListParagraph"/>
        <w:numPr>
          <w:ilvl w:val="0"/>
          <w:numId w:val="25"/>
        </w:numPr>
        <w:spacing w:after="120" w:line="240" w:lineRule="auto"/>
        <w:jc w:val="left"/>
        <w:rPr>
          <w:rFonts w:ascii="Avenir Roman" w:hAnsi="Avenir Roman" w:cs="Calibri"/>
          <w:sz w:val="22"/>
          <w:szCs w:val="22"/>
        </w:rPr>
      </w:pPr>
      <w:r w:rsidRPr="00EA5017">
        <w:rPr>
          <w:rFonts w:ascii="Avenir Roman" w:hAnsi="Avenir Roman" w:cs="Calibri"/>
          <w:sz w:val="22"/>
          <w:szCs w:val="22"/>
        </w:rPr>
        <w:t xml:space="preserve">incorporating measurable outcomes within an accountability, evaluation and reporting framework; </w:t>
      </w:r>
    </w:p>
    <w:p w14:paraId="56F39BAF" w14:textId="7327C797" w:rsidR="00F30962" w:rsidRPr="00EA5017" w:rsidRDefault="00F30962" w:rsidP="00EA5017">
      <w:pPr>
        <w:pStyle w:val="ListParagraph"/>
        <w:numPr>
          <w:ilvl w:val="0"/>
          <w:numId w:val="25"/>
        </w:numPr>
        <w:spacing w:after="120" w:line="240" w:lineRule="auto"/>
        <w:jc w:val="left"/>
        <w:rPr>
          <w:rFonts w:ascii="Avenir Roman" w:hAnsi="Avenir Roman" w:cs="Calibri"/>
          <w:sz w:val="22"/>
          <w:szCs w:val="22"/>
        </w:rPr>
      </w:pPr>
      <w:r w:rsidRPr="00EA5017">
        <w:rPr>
          <w:rFonts w:ascii="Avenir Roman" w:hAnsi="Avenir Roman" w:cs="Calibri"/>
          <w:sz w:val="22"/>
          <w:szCs w:val="22"/>
        </w:rPr>
        <w:t xml:space="preserve">incorporating an intersectional framework, which includes gender-specific measures to </w:t>
      </w:r>
      <w:r w:rsidRPr="00EA5017">
        <w:rPr>
          <w:rFonts w:ascii="Avenir Roman" w:hAnsi="Avenir Roman"/>
          <w:sz w:val="22"/>
          <w:szCs w:val="22"/>
        </w:rPr>
        <w:t xml:space="preserve">progress, monitor, review and evaluate actions across all NDS outcome areas; </w:t>
      </w:r>
    </w:p>
    <w:p w14:paraId="06ADE83C" w14:textId="132B999E" w:rsidR="00F30962" w:rsidRPr="00EA5017" w:rsidRDefault="000B58C7" w:rsidP="00EA5017">
      <w:pPr>
        <w:pStyle w:val="ListParagraph"/>
        <w:numPr>
          <w:ilvl w:val="0"/>
          <w:numId w:val="25"/>
        </w:numPr>
        <w:spacing w:after="120" w:line="240" w:lineRule="auto"/>
        <w:jc w:val="left"/>
        <w:rPr>
          <w:rFonts w:ascii="Avenir Roman" w:hAnsi="Avenir Roman" w:cs="Calibri"/>
          <w:sz w:val="22"/>
          <w:szCs w:val="22"/>
        </w:rPr>
      </w:pPr>
      <w:r w:rsidRPr="00EA5017">
        <w:rPr>
          <w:rFonts w:ascii="Avenir Roman" w:hAnsi="Avenir Roman" w:cs="Calibri"/>
          <w:sz w:val="22"/>
          <w:szCs w:val="22"/>
        </w:rPr>
        <w:t>implementing</w:t>
      </w:r>
      <w:r w:rsidR="00F30962" w:rsidRPr="00EA5017">
        <w:rPr>
          <w:rFonts w:ascii="Avenir Roman" w:hAnsi="Avenir Roman" w:cs="Calibri"/>
          <w:sz w:val="22"/>
          <w:szCs w:val="22"/>
        </w:rPr>
        <w:t xml:space="preserve"> measures to ensure disaggregation of data across all policy areas;</w:t>
      </w:r>
    </w:p>
    <w:p w14:paraId="2AEBFA71" w14:textId="503B4A44" w:rsidR="00F30962" w:rsidRPr="00EA5017" w:rsidRDefault="00F30962" w:rsidP="00EA5017">
      <w:pPr>
        <w:pStyle w:val="ListParagraph"/>
        <w:numPr>
          <w:ilvl w:val="0"/>
          <w:numId w:val="25"/>
        </w:numPr>
        <w:spacing w:after="120" w:line="240" w:lineRule="auto"/>
        <w:jc w:val="left"/>
        <w:rPr>
          <w:rFonts w:ascii="Avenir Roman" w:hAnsi="Avenir Roman" w:cs="Calibri"/>
          <w:sz w:val="22"/>
          <w:szCs w:val="22"/>
        </w:rPr>
      </w:pPr>
      <w:r w:rsidRPr="00EA5017">
        <w:rPr>
          <w:rFonts w:ascii="Avenir Roman" w:hAnsi="Avenir Roman" w:cs="Calibri"/>
          <w:sz w:val="22"/>
          <w:szCs w:val="22"/>
        </w:rPr>
        <w:t>ensuring age-specific and gender-specific actions to prevent and respond to all forms of violence, abuse, neglect and exploitation of people with disability;</w:t>
      </w:r>
    </w:p>
    <w:p w14:paraId="1538DF53" w14:textId="7B4190E5" w:rsidR="00027433" w:rsidRPr="00EA5017" w:rsidRDefault="00027433" w:rsidP="00EA5017">
      <w:pPr>
        <w:pStyle w:val="ListParagraph"/>
        <w:numPr>
          <w:ilvl w:val="0"/>
          <w:numId w:val="25"/>
        </w:numPr>
        <w:spacing w:after="120" w:line="240" w:lineRule="auto"/>
        <w:jc w:val="left"/>
        <w:rPr>
          <w:rFonts w:ascii="Avenir Roman" w:hAnsi="Avenir Roman" w:cs="Calibri"/>
          <w:i/>
          <w:sz w:val="22"/>
          <w:szCs w:val="22"/>
        </w:rPr>
      </w:pPr>
      <w:r w:rsidRPr="00EA5017">
        <w:rPr>
          <w:rFonts w:ascii="Avenir Roman" w:hAnsi="Avenir Roman" w:cs="Calibri"/>
          <w:sz w:val="22"/>
          <w:szCs w:val="22"/>
        </w:rPr>
        <w:t xml:space="preserve">developing strong linkages with other national plans and frameworks, such as the </w:t>
      </w:r>
      <w:r w:rsidRPr="00EA5017">
        <w:rPr>
          <w:rFonts w:ascii="Avenir Roman" w:hAnsi="Avenir Roman" w:cs="Calibri"/>
          <w:i/>
          <w:sz w:val="22"/>
          <w:szCs w:val="22"/>
        </w:rPr>
        <w:t>National Plan to Reduce Violence against Women and Their Children</w:t>
      </w:r>
      <w:r w:rsidR="00996498" w:rsidRPr="00EA5017">
        <w:rPr>
          <w:rFonts w:ascii="Avenir Roman" w:hAnsi="Avenir Roman" w:cs="Calibri"/>
          <w:sz w:val="22"/>
          <w:szCs w:val="22"/>
        </w:rPr>
        <w:t xml:space="preserve">, </w:t>
      </w:r>
      <w:r w:rsidRPr="00EA5017">
        <w:rPr>
          <w:rFonts w:ascii="Avenir Roman" w:hAnsi="Avenir Roman" w:cs="Calibri"/>
          <w:sz w:val="22"/>
          <w:szCs w:val="22"/>
        </w:rPr>
        <w:t xml:space="preserve">the </w:t>
      </w:r>
      <w:r w:rsidRPr="00EA5017">
        <w:rPr>
          <w:rFonts w:ascii="Avenir Roman" w:hAnsi="Avenir Roman" w:cs="Calibri"/>
          <w:i/>
          <w:sz w:val="22"/>
          <w:szCs w:val="22"/>
        </w:rPr>
        <w:t>National Framework for Protecting Austral</w:t>
      </w:r>
      <w:r w:rsidR="00F30962" w:rsidRPr="00EA5017">
        <w:rPr>
          <w:rFonts w:ascii="Avenir Roman" w:hAnsi="Avenir Roman" w:cs="Calibri"/>
          <w:i/>
          <w:sz w:val="22"/>
          <w:szCs w:val="22"/>
        </w:rPr>
        <w:t>ia’s Children</w:t>
      </w:r>
      <w:r w:rsidR="00996498" w:rsidRPr="00EA5017">
        <w:rPr>
          <w:rFonts w:ascii="Avenir Roman" w:hAnsi="Avenir Roman" w:cs="Calibri"/>
          <w:i/>
          <w:sz w:val="22"/>
          <w:szCs w:val="22"/>
        </w:rPr>
        <w:t>;</w:t>
      </w:r>
    </w:p>
    <w:p w14:paraId="353F5E15" w14:textId="3CFECD60" w:rsidR="000B58C7" w:rsidRPr="00EA5017" w:rsidRDefault="000B58C7" w:rsidP="00EA5017">
      <w:pPr>
        <w:pStyle w:val="ListParagraph"/>
        <w:numPr>
          <w:ilvl w:val="0"/>
          <w:numId w:val="25"/>
        </w:numPr>
        <w:spacing w:after="120" w:line="240" w:lineRule="auto"/>
        <w:jc w:val="left"/>
        <w:rPr>
          <w:rFonts w:ascii="Avenir Roman" w:hAnsi="Avenir Roman" w:cs="Calibri"/>
          <w:i/>
          <w:sz w:val="22"/>
          <w:szCs w:val="22"/>
        </w:rPr>
      </w:pPr>
      <w:r w:rsidRPr="00EA5017">
        <w:rPr>
          <w:rFonts w:ascii="Avenir Roman" w:hAnsi="Avenir Roman" w:cs="Calibri"/>
          <w:sz w:val="22"/>
          <w:szCs w:val="22"/>
        </w:rPr>
        <w:t>implementing measures to achieve commitments under the Sustainable Development Goals, particularly in relation to ending poverty and inequality</w:t>
      </w:r>
      <w:r w:rsidR="00996498" w:rsidRPr="00EA5017">
        <w:rPr>
          <w:rFonts w:ascii="Avenir Roman" w:hAnsi="Avenir Roman" w:cs="Calibri"/>
          <w:sz w:val="22"/>
          <w:szCs w:val="22"/>
        </w:rPr>
        <w:t>,</w:t>
      </w:r>
      <w:r w:rsidRPr="00EA5017">
        <w:rPr>
          <w:rFonts w:ascii="Avenir Roman" w:hAnsi="Avenir Roman" w:cs="Calibri"/>
          <w:sz w:val="22"/>
          <w:szCs w:val="22"/>
        </w:rPr>
        <w:t xml:space="preserve"> including gender inequality;</w:t>
      </w:r>
    </w:p>
    <w:p w14:paraId="7137F2CB" w14:textId="11716678" w:rsidR="00DD248F" w:rsidRPr="00EA5017" w:rsidRDefault="000B58C7" w:rsidP="00EA5017">
      <w:pPr>
        <w:pStyle w:val="ListParagraph"/>
        <w:numPr>
          <w:ilvl w:val="0"/>
          <w:numId w:val="25"/>
        </w:numPr>
        <w:spacing w:line="240" w:lineRule="auto"/>
        <w:jc w:val="left"/>
        <w:rPr>
          <w:rFonts w:ascii="Avenir Roman" w:hAnsi="Avenir Roman" w:cs="Calibri"/>
          <w:i/>
          <w:sz w:val="22"/>
          <w:szCs w:val="22"/>
        </w:rPr>
      </w:pPr>
      <w:r w:rsidRPr="00EA5017">
        <w:rPr>
          <w:rFonts w:ascii="Avenir Roman" w:hAnsi="Avenir Roman" w:cs="Calibri"/>
          <w:sz w:val="22"/>
          <w:szCs w:val="22"/>
        </w:rPr>
        <w:lastRenderedPageBreak/>
        <w:t xml:space="preserve">ensuring research, development and implementation of universal design standards to achieve accessibility </w:t>
      </w:r>
      <w:r w:rsidR="00E61E6E" w:rsidRPr="00EA5017">
        <w:rPr>
          <w:rFonts w:ascii="Avenir Roman" w:hAnsi="Avenir Roman" w:cs="Calibri"/>
          <w:sz w:val="22"/>
          <w:szCs w:val="22"/>
        </w:rPr>
        <w:t xml:space="preserve">and community inclusion </w:t>
      </w:r>
      <w:r w:rsidRPr="00EA5017">
        <w:rPr>
          <w:rFonts w:ascii="Avenir Roman" w:hAnsi="Avenir Roman" w:cs="Calibri"/>
          <w:sz w:val="22"/>
          <w:szCs w:val="22"/>
        </w:rPr>
        <w:t xml:space="preserve">in all areas of life. </w:t>
      </w:r>
    </w:p>
    <w:p w14:paraId="27BB573E" w14:textId="77777777" w:rsidR="00DD248F" w:rsidRPr="007957C5" w:rsidRDefault="00DD248F" w:rsidP="007957C5">
      <w:pPr>
        <w:spacing w:line="240" w:lineRule="auto"/>
        <w:jc w:val="left"/>
        <w:rPr>
          <w:rFonts w:ascii="Avenir Roman" w:hAnsi="Avenir Roman"/>
          <w:sz w:val="22"/>
          <w:szCs w:val="22"/>
        </w:rPr>
      </w:pPr>
    </w:p>
    <w:p w14:paraId="6D2B0DBF" w14:textId="4517CDC1" w:rsidR="00DD248F" w:rsidRPr="007957C5" w:rsidRDefault="00DD248F" w:rsidP="007957C5">
      <w:pPr>
        <w:spacing w:line="240" w:lineRule="auto"/>
        <w:jc w:val="left"/>
        <w:rPr>
          <w:rFonts w:ascii="Avenir Roman" w:hAnsi="Avenir Roman"/>
          <w:sz w:val="22"/>
          <w:szCs w:val="22"/>
        </w:rPr>
      </w:pPr>
    </w:p>
    <w:p w14:paraId="3D3D367C" w14:textId="3FFAAF74" w:rsidR="00DD248F" w:rsidRPr="007957C5" w:rsidRDefault="00DD248F" w:rsidP="007957C5">
      <w:pPr>
        <w:spacing w:line="240" w:lineRule="auto"/>
        <w:jc w:val="left"/>
        <w:rPr>
          <w:rFonts w:ascii="Avenir Roman" w:hAnsi="Avenir Roman"/>
          <w:sz w:val="22"/>
          <w:szCs w:val="22"/>
        </w:rPr>
      </w:pPr>
    </w:p>
    <w:p w14:paraId="0F29CF35" w14:textId="32784F1D" w:rsidR="00DD248F" w:rsidRPr="007957C5" w:rsidRDefault="00DD248F" w:rsidP="007957C5">
      <w:pPr>
        <w:spacing w:line="240" w:lineRule="auto"/>
        <w:jc w:val="left"/>
        <w:rPr>
          <w:rFonts w:ascii="Avenir Roman" w:hAnsi="Avenir Roman"/>
          <w:sz w:val="22"/>
          <w:szCs w:val="22"/>
        </w:rPr>
      </w:pPr>
    </w:p>
    <w:p w14:paraId="4C7FCCB9" w14:textId="77777777" w:rsidR="00DD248F" w:rsidRPr="007957C5" w:rsidRDefault="00DD248F" w:rsidP="007957C5">
      <w:pPr>
        <w:spacing w:line="240" w:lineRule="auto"/>
        <w:jc w:val="left"/>
        <w:rPr>
          <w:rFonts w:ascii="Avenir Roman" w:hAnsi="Avenir Roman"/>
          <w:sz w:val="22"/>
          <w:szCs w:val="22"/>
        </w:rPr>
      </w:pPr>
    </w:p>
    <w:p w14:paraId="285CABE5" w14:textId="77777777" w:rsidR="00DD248F" w:rsidRPr="007957C5" w:rsidRDefault="00DD248F" w:rsidP="007957C5">
      <w:pPr>
        <w:spacing w:line="240" w:lineRule="auto"/>
        <w:jc w:val="left"/>
        <w:rPr>
          <w:rFonts w:ascii="Avenir Roman" w:eastAsiaTheme="minorHAnsi" w:hAnsi="Avenir Roman" w:cs="Calibri"/>
          <w:b/>
          <w:color w:val="AC1F79"/>
          <w:sz w:val="22"/>
          <w:szCs w:val="22"/>
        </w:rPr>
      </w:pPr>
      <w:r w:rsidRPr="007957C5">
        <w:rPr>
          <w:rFonts w:ascii="Avenir Roman" w:hAnsi="Avenir Roman" w:cs="Calibri"/>
          <w:color w:val="AC1F79"/>
          <w:sz w:val="22"/>
          <w:szCs w:val="22"/>
        </w:rPr>
        <w:br w:type="page"/>
      </w:r>
    </w:p>
    <w:p w14:paraId="335E498A" w14:textId="70F50568" w:rsidR="00C5587E" w:rsidRPr="002F4C4C" w:rsidRDefault="00C5587E" w:rsidP="00564172">
      <w:pPr>
        <w:pStyle w:val="Heading2"/>
        <w:numPr>
          <w:ilvl w:val="0"/>
          <w:numId w:val="6"/>
        </w:numPr>
        <w:spacing w:line="240" w:lineRule="auto"/>
        <w:ind w:left="426" w:hanging="426"/>
        <w:rPr>
          <w:rFonts w:ascii="Avenir Book" w:hAnsi="Avenir Book" w:cs="Calibri"/>
          <w:color w:val="AC1F79"/>
          <w:sz w:val="22"/>
          <w:szCs w:val="22"/>
        </w:rPr>
      </w:pPr>
      <w:bookmarkStart w:id="118" w:name="_Toc43919159"/>
      <w:r w:rsidRPr="002F4C4C">
        <w:rPr>
          <w:rFonts w:ascii="Avenir Book" w:hAnsi="Avenir Book" w:cs="Calibri"/>
          <w:color w:val="AC1F79"/>
          <w:sz w:val="22"/>
          <w:szCs w:val="22"/>
        </w:rPr>
        <w:lastRenderedPageBreak/>
        <w:t>Intersectionality</w:t>
      </w:r>
      <w:bookmarkEnd w:id="118"/>
      <w:r w:rsidRPr="002F4C4C">
        <w:rPr>
          <w:rFonts w:ascii="Avenir Book" w:hAnsi="Avenir Book" w:cs="Calibri"/>
          <w:color w:val="AC1F79"/>
          <w:sz w:val="22"/>
          <w:szCs w:val="22"/>
        </w:rPr>
        <w:t xml:space="preserve"> </w:t>
      </w:r>
    </w:p>
    <w:p w14:paraId="57EC22EA" w14:textId="21C75E24" w:rsidR="00C5587E" w:rsidRDefault="00C5587E" w:rsidP="00564172">
      <w:pPr>
        <w:pStyle w:val="ListParagraph"/>
        <w:numPr>
          <w:ilvl w:val="1"/>
          <w:numId w:val="16"/>
        </w:numPr>
        <w:spacing w:line="240" w:lineRule="auto"/>
        <w:ind w:left="993" w:hanging="567"/>
        <w:jc w:val="left"/>
        <w:rPr>
          <w:rFonts w:ascii="Avenir Book" w:hAnsi="Avenir Book"/>
          <w:sz w:val="22"/>
          <w:szCs w:val="22"/>
        </w:rPr>
      </w:pPr>
      <w:r w:rsidRPr="002F4C4C">
        <w:rPr>
          <w:rFonts w:ascii="Avenir Book" w:hAnsi="Avenir Book"/>
          <w:sz w:val="22"/>
          <w:szCs w:val="22"/>
        </w:rPr>
        <w:t>The recognition that women and girls with disability are more likely to experience violence, abuse, neglect and exploitation than both men with disability and women and girls without disability warrants a concerted and specific focus on women and girls with disability within the Royal Commission.  WWDA notes there has been little focus on the intersection between disability and gender in the Issues Papers and in the Public Hearings to date. An intersectional analysis should be integral to all the work of the Royal Commission, not only to deliver on the Terms of Reference, but to also adequately investigate and make recommendations that respond to the specific situation of women and girls with disability, including in relation to the right to live independently and be included in the community.</w:t>
      </w:r>
    </w:p>
    <w:p w14:paraId="787346F1" w14:textId="77777777" w:rsidR="002F4C4C" w:rsidRPr="002F4C4C" w:rsidRDefault="002F4C4C" w:rsidP="002F4C4C">
      <w:pPr>
        <w:pStyle w:val="ListParagraph"/>
        <w:spacing w:line="240" w:lineRule="auto"/>
        <w:ind w:left="993"/>
        <w:jc w:val="left"/>
        <w:rPr>
          <w:rFonts w:ascii="Avenir Book" w:hAnsi="Avenir Book"/>
          <w:sz w:val="22"/>
          <w:szCs w:val="22"/>
        </w:rPr>
      </w:pPr>
    </w:p>
    <w:p w14:paraId="1904436D" w14:textId="121854D9" w:rsidR="00C5587E" w:rsidRPr="002F4C4C" w:rsidRDefault="00C5587E" w:rsidP="00564172">
      <w:pPr>
        <w:pStyle w:val="ListParagraph"/>
        <w:numPr>
          <w:ilvl w:val="1"/>
          <w:numId w:val="16"/>
        </w:numPr>
        <w:spacing w:line="240" w:lineRule="auto"/>
        <w:ind w:left="993" w:hanging="567"/>
        <w:jc w:val="left"/>
        <w:rPr>
          <w:rFonts w:ascii="Avenir Book" w:hAnsi="Avenir Book"/>
          <w:sz w:val="22"/>
          <w:szCs w:val="22"/>
        </w:rPr>
      </w:pPr>
      <w:r w:rsidRPr="002F4C4C">
        <w:rPr>
          <w:rFonts w:ascii="Avenir Book" w:hAnsi="Avenir Book"/>
          <w:sz w:val="22"/>
          <w:szCs w:val="22"/>
        </w:rPr>
        <w:t>People with disability, including women and girls with disability have their rights articulated and upheld through all the international human rights treaties to which Australia is a party.</w:t>
      </w:r>
      <w:r w:rsidRPr="002F4C4C">
        <w:rPr>
          <w:rStyle w:val="FootnoteReference"/>
          <w:rFonts w:ascii="Avenir Book" w:hAnsi="Avenir Book"/>
          <w:sz w:val="22"/>
          <w:szCs w:val="22"/>
        </w:rPr>
        <w:footnoteReference w:id="93"/>
      </w:r>
      <w:r w:rsidRPr="002F4C4C">
        <w:rPr>
          <w:rFonts w:ascii="Avenir Book" w:hAnsi="Avenir Book"/>
          <w:sz w:val="22"/>
          <w:szCs w:val="22"/>
        </w:rPr>
        <w:t xml:space="preserve"> However, until the development and adoption of the CRPD, the application of human rights to the issues and concerns of people with disability were largely invisible and not addressed.</w:t>
      </w:r>
      <w:r w:rsidRPr="002F4C4C">
        <w:rPr>
          <w:rStyle w:val="FootnoteReference"/>
          <w:rFonts w:ascii="Avenir Book" w:hAnsi="Avenir Book"/>
          <w:sz w:val="22"/>
          <w:szCs w:val="22"/>
        </w:rPr>
        <w:footnoteReference w:id="94"/>
      </w:r>
      <w:r w:rsidRPr="002F4C4C">
        <w:rPr>
          <w:rFonts w:ascii="Avenir Book" w:hAnsi="Avenir Book"/>
          <w:sz w:val="22"/>
          <w:szCs w:val="22"/>
        </w:rPr>
        <w:t xml:space="preserve"> The CRPD is a response to this lack of recognition of the rights of pe</w:t>
      </w:r>
      <w:r w:rsidR="00C4607F" w:rsidRPr="002F4C4C">
        <w:rPr>
          <w:rFonts w:ascii="Avenir Book" w:hAnsi="Avenir Book"/>
          <w:sz w:val="22"/>
          <w:szCs w:val="22"/>
        </w:rPr>
        <w:t>ople</w:t>
      </w:r>
      <w:r w:rsidRPr="002F4C4C">
        <w:rPr>
          <w:rFonts w:ascii="Avenir Book" w:hAnsi="Avenir Book"/>
          <w:sz w:val="22"/>
          <w:szCs w:val="22"/>
        </w:rPr>
        <w:t xml:space="preserve"> with disability.</w:t>
      </w:r>
    </w:p>
    <w:p w14:paraId="539B6CF6" w14:textId="77777777" w:rsidR="00C5587E" w:rsidRPr="002F4C4C" w:rsidRDefault="00C5587E" w:rsidP="002F4C4C">
      <w:pPr>
        <w:pStyle w:val="ListParagraph"/>
        <w:spacing w:line="240" w:lineRule="auto"/>
        <w:ind w:left="0"/>
        <w:jc w:val="left"/>
        <w:rPr>
          <w:rFonts w:ascii="Avenir Book" w:hAnsi="Avenir Book"/>
          <w:sz w:val="22"/>
          <w:szCs w:val="22"/>
        </w:rPr>
      </w:pPr>
    </w:p>
    <w:p w14:paraId="0CAFF455" w14:textId="77777777" w:rsidR="00C5587E" w:rsidRPr="002F4C4C" w:rsidRDefault="00C5587E" w:rsidP="00564172">
      <w:pPr>
        <w:pStyle w:val="ListParagraph"/>
        <w:numPr>
          <w:ilvl w:val="1"/>
          <w:numId w:val="16"/>
        </w:numPr>
        <w:spacing w:after="0" w:line="240" w:lineRule="auto"/>
        <w:ind w:left="993" w:hanging="567"/>
        <w:contextualSpacing w:val="0"/>
        <w:jc w:val="left"/>
        <w:rPr>
          <w:rFonts w:ascii="Avenir Book" w:hAnsi="Avenir Book"/>
          <w:sz w:val="22"/>
          <w:szCs w:val="22"/>
        </w:rPr>
      </w:pPr>
      <w:r w:rsidRPr="002F4C4C">
        <w:rPr>
          <w:rFonts w:ascii="Avenir Book" w:hAnsi="Avenir Book"/>
          <w:sz w:val="22"/>
          <w:szCs w:val="22"/>
        </w:rPr>
        <w:t xml:space="preserve">Until the CRPD, the specific issues and concerns for women and girls with disability were mainly articulated, in varying degrees, within the jurisprudence developed under the </w:t>
      </w:r>
      <w:r w:rsidRPr="002F4C4C">
        <w:rPr>
          <w:rFonts w:ascii="Avenir Book" w:hAnsi="Avenir Book"/>
          <w:i/>
          <w:sz w:val="22"/>
          <w:szCs w:val="22"/>
        </w:rPr>
        <w:t>Convention on the Elimination of all Forms of Discrimination against Women</w:t>
      </w:r>
      <w:r w:rsidRPr="002F4C4C">
        <w:rPr>
          <w:rFonts w:ascii="Avenir Book" w:hAnsi="Avenir Book"/>
          <w:sz w:val="22"/>
          <w:szCs w:val="22"/>
        </w:rPr>
        <w:t xml:space="preserve"> (CEDAW) and the </w:t>
      </w:r>
      <w:r w:rsidRPr="002F4C4C">
        <w:rPr>
          <w:rFonts w:ascii="Avenir Book" w:hAnsi="Avenir Book"/>
          <w:i/>
          <w:sz w:val="22"/>
          <w:szCs w:val="22"/>
        </w:rPr>
        <w:t>Convention on the Rights of the Child</w:t>
      </w:r>
      <w:r w:rsidRPr="002F4C4C">
        <w:rPr>
          <w:rFonts w:ascii="Avenir Book" w:hAnsi="Avenir Book"/>
          <w:sz w:val="22"/>
          <w:szCs w:val="22"/>
        </w:rPr>
        <w:t xml:space="preserve"> (CRC).  </w:t>
      </w:r>
    </w:p>
    <w:p w14:paraId="553D27FC" w14:textId="77777777" w:rsidR="00C5587E" w:rsidRPr="002F4C4C" w:rsidRDefault="00C5587E" w:rsidP="002F4C4C">
      <w:pPr>
        <w:spacing w:after="0" w:line="240" w:lineRule="auto"/>
        <w:jc w:val="left"/>
        <w:rPr>
          <w:rFonts w:ascii="Avenir Book" w:hAnsi="Avenir Book"/>
          <w:sz w:val="22"/>
          <w:szCs w:val="22"/>
        </w:rPr>
      </w:pPr>
    </w:p>
    <w:p w14:paraId="2633D6D9" w14:textId="77777777" w:rsidR="00C5587E" w:rsidRPr="002F4C4C" w:rsidRDefault="00C5587E" w:rsidP="00564172">
      <w:pPr>
        <w:pStyle w:val="ListParagraph"/>
        <w:numPr>
          <w:ilvl w:val="1"/>
          <w:numId w:val="16"/>
        </w:numPr>
        <w:spacing w:after="120" w:line="240" w:lineRule="auto"/>
        <w:ind w:left="992" w:hanging="567"/>
        <w:contextualSpacing w:val="0"/>
        <w:jc w:val="left"/>
        <w:rPr>
          <w:rFonts w:ascii="Avenir Book" w:hAnsi="Avenir Book"/>
          <w:sz w:val="22"/>
          <w:szCs w:val="22"/>
        </w:rPr>
      </w:pPr>
      <w:r w:rsidRPr="002F4C4C">
        <w:rPr>
          <w:rFonts w:ascii="Avenir Book" w:hAnsi="Avenir Book"/>
          <w:sz w:val="22"/>
          <w:szCs w:val="22"/>
        </w:rPr>
        <w:t>However, the CRPD explicitly acknowledges different layers or intersections of identity, through its preamble paragraph (p) that highlights concern about:</w:t>
      </w:r>
    </w:p>
    <w:p w14:paraId="2DC616AE" w14:textId="283299EF" w:rsidR="00C5587E" w:rsidRPr="002F4C4C" w:rsidRDefault="00C5587E" w:rsidP="002F4C4C">
      <w:pPr>
        <w:pStyle w:val="ListParagraph"/>
        <w:spacing w:after="0" w:line="240" w:lineRule="auto"/>
        <w:ind w:left="1276" w:right="720"/>
        <w:contextualSpacing w:val="0"/>
        <w:jc w:val="left"/>
        <w:rPr>
          <w:rFonts w:ascii="Avenir Book" w:hAnsi="Avenir Book"/>
          <w:sz w:val="22"/>
          <w:szCs w:val="22"/>
        </w:rPr>
      </w:pPr>
      <w:r w:rsidRPr="002F4C4C">
        <w:rPr>
          <w:rFonts w:ascii="Avenir Book" w:hAnsi="Avenir Book"/>
          <w:sz w:val="22"/>
          <w:szCs w:val="22"/>
        </w:rPr>
        <w:t>“the difficult conditions faced by persons with disabilities who are subject to multiple and aggravated forms of discrimination on the basis of race, colour, sex, language, religion, political or other opinion, national, ethnic, indigenous or social origin, property, birth, age or other status”.</w:t>
      </w:r>
      <w:r w:rsidR="00B374BE" w:rsidRPr="002F4C4C">
        <w:rPr>
          <w:rStyle w:val="FootnoteReference"/>
          <w:rFonts w:ascii="Avenir Book" w:hAnsi="Avenir Book"/>
          <w:sz w:val="22"/>
          <w:szCs w:val="22"/>
        </w:rPr>
        <w:footnoteReference w:id="95"/>
      </w:r>
    </w:p>
    <w:p w14:paraId="2360CE81" w14:textId="77777777" w:rsidR="00C5587E" w:rsidRPr="002F4C4C" w:rsidRDefault="00C5587E" w:rsidP="002F4C4C">
      <w:pPr>
        <w:spacing w:after="0" w:line="240" w:lineRule="auto"/>
        <w:jc w:val="left"/>
        <w:rPr>
          <w:rFonts w:ascii="Avenir Book" w:hAnsi="Avenir Book"/>
          <w:sz w:val="22"/>
          <w:szCs w:val="22"/>
        </w:rPr>
      </w:pPr>
    </w:p>
    <w:p w14:paraId="53DEF4AB" w14:textId="58B16312" w:rsidR="00C5587E" w:rsidRPr="002F4C4C" w:rsidRDefault="00C5587E" w:rsidP="00564172">
      <w:pPr>
        <w:pStyle w:val="ListParagraph"/>
        <w:numPr>
          <w:ilvl w:val="1"/>
          <w:numId w:val="16"/>
        </w:numPr>
        <w:spacing w:line="240" w:lineRule="auto"/>
        <w:ind w:left="993" w:hanging="567"/>
        <w:jc w:val="left"/>
        <w:rPr>
          <w:rFonts w:ascii="Avenir Book" w:hAnsi="Avenir Book"/>
          <w:sz w:val="22"/>
          <w:szCs w:val="22"/>
        </w:rPr>
      </w:pPr>
      <w:r w:rsidRPr="002F4C4C">
        <w:rPr>
          <w:rFonts w:ascii="Avenir Book" w:hAnsi="Avenir Book"/>
          <w:sz w:val="22"/>
          <w:szCs w:val="22"/>
        </w:rPr>
        <w:t>Intersectional discrimination acknowledges that people with disability do not experience discrimination as a homogenous group. It recognises the “multidimensional layers of identities, statuses and life realities”</w:t>
      </w:r>
      <w:r w:rsidRPr="002F4C4C">
        <w:rPr>
          <w:rStyle w:val="FootnoteReference"/>
          <w:rFonts w:ascii="Avenir Book" w:hAnsi="Avenir Book"/>
          <w:sz w:val="22"/>
          <w:szCs w:val="22"/>
        </w:rPr>
        <w:footnoteReference w:id="96"/>
      </w:r>
      <w:r w:rsidRPr="002F4C4C">
        <w:rPr>
          <w:rFonts w:ascii="Avenir Book" w:hAnsi="Avenir Book"/>
          <w:sz w:val="22"/>
          <w:szCs w:val="22"/>
        </w:rPr>
        <w:t xml:space="preserve"> that “interact with each other at the same time in such a way as to be inseparable”.</w:t>
      </w:r>
      <w:r w:rsidRPr="002F4C4C">
        <w:rPr>
          <w:rStyle w:val="FootnoteReference"/>
          <w:rFonts w:ascii="Avenir Book" w:hAnsi="Avenir Book"/>
          <w:sz w:val="22"/>
          <w:szCs w:val="22"/>
        </w:rPr>
        <w:footnoteReference w:id="97"/>
      </w:r>
    </w:p>
    <w:p w14:paraId="2B5D1ABD" w14:textId="77777777" w:rsidR="00C5587E" w:rsidRPr="002F4C4C" w:rsidRDefault="00C5587E" w:rsidP="002F4C4C">
      <w:pPr>
        <w:pStyle w:val="ListParagraph"/>
        <w:spacing w:line="240" w:lineRule="auto"/>
        <w:ind w:left="0"/>
        <w:jc w:val="left"/>
        <w:rPr>
          <w:rFonts w:ascii="Avenir Book" w:hAnsi="Avenir Book"/>
          <w:sz w:val="22"/>
          <w:szCs w:val="22"/>
        </w:rPr>
      </w:pPr>
    </w:p>
    <w:p w14:paraId="1A5788B0" w14:textId="15A8864C" w:rsidR="00C5587E" w:rsidRPr="002F4C4C" w:rsidRDefault="00C5587E" w:rsidP="00564172">
      <w:pPr>
        <w:pStyle w:val="ListParagraph"/>
        <w:numPr>
          <w:ilvl w:val="1"/>
          <w:numId w:val="16"/>
        </w:numPr>
        <w:spacing w:after="120" w:line="240" w:lineRule="auto"/>
        <w:ind w:left="992" w:hanging="567"/>
        <w:contextualSpacing w:val="0"/>
        <w:jc w:val="left"/>
        <w:rPr>
          <w:rFonts w:ascii="Avenir Book" w:hAnsi="Avenir Book"/>
          <w:sz w:val="22"/>
          <w:szCs w:val="22"/>
        </w:rPr>
      </w:pPr>
      <w:r w:rsidRPr="002F4C4C">
        <w:rPr>
          <w:rFonts w:ascii="Avenir Book" w:hAnsi="Avenir Book"/>
          <w:sz w:val="22"/>
          <w:szCs w:val="22"/>
        </w:rPr>
        <w:lastRenderedPageBreak/>
        <w:t xml:space="preserve">Intersectional discrimination is specifically articulated for women and girls with disability and children with disability in the CRPD through the inclusion of article 6, </w:t>
      </w:r>
      <w:r w:rsidRPr="002F4C4C">
        <w:rPr>
          <w:rFonts w:ascii="Avenir Book" w:hAnsi="Avenir Book"/>
          <w:i/>
          <w:sz w:val="22"/>
          <w:szCs w:val="22"/>
        </w:rPr>
        <w:t>Women with disabilities</w:t>
      </w:r>
      <w:r w:rsidRPr="002F4C4C">
        <w:rPr>
          <w:rFonts w:ascii="Avenir Book" w:hAnsi="Avenir Book"/>
          <w:sz w:val="22"/>
          <w:szCs w:val="22"/>
        </w:rPr>
        <w:t xml:space="preserve"> and article 7, </w:t>
      </w:r>
      <w:r w:rsidRPr="002F4C4C">
        <w:rPr>
          <w:rFonts w:ascii="Avenir Book" w:hAnsi="Avenir Book"/>
          <w:i/>
          <w:sz w:val="22"/>
          <w:szCs w:val="22"/>
        </w:rPr>
        <w:t>Children with disabilities</w:t>
      </w:r>
      <w:r w:rsidRPr="002F4C4C">
        <w:rPr>
          <w:rFonts w:ascii="Avenir Book" w:hAnsi="Avenir Book"/>
          <w:sz w:val="22"/>
          <w:szCs w:val="22"/>
        </w:rPr>
        <w:t xml:space="preserve">. Intersectional discrimination recognises the diversity of women and girls with disability: </w:t>
      </w:r>
    </w:p>
    <w:p w14:paraId="2B2391AB" w14:textId="77777777" w:rsidR="00C5587E" w:rsidRPr="002F4C4C" w:rsidRDefault="00C5587E" w:rsidP="002F4C4C">
      <w:pPr>
        <w:pStyle w:val="ListParagraph"/>
        <w:spacing w:line="240" w:lineRule="auto"/>
        <w:ind w:left="1276" w:right="720"/>
        <w:jc w:val="left"/>
        <w:rPr>
          <w:rFonts w:ascii="Avenir Book" w:hAnsi="Avenir Book"/>
          <w:sz w:val="22"/>
          <w:szCs w:val="22"/>
        </w:rPr>
      </w:pPr>
      <w:r w:rsidRPr="002F4C4C">
        <w:rPr>
          <w:rFonts w:ascii="Avenir Book" w:hAnsi="Avenir Book"/>
          <w:sz w:val="22"/>
          <w:szCs w:val="22"/>
        </w:rPr>
        <w:t>“They include indigenous women; refugee, migrant, asylum-seeing and internally displaced women; women in detention (hospitals, residential institutions, juvenile or correctional facilities and prisons); women living in poverty; women from different ethnic, religious and racial backgrounds; women with multiple disabilities and high levels of support; women with albinism; and lesbian, bisexual and transgender women, as well as intersex persons.”</w:t>
      </w:r>
      <w:r w:rsidRPr="002F4C4C">
        <w:rPr>
          <w:rStyle w:val="FootnoteReference"/>
          <w:rFonts w:ascii="Avenir Book" w:hAnsi="Avenir Book"/>
          <w:sz w:val="22"/>
          <w:szCs w:val="22"/>
        </w:rPr>
        <w:footnoteReference w:id="98"/>
      </w:r>
      <w:r w:rsidRPr="002F4C4C">
        <w:rPr>
          <w:rFonts w:ascii="Avenir Book" w:hAnsi="Avenir Book"/>
          <w:sz w:val="22"/>
          <w:szCs w:val="22"/>
        </w:rPr>
        <w:t xml:space="preserve"> </w:t>
      </w:r>
    </w:p>
    <w:p w14:paraId="0E981CC6" w14:textId="77777777" w:rsidR="00C5587E" w:rsidRPr="002F4C4C" w:rsidRDefault="00C5587E" w:rsidP="002F4C4C">
      <w:pPr>
        <w:pStyle w:val="ListParagraph"/>
        <w:spacing w:line="240" w:lineRule="auto"/>
        <w:ind w:left="0"/>
        <w:jc w:val="left"/>
        <w:rPr>
          <w:rFonts w:ascii="Avenir Book" w:hAnsi="Avenir Book"/>
          <w:sz w:val="22"/>
          <w:szCs w:val="22"/>
        </w:rPr>
      </w:pPr>
    </w:p>
    <w:p w14:paraId="7C948EA0" w14:textId="77777777" w:rsidR="00C5587E" w:rsidRPr="002F4C4C" w:rsidRDefault="00C5587E" w:rsidP="00564172">
      <w:pPr>
        <w:pStyle w:val="ListParagraph"/>
        <w:numPr>
          <w:ilvl w:val="1"/>
          <w:numId w:val="16"/>
        </w:numPr>
        <w:spacing w:after="0" w:line="240" w:lineRule="auto"/>
        <w:ind w:left="993" w:hanging="567"/>
        <w:contextualSpacing w:val="0"/>
        <w:jc w:val="left"/>
        <w:rPr>
          <w:rFonts w:ascii="Avenir Book" w:hAnsi="Avenir Book"/>
          <w:sz w:val="22"/>
          <w:szCs w:val="22"/>
        </w:rPr>
      </w:pPr>
      <w:r w:rsidRPr="002F4C4C">
        <w:rPr>
          <w:rFonts w:ascii="Avenir Book" w:hAnsi="Avenir Book"/>
          <w:sz w:val="22"/>
          <w:szCs w:val="22"/>
        </w:rPr>
        <w:t>Article 6 recognises “that women and girls with disabilities are subject to multiple discrimination”,</w:t>
      </w:r>
      <w:r w:rsidRPr="002F4C4C">
        <w:rPr>
          <w:rStyle w:val="FootnoteReference"/>
          <w:rFonts w:ascii="Avenir Book" w:hAnsi="Avenir Book"/>
          <w:sz w:val="22"/>
          <w:szCs w:val="22"/>
        </w:rPr>
        <w:footnoteReference w:id="99"/>
      </w:r>
      <w:r w:rsidRPr="002F4C4C">
        <w:rPr>
          <w:rFonts w:ascii="Avenir Book" w:hAnsi="Avenir Book"/>
          <w:sz w:val="22"/>
          <w:szCs w:val="22"/>
        </w:rPr>
        <w:t xml:space="preserve"> which establishes “the first binding intersectionality clause in a human rights treaty”.</w:t>
      </w:r>
      <w:r w:rsidRPr="002F4C4C">
        <w:rPr>
          <w:rStyle w:val="FootnoteReference"/>
          <w:rFonts w:ascii="Avenir Book" w:hAnsi="Avenir Book"/>
          <w:sz w:val="22"/>
          <w:szCs w:val="22"/>
        </w:rPr>
        <w:footnoteReference w:id="100"/>
      </w:r>
      <w:r w:rsidRPr="002F4C4C">
        <w:rPr>
          <w:rFonts w:ascii="Avenir Book" w:hAnsi="Avenir Book"/>
          <w:sz w:val="22"/>
          <w:szCs w:val="22"/>
        </w:rPr>
        <w:t xml:space="preserve"> Importantly, article 6 is a cross-cutting article that relates to all other articles of the CRPD.</w:t>
      </w:r>
      <w:r w:rsidRPr="002F4C4C">
        <w:rPr>
          <w:rStyle w:val="FootnoteReference"/>
          <w:rFonts w:ascii="Avenir Book" w:hAnsi="Avenir Book"/>
          <w:sz w:val="22"/>
          <w:szCs w:val="22"/>
        </w:rPr>
        <w:footnoteReference w:id="101"/>
      </w:r>
      <w:r w:rsidRPr="002F4C4C">
        <w:rPr>
          <w:rFonts w:ascii="Avenir Book" w:hAnsi="Avenir Book"/>
          <w:sz w:val="22"/>
          <w:szCs w:val="22"/>
        </w:rPr>
        <w:t xml:space="preserve"> This means that the issues and concerns of women and girls with disability must be included in all actions to implement the CRPD, including the implementation of “positive measures… to ensure that women with disabilities are protected against multiple discrimination and can enjoy human rights and fundamental freedoms on an equal basis with others”.</w:t>
      </w:r>
      <w:r w:rsidRPr="002F4C4C">
        <w:rPr>
          <w:rStyle w:val="FootnoteReference"/>
          <w:rFonts w:ascii="Avenir Book" w:hAnsi="Avenir Book"/>
          <w:sz w:val="22"/>
          <w:szCs w:val="22"/>
        </w:rPr>
        <w:footnoteReference w:id="102"/>
      </w:r>
      <w:r w:rsidRPr="002F4C4C">
        <w:rPr>
          <w:rFonts w:ascii="Avenir Book" w:hAnsi="Avenir Book"/>
          <w:sz w:val="22"/>
          <w:szCs w:val="22"/>
        </w:rPr>
        <w:t xml:space="preserve"> </w:t>
      </w:r>
    </w:p>
    <w:p w14:paraId="6A3080E4" w14:textId="77777777" w:rsidR="00C5587E" w:rsidRPr="002F4C4C" w:rsidRDefault="00C5587E" w:rsidP="002F4C4C">
      <w:pPr>
        <w:spacing w:after="0" w:line="240" w:lineRule="auto"/>
        <w:jc w:val="left"/>
        <w:rPr>
          <w:rFonts w:ascii="Avenir Book" w:hAnsi="Avenir Book"/>
          <w:sz w:val="22"/>
          <w:szCs w:val="22"/>
        </w:rPr>
      </w:pPr>
    </w:p>
    <w:p w14:paraId="61CD92E7" w14:textId="77777777" w:rsidR="00C5587E" w:rsidRPr="002F4C4C" w:rsidRDefault="00C5587E" w:rsidP="00564172">
      <w:pPr>
        <w:pStyle w:val="ListParagraph"/>
        <w:numPr>
          <w:ilvl w:val="1"/>
          <w:numId w:val="16"/>
        </w:numPr>
        <w:spacing w:after="120" w:line="240" w:lineRule="auto"/>
        <w:ind w:left="992" w:hanging="567"/>
        <w:contextualSpacing w:val="0"/>
        <w:jc w:val="left"/>
        <w:rPr>
          <w:rFonts w:ascii="Avenir Book" w:hAnsi="Avenir Book"/>
          <w:sz w:val="22"/>
          <w:szCs w:val="22"/>
        </w:rPr>
      </w:pPr>
      <w:r w:rsidRPr="002F4C4C">
        <w:rPr>
          <w:rFonts w:ascii="Avenir Book" w:hAnsi="Avenir Book"/>
          <w:sz w:val="22"/>
          <w:szCs w:val="22"/>
        </w:rPr>
        <w:t>Article 6 ensures that the CRPD is not gender neutral, and this is reinforced by other elements within the CRPD:</w:t>
      </w:r>
    </w:p>
    <w:p w14:paraId="26898D39" w14:textId="77777777" w:rsidR="00C5587E" w:rsidRPr="002F4C4C" w:rsidRDefault="00C5587E" w:rsidP="00564172">
      <w:pPr>
        <w:pStyle w:val="ListParagraph"/>
        <w:numPr>
          <w:ilvl w:val="0"/>
          <w:numId w:val="3"/>
        </w:numPr>
        <w:snapToGrid w:val="0"/>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Preamble paragraph (s) emphasises “the need to incorporate a gender perspective in all efforts to promote the full enjoyment of human rights and fundamental freedoms by persons with disabilities”;</w:t>
      </w:r>
    </w:p>
    <w:p w14:paraId="05FB8D5E" w14:textId="77777777" w:rsidR="00C5587E" w:rsidRPr="002F4C4C" w:rsidRDefault="00C5587E" w:rsidP="00564172">
      <w:pPr>
        <w:pStyle w:val="ListParagraph"/>
        <w:numPr>
          <w:ilvl w:val="0"/>
          <w:numId w:val="3"/>
        </w:numPr>
        <w:snapToGrid w:val="0"/>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 xml:space="preserve">Article 3 (g) contains the principle “Equality between men and women”; and </w:t>
      </w:r>
    </w:p>
    <w:p w14:paraId="1E6AF178" w14:textId="15A84B81" w:rsidR="00C5587E" w:rsidRPr="002F4C4C" w:rsidRDefault="00C5587E" w:rsidP="00564172">
      <w:pPr>
        <w:pStyle w:val="ListParagraph"/>
        <w:numPr>
          <w:ilvl w:val="0"/>
          <w:numId w:val="3"/>
        </w:numPr>
        <w:spacing w:line="240" w:lineRule="auto"/>
        <w:ind w:left="1276" w:hanging="283"/>
        <w:jc w:val="left"/>
        <w:rPr>
          <w:rFonts w:ascii="Avenir Book" w:hAnsi="Avenir Book"/>
          <w:sz w:val="22"/>
          <w:szCs w:val="22"/>
        </w:rPr>
      </w:pPr>
      <w:r w:rsidRPr="002F4C4C">
        <w:rPr>
          <w:rFonts w:ascii="Avenir Book" w:hAnsi="Avenir Book"/>
          <w:sz w:val="22"/>
          <w:szCs w:val="22"/>
        </w:rPr>
        <w:t xml:space="preserve">Specific </w:t>
      </w:r>
      <w:r w:rsidR="000C4F2E" w:rsidRPr="002F4C4C">
        <w:rPr>
          <w:rFonts w:ascii="Avenir Book" w:hAnsi="Avenir Book"/>
          <w:sz w:val="22"/>
          <w:szCs w:val="22"/>
        </w:rPr>
        <w:t xml:space="preserve">references to </w:t>
      </w:r>
      <w:r w:rsidRPr="002F4C4C">
        <w:rPr>
          <w:rFonts w:ascii="Avenir Book" w:hAnsi="Avenir Book"/>
          <w:sz w:val="22"/>
          <w:szCs w:val="22"/>
        </w:rPr>
        <w:t xml:space="preserve">‘sex’, ‘gender’ and ‘age’ </w:t>
      </w:r>
      <w:r w:rsidR="000C4F2E" w:rsidRPr="002F4C4C">
        <w:rPr>
          <w:rFonts w:ascii="Avenir Book" w:hAnsi="Avenir Book"/>
          <w:sz w:val="22"/>
          <w:szCs w:val="22"/>
        </w:rPr>
        <w:t xml:space="preserve">are included </w:t>
      </w:r>
      <w:r w:rsidRPr="002F4C4C">
        <w:rPr>
          <w:rFonts w:ascii="Avenir Book" w:hAnsi="Avenir Book"/>
          <w:sz w:val="22"/>
          <w:szCs w:val="22"/>
        </w:rPr>
        <w:t>throughout the CRPD.</w:t>
      </w:r>
      <w:r w:rsidRPr="002F4C4C">
        <w:rPr>
          <w:rStyle w:val="FootnoteReference"/>
          <w:rFonts w:ascii="Avenir Book" w:hAnsi="Avenir Book"/>
          <w:sz w:val="22"/>
          <w:szCs w:val="22"/>
        </w:rPr>
        <w:footnoteReference w:id="103"/>
      </w:r>
    </w:p>
    <w:p w14:paraId="07BE436B" w14:textId="77777777" w:rsidR="00C5587E" w:rsidRPr="002F4C4C" w:rsidRDefault="00C5587E" w:rsidP="002F4C4C">
      <w:pPr>
        <w:pStyle w:val="ListParagraph"/>
        <w:spacing w:line="240" w:lineRule="auto"/>
        <w:ind w:left="0"/>
        <w:jc w:val="left"/>
        <w:rPr>
          <w:rFonts w:ascii="Avenir Book" w:hAnsi="Avenir Book"/>
          <w:sz w:val="22"/>
          <w:szCs w:val="22"/>
        </w:rPr>
      </w:pPr>
    </w:p>
    <w:p w14:paraId="292D038A" w14:textId="4475C7AD" w:rsidR="00C5587E" w:rsidRPr="002F4C4C" w:rsidRDefault="00C5587E" w:rsidP="00564172">
      <w:pPr>
        <w:pStyle w:val="ListParagraph"/>
        <w:numPr>
          <w:ilvl w:val="1"/>
          <w:numId w:val="16"/>
        </w:numPr>
        <w:spacing w:line="240" w:lineRule="auto"/>
        <w:ind w:left="993" w:hanging="567"/>
        <w:jc w:val="left"/>
        <w:rPr>
          <w:rFonts w:ascii="Avenir Book" w:hAnsi="Avenir Book"/>
          <w:sz w:val="22"/>
          <w:szCs w:val="22"/>
        </w:rPr>
      </w:pPr>
      <w:r w:rsidRPr="002F4C4C">
        <w:rPr>
          <w:rFonts w:ascii="Avenir Book" w:hAnsi="Avenir Book"/>
          <w:sz w:val="22"/>
          <w:szCs w:val="22"/>
        </w:rPr>
        <w:t xml:space="preserve">Guidance on interpretation and implementation of article 6 has been developed by the CRPD Committee in its </w:t>
      </w:r>
      <w:r w:rsidRPr="002F4C4C">
        <w:rPr>
          <w:rFonts w:ascii="Avenir Book" w:hAnsi="Avenir Book"/>
          <w:i/>
          <w:sz w:val="22"/>
          <w:szCs w:val="22"/>
        </w:rPr>
        <w:t>General Comment No. 3 (2016) on women and girls with disabilities</w:t>
      </w:r>
      <w:r w:rsidRPr="002F4C4C">
        <w:rPr>
          <w:rFonts w:ascii="Avenir Book" w:hAnsi="Avenir Book"/>
          <w:sz w:val="22"/>
          <w:szCs w:val="22"/>
        </w:rPr>
        <w:t xml:space="preserve">. This General Comment highlights that women and girls with disability </w:t>
      </w:r>
      <w:r w:rsidR="00A44DD2" w:rsidRPr="002F4C4C">
        <w:rPr>
          <w:rFonts w:ascii="Avenir Book" w:hAnsi="Avenir Book"/>
          <w:sz w:val="22"/>
          <w:szCs w:val="22"/>
        </w:rPr>
        <w:t>“are more likely to be discriminated against than men and boys with disabilities and women and girls without disabilities”.</w:t>
      </w:r>
      <w:r w:rsidR="00917FF1" w:rsidRPr="002F4C4C">
        <w:rPr>
          <w:rStyle w:val="FootnoteReference"/>
          <w:rFonts w:ascii="Avenir Book" w:hAnsi="Avenir Book"/>
          <w:sz w:val="22"/>
          <w:szCs w:val="22"/>
        </w:rPr>
        <w:footnoteReference w:id="104"/>
      </w:r>
      <w:r w:rsidR="00917FF1" w:rsidRPr="002F4C4C">
        <w:rPr>
          <w:rFonts w:ascii="Avenir Book" w:hAnsi="Avenir Book"/>
          <w:sz w:val="22"/>
          <w:szCs w:val="22"/>
        </w:rPr>
        <w:t xml:space="preserve"> </w:t>
      </w:r>
      <w:r w:rsidR="00AB51D0" w:rsidRPr="002F4C4C">
        <w:rPr>
          <w:rFonts w:ascii="Avenir Book" w:hAnsi="Avenir Book"/>
          <w:sz w:val="22"/>
          <w:szCs w:val="22"/>
        </w:rPr>
        <w:t xml:space="preserve">Intersectional discrimination means that women and girls with disability </w:t>
      </w:r>
      <w:r w:rsidRPr="002F4C4C">
        <w:rPr>
          <w:rFonts w:ascii="Avenir Book" w:hAnsi="Avenir Book"/>
          <w:sz w:val="22"/>
          <w:szCs w:val="22"/>
        </w:rPr>
        <w:t>experience the “same harmful practices”</w:t>
      </w:r>
      <w:r w:rsidRPr="002F4C4C">
        <w:rPr>
          <w:rStyle w:val="FootnoteReference"/>
          <w:rFonts w:ascii="Avenir Book" w:hAnsi="Avenir Book"/>
          <w:sz w:val="22"/>
          <w:szCs w:val="22"/>
        </w:rPr>
        <w:footnoteReference w:id="105"/>
      </w:r>
      <w:r w:rsidRPr="002F4C4C">
        <w:rPr>
          <w:rFonts w:ascii="Avenir Book" w:hAnsi="Avenir Book"/>
          <w:sz w:val="22"/>
          <w:szCs w:val="22"/>
        </w:rPr>
        <w:t xml:space="preserve"> committed against women </w:t>
      </w:r>
      <w:r w:rsidR="00AB51D0" w:rsidRPr="002F4C4C">
        <w:rPr>
          <w:rFonts w:ascii="Avenir Book" w:hAnsi="Avenir Book"/>
          <w:sz w:val="22"/>
          <w:szCs w:val="22"/>
        </w:rPr>
        <w:t xml:space="preserve">and girls </w:t>
      </w:r>
      <w:r w:rsidRPr="002F4C4C">
        <w:rPr>
          <w:rFonts w:ascii="Avenir Book" w:hAnsi="Avenir Book"/>
          <w:sz w:val="22"/>
          <w:szCs w:val="22"/>
        </w:rPr>
        <w:t xml:space="preserve">without disability but </w:t>
      </w:r>
      <w:r w:rsidR="00AB51D0" w:rsidRPr="002F4C4C">
        <w:rPr>
          <w:rFonts w:ascii="Avenir Book" w:hAnsi="Avenir Book"/>
          <w:sz w:val="22"/>
          <w:szCs w:val="22"/>
        </w:rPr>
        <w:t xml:space="preserve">they </w:t>
      </w:r>
      <w:r w:rsidRPr="002F4C4C">
        <w:rPr>
          <w:rFonts w:ascii="Avenir Book" w:hAnsi="Avenir Book"/>
          <w:sz w:val="22"/>
          <w:szCs w:val="22"/>
        </w:rPr>
        <w:t xml:space="preserve">also experience specific and unique forms </w:t>
      </w:r>
      <w:r w:rsidRPr="002F4C4C">
        <w:rPr>
          <w:rFonts w:ascii="Avenir Book" w:hAnsi="Avenir Book"/>
          <w:sz w:val="22"/>
          <w:szCs w:val="22"/>
        </w:rPr>
        <w:lastRenderedPageBreak/>
        <w:t xml:space="preserve">of violence.  This includes the </w:t>
      </w:r>
      <w:r w:rsidR="00F83D18" w:rsidRPr="002F4C4C">
        <w:rPr>
          <w:rFonts w:ascii="Avenir Book" w:hAnsi="Avenir Book"/>
          <w:sz w:val="22"/>
          <w:szCs w:val="22"/>
        </w:rPr>
        <w:t>denial</w:t>
      </w:r>
      <w:r w:rsidRPr="002F4C4C">
        <w:rPr>
          <w:rFonts w:ascii="Avenir Book" w:hAnsi="Avenir Book"/>
          <w:sz w:val="22"/>
          <w:szCs w:val="22"/>
        </w:rPr>
        <w:t xml:space="preserve"> of free and informed consent</w:t>
      </w:r>
      <w:r w:rsidR="00F83D18" w:rsidRPr="002F4C4C">
        <w:rPr>
          <w:rFonts w:ascii="Avenir Book" w:hAnsi="Avenir Book"/>
          <w:sz w:val="22"/>
          <w:szCs w:val="22"/>
        </w:rPr>
        <w:t xml:space="preserve">, </w:t>
      </w:r>
      <w:r w:rsidRPr="002F4C4C">
        <w:rPr>
          <w:rFonts w:ascii="Avenir Book" w:hAnsi="Avenir Book"/>
          <w:sz w:val="22"/>
          <w:szCs w:val="22"/>
        </w:rPr>
        <w:t>compulsory detention and treatment, economic exploitation, violations of sexual and reproductive rights, and forms of violence that constitute torture and ill-treatment, such as forced or coerced sterilisation, the administration of electroshock treatment and the use of chemical, physical or mechanical restraints, and isolation and seclusion.</w:t>
      </w:r>
      <w:r w:rsidRPr="002F4C4C">
        <w:rPr>
          <w:rStyle w:val="FootnoteReference"/>
          <w:rFonts w:ascii="Avenir Book" w:hAnsi="Avenir Book"/>
          <w:sz w:val="22"/>
          <w:szCs w:val="22"/>
        </w:rPr>
        <w:footnoteReference w:id="106"/>
      </w:r>
      <w:r w:rsidRPr="002F4C4C">
        <w:rPr>
          <w:rFonts w:ascii="Avenir Book" w:hAnsi="Avenir Book"/>
          <w:sz w:val="22"/>
          <w:szCs w:val="22"/>
        </w:rPr>
        <w:t xml:space="preserve"> </w:t>
      </w:r>
    </w:p>
    <w:p w14:paraId="3EED8A4B" w14:textId="77777777" w:rsidR="00C5587E" w:rsidRPr="002F4C4C" w:rsidRDefault="00C5587E" w:rsidP="002F4C4C">
      <w:pPr>
        <w:pStyle w:val="ListParagraph"/>
        <w:spacing w:line="240" w:lineRule="auto"/>
        <w:ind w:left="993"/>
        <w:jc w:val="left"/>
        <w:rPr>
          <w:rFonts w:ascii="Avenir Roman" w:hAnsi="Avenir Roman"/>
          <w:sz w:val="22"/>
          <w:szCs w:val="22"/>
        </w:rPr>
      </w:pPr>
    </w:p>
    <w:p w14:paraId="02FDA133" w14:textId="05016594" w:rsidR="00874940" w:rsidRPr="002F4C4C" w:rsidRDefault="00874940" w:rsidP="00564172">
      <w:pPr>
        <w:pStyle w:val="ListParagraph"/>
        <w:numPr>
          <w:ilvl w:val="1"/>
          <w:numId w:val="16"/>
        </w:numPr>
        <w:spacing w:line="240" w:lineRule="auto"/>
        <w:ind w:left="993" w:hanging="567"/>
        <w:jc w:val="left"/>
        <w:rPr>
          <w:rFonts w:ascii="Avenir Roman" w:hAnsi="Avenir Roman"/>
          <w:sz w:val="22"/>
          <w:szCs w:val="22"/>
        </w:rPr>
      </w:pPr>
      <w:r w:rsidRPr="002F4C4C">
        <w:rPr>
          <w:rFonts w:ascii="Avenir Book" w:hAnsi="Avenir Book"/>
          <w:sz w:val="22"/>
          <w:szCs w:val="22"/>
        </w:rPr>
        <w:t>I</w:t>
      </w:r>
      <w:r w:rsidR="00A44DD2" w:rsidRPr="002F4C4C">
        <w:rPr>
          <w:rFonts w:ascii="Avenir Book" w:hAnsi="Avenir Book"/>
          <w:sz w:val="22"/>
          <w:szCs w:val="22"/>
        </w:rPr>
        <w:t xml:space="preserve">ntersectional discrimination </w:t>
      </w:r>
      <w:r w:rsidRPr="002F4C4C">
        <w:rPr>
          <w:rFonts w:ascii="Avenir Book" w:hAnsi="Avenir Book"/>
          <w:sz w:val="22"/>
          <w:szCs w:val="22"/>
        </w:rPr>
        <w:t>“can prevent the full and equal enjoyment of the right to live independently and to be included in the community”.</w:t>
      </w:r>
      <w:r w:rsidR="00917FF1" w:rsidRPr="002F4C4C">
        <w:rPr>
          <w:rStyle w:val="FootnoteReference"/>
          <w:rFonts w:ascii="Avenir Book" w:hAnsi="Avenir Book"/>
          <w:sz w:val="22"/>
          <w:szCs w:val="22"/>
        </w:rPr>
        <w:footnoteReference w:id="107"/>
      </w:r>
      <w:r w:rsidRPr="002F4C4C">
        <w:rPr>
          <w:rFonts w:ascii="Avenir Book" w:hAnsi="Avenir Book"/>
          <w:sz w:val="22"/>
          <w:szCs w:val="22"/>
        </w:rPr>
        <w:t xml:space="preserve"> For </w:t>
      </w:r>
      <w:r w:rsidR="00AB51D0" w:rsidRPr="002F4C4C">
        <w:rPr>
          <w:rFonts w:ascii="Avenir Book" w:hAnsi="Avenir Book"/>
          <w:sz w:val="22"/>
          <w:szCs w:val="22"/>
        </w:rPr>
        <w:t>women and girls with disability</w:t>
      </w:r>
      <w:r w:rsidRPr="002F4C4C">
        <w:rPr>
          <w:rFonts w:ascii="Avenir Book" w:hAnsi="Avenir Book"/>
          <w:sz w:val="22"/>
          <w:szCs w:val="22"/>
        </w:rPr>
        <w:t xml:space="preserve">, intersectional discrimination </w:t>
      </w:r>
      <w:r w:rsidR="00A44DD2" w:rsidRPr="002F4C4C">
        <w:rPr>
          <w:rFonts w:ascii="Avenir Book" w:hAnsi="Avenir Book"/>
          <w:sz w:val="22"/>
          <w:szCs w:val="22"/>
        </w:rPr>
        <w:t>result</w:t>
      </w:r>
      <w:r w:rsidRPr="002F4C4C">
        <w:rPr>
          <w:rFonts w:ascii="Avenir Book" w:hAnsi="Avenir Book"/>
          <w:sz w:val="22"/>
          <w:szCs w:val="22"/>
        </w:rPr>
        <w:t>s</w:t>
      </w:r>
      <w:r w:rsidR="00A44DD2" w:rsidRPr="002F4C4C">
        <w:rPr>
          <w:rFonts w:ascii="Avenir Book" w:hAnsi="Avenir Book"/>
          <w:sz w:val="22"/>
          <w:szCs w:val="22"/>
        </w:rPr>
        <w:t xml:space="preserve"> in greater limitations on personal development, </w:t>
      </w:r>
      <w:r w:rsidR="00AB51D0" w:rsidRPr="002F4C4C">
        <w:rPr>
          <w:rFonts w:ascii="Avenir Book" w:hAnsi="Avenir Book"/>
          <w:sz w:val="22"/>
          <w:szCs w:val="22"/>
        </w:rPr>
        <w:t xml:space="preserve">autonomy, </w:t>
      </w:r>
      <w:r w:rsidR="008A4971" w:rsidRPr="002F4C4C">
        <w:rPr>
          <w:rFonts w:ascii="Avenir Book" w:hAnsi="Avenir Book"/>
          <w:sz w:val="22"/>
          <w:szCs w:val="22"/>
        </w:rPr>
        <w:t xml:space="preserve">liberty and security </w:t>
      </w:r>
      <w:r w:rsidR="00315AF2" w:rsidRPr="002F4C4C">
        <w:rPr>
          <w:rFonts w:ascii="Avenir Book" w:hAnsi="Avenir Book"/>
          <w:sz w:val="22"/>
          <w:szCs w:val="22"/>
        </w:rPr>
        <w:t xml:space="preserve">and </w:t>
      </w:r>
      <w:r w:rsidR="00AB51D0" w:rsidRPr="002F4C4C">
        <w:rPr>
          <w:rFonts w:ascii="Avenir Book" w:hAnsi="Avenir Book"/>
          <w:sz w:val="22"/>
          <w:szCs w:val="22"/>
        </w:rPr>
        <w:t>freedom to choose where and with whom to live</w:t>
      </w:r>
      <w:r w:rsidR="00315AF2" w:rsidRPr="002F4C4C">
        <w:rPr>
          <w:rFonts w:ascii="Avenir Book" w:hAnsi="Avenir Book"/>
          <w:sz w:val="22"/>
          <w:szCs w:val="22"/>
        </w:rPr>
        <w:t>.</w:t>
      </w:r>
      <w:r w:rsidR="00917FF1" w:rsidRPr="002F4C4C">
        <w:rPr>
          <w:rStyle w:val="FootnoteReference"/>
          <w:rFonts w:ascii="Avenir Book" w:hAnsi="Avenir Book"/>
          <w:sz w:val="22"/>
          <w:szCs w:val="22"/>
        </w:rPr>
        <w:footnoteReference w:id="108"/>
      </w:r>
      <w:r w:rsidR="00315AF2" w:rsidRPr="002F4C4C">
        <w:rPr>
          <w:rFonts w:ascii="Avenir Book" w:hAnsi="Avenir Book"/>
          <w:sz w:val="22"/>
          <w:szCs w:val="22"/>
        </w:rPr>
        <w:t xml:space="preserve"> They </w:t>
      </w:r>
      <w:r w:rsidR="008A4971" w:rsidRPr="002F4C4C">
        <w:rPr>
          <w:rFonts w:ascii="Avenir Book" w:hAnsi="Avenir Book"/>
          <w:sz w:val="22"/>
          <w:szCs w:val="22"/>
        </w:rPr>
        <w:t>are more likely to live in poverty</w:t>
      </w:r>
      <w:r w:rsidR="00315AF2" w:rsidRPr="002F4C4C">
        <w:rPr>
          <w:rFonts w:ascii="Avenir Book" w:hAnsi="Avenir Book"/>
          <w:sz w:val="22"/>
          <w:szCs w:val="22"/>
        </w:rPr>
        <w:t xml:space="preserve"> without an adequate standard of living</w:t>
      </w:r>
      <w:r w:rsidR="008A4971" w:rsidRPr="002F4C4C">
        <w:rPr>
          <w:rFonts w:ascii="Avenir Book" w:hAnsi="Avenir Book"/>
          <w:sz w:val="22"/>
          <w:szCs w:val="22"/>
        </w:rPr>
        <w:t>.</w:t>
      </w:r>
      <w:r w:rsidR="00917FF1" w:rsidRPr="002F4C4C">
        <w:rPr>
          <w:rStyle w:val="FootnoteReference"/>
          <w:rFonts w:ascii="Avenir Book" w:hAnsi="Avenir Book"/>
          <w:sz w:val="22"/>
          <w:szCs w:val="22"/>
        </w:rPr>
        <w:footnoteReference w:id="109"/>
      </w:r>
      <w:r w:rsidR="008A4971" w:rsidRPr="002F4C4C">
        <w:rPr>
          <w:rFonts w:ascii="Avenir Book" w:hAnsi="Avenir Book"/>
          <w:sz w:val="22"/>
          <w:szCs w:val="22"/>
        </w:rPr>
        <w:t xml:space="preserve"> There are </w:t>
      </w:r>
      <w:r w:rsidR="00AB51D0" w:rsidRPr="002F4C4C">
        <w:rPr>
          <w:rFonts w:ascii="Avenir Book" w:hAnsi="Avenir Book"/>
          <w:sz w:val="22"/>
          <w:szCs w:val="22"/>
        </w:rPr>
        <w:t>greater risks of all forms of institutionalisation and violence, abuse, neglect and exploitation</w:t>
      </w:r>
      <w:r w:rsidR="00315AF2" w:rsidRPr="002F4C4C">
        <w:rPr>
          <w:rFonts w:ascii="Avenir Book" w:hAnsi="Avenir Book"/>
          <w:sz w:val="22"/>
          <w:szCs w:val="22"/>
        </w:rPr>
        <w:t>,</w:t>
      </w:r>
      <w:r w:rsidR="00917FF1" w:rsidRPr="002F4C4C">
        <w:rPr>
          <w:rStyle w:val="FootnoteReference"/>
          <w:rFonts w:ascii="Avenir Book" w:hAnsi="Avenir Book"/>
          <w:sz w:val="22"/>
          <w:szCs w:val="22"/>
        </w:rPr>
        <w:footnoteReference w:id="110"/>
      </w:r>
      <w:r w:rsidR="00AB51D0" w:rsidRPr="002F4C4C">
        <w:rPr>
          <w:rFonts w:ascii="Avenir Book" w:hAnsi="Avenir Book"/>
          <w:sz w:val="22"/>
          <w:szCs w:val="22"/>
        </w:rPr>
        <w:t xml:space="preserve"> </w:t>
      </w:r>
      <w:r w:rsidR="008A4971" w:rsidRPr="002F4C4C">
        <w:rPr>
          <w:rFonts w:ascii="Avenir Book" w:hAnsi="Avenir Book"/>
          <w:sz w:val="22"/>
          <w:szCs w:val="22"/>
        </w:rPr>
        <w:t>and this is particularly the case for</w:t>
      </w:r>
      <w:r w:rsidR="00315AF2" w:rsidRPr="002F4C4C">
        <w:rPr>
          <w:rFonts w:ascii="Avenir Book" w:hAnsi="Avenir Book"/>
          <w:sz w:val="22"/>
          <w:szCs w:val="22"/>
        </w:rPr>
        <w:t xml:space="preserve"> o</w:t>
      </w:r>
      <w:r w:rsidR="00C5587E" w:rsidRPr="002F4C4C">
        <w:rPr>
          <w:rFonts w:ascii="Avenir Roman" w:hAnsi="Avenir Roman"/>
          <w:sz w:val="22"/>
          <w:szCs w:val="22"/>
        </w:rPr>
        <w:t xml:space="preserve">lder women with disability </w:t>
      </w:r>
      <w:r w:rsidR="00315AF2" w:rsidRPr="002F4C4C">
        <w:rPr>
          <w:rFonts w:ascii="Avenir Roman" w:hAnsi="Avenir Roman"/>
          <w:sz w:val="22"/>
          <w:szCs w:val="22"/>
        </w:rPr>
        <w:t>who experience</w:t>
      </w:r>
      <w:r w:rsidR="00C5587E" w:rsidRPr="002F4C4C">
        <w:rPr>
          <w:rFonts w:ascii="Avenir Roman" w:hAnsi="Avenir Roman"/>
          <w:sz w:val="22"/>
          <w:szCs w:val="22"/>
        </w:rPr>
        <w:t xml:space="preserve"> greater difficulties in accessing adequate housing</w:t>
      </w:r>
      <w:r w:rsidR="00315AF2" w:rsidRPr="002F4C4C">
        <w:rPr>
          <w:rFonts w:ascii="Avenir Roman" w:hAnsi="Avenir Roman"/>
          <w:sz w:val="22"/>
          <w:szCs w:val="22"/>
        </w:rPr>
        <w:t>.</w:t>
      </w:r>
      <w:r w:rsidR="00917FF1" w:rsidRPr="002F4C4C">
        <w:rPr>
          <w:rStyle w:val="FootnoteReference"/>
          <w:rFonts w:ascii="Avenir Roman" w:hAnsi="Avenir Roman"/>
          <w:sz w:val="22"/>
          <w:szCs w:val="22"/>
        </w:rPr>
        <w:footnoteReference w:id="111"/>
      </w:r>
      <w:r w:rsidR="00C5587E" w:rsidRPr="002F4C4C">
        <w:rPr>
          <w:rFonts w:ascii="Avenir Roman" w:hAnsi="Avenir Roman"/>
          <w:sz w:val="22"/>
          <w:szCs w:val="22"/>
        </w:rPr>
        <w:t xml:space="preserve"> </w:t>
      </w:r>
      <w:r w:rsidR="00315AF2" w:rsidRPr="002F4C4C">
        <w:rPr>
          <w:rFonts w:ascii="Avenir Roman" w:hAnsi="Avenir Roman"/>
          <w:sz w:val="22"/>
          <w:szCs w:val="22"/>
        </w:rPr>
        <w:t>Personal choice and</w:t>
      </w:r>
      <w:r w:rsidR="008A4971" w:rsidRPr="002F4C4C">
        <w:rPr>
          <w:rFonts w:ascii="Avenir Roman" w:hAnsi="Avenir Roman"/>
          <w:sz w:val="22"/>
          <w:szCs w:val="22"/>
        </w:rPr>
        <w:t xml:space="preserve"> </w:t>
      </w:r>
      <w:r w:rsidR="00C5587E" w:rsidRPr="002F4C4C">
        <w:rPr>
          <w:rFonts w:ascii="Avenir Roman" w:hAnsi="Avenir Roman"/>
          <w:sz w:val="22"/>
          <w:szCs w:val="22"/>
        </w:rPr>
        <w:t xml:space="preserve">decision-making regarding sexual and reproductive health is </w:t>
      </w:r>
      <w:r w:rsidR="00315AF2" w:rsidRPr="002F4C4C">
        <w:rPr>
          <w:rFonts w:ascii="Avenir Roman" w:hAnsi="Avenir Roman"/>
          <w:sz w:val="22"/>
          <w:szCs w:val="22"/>
        </w:rPr>
        <w:t>often</w:t>
      </w:r>
      <w:r w:rsidR="00C5587E" w:rsidRPr="002F4C4C">
        <w:rPr>
          <w:rFonts w:ascii="Avenir Roman" w:hAnsi="Avenir Roman"/>
          <w:sz w:val="22"/>
          <w:szCs w:val="22"/>
        </w:rPr>
        <w:t xml:space="preserve"> </w:t>
      </w:r>
      <w:r w:rsidR="00315AF2" w:rsidRPr="002F4C4C">
        <w:rPr>
          <w:rFonts w:ascii="Avenir Roman" w:hAnsi="Avenir Roman"/>
          <w:sz w:val="22"/>
          <w:szCs w:val="22"/>
        </w:rPr>
        <w:t>denied</w:t>
      </w:r>
      <w:r w:rsidR="00C5587E" w:rsidRPr="002F4C4C">
        <w:rPr>
          <w:rFonts w:ascii="Avenir Roman" w:hAnsi="Avenir Roman"/>
          <w:sz w:val="22"/>
          <w:szCs w:val="22"/>
        </w:rPr>
        <w:t xml:space="preserve"> or ignored resulting in </w:t>
      </w:r>
      <w:r w:rsidRPr="002F4C4C">
        <w:rPr>
          <w:rFonts w:ascii="Avenir Roman" w:hAnsi="Avenir Roman"/>
          <w:sz w:val="22"/>
          <w:szCs w:val="22"/>
        </w:rPr>
        <w:t>gender-based</w:t>
      </w:r>
      <w:r w:rsidR="00035B57" w:rsidRPr="002F4C4C">
        <w:rPr>
          <w:rFonts w:ascii="Avenir Roman" w:hAnsi="Avenir Roman"/>
          <w:sz w:val="22"/>
          <w:szCs w:val="22"/>
        </w:rPr>
        <w:t xml:space="preserve"> violence, such as imposed menstrual management and </w:t>
      </w:r>
      <w:r w:rsidR="00694DA3" w:rsidRPr="002F4C4C">
        <w:rPr>
          <w:rFonts w:ascii="Avenir Roman" w:hAnsi="Avenir Roman"/>
          <w:sz w:val="22"/>
          <w:szCs w:val="22"/>
        </w:rPr>
        <w:t>suppression</w:t>
      </w:r>
      <w:r w:rsidR="00035B57" w:rsidRPr="002F4C4C">
        <w:rPr>
          <w:rFonts w:ascii="Avenir Roman" w:hAnsi="Avenir Roman"/>
          <w:sz w:val="22"/>
          <w:szCs w:val="22"/>
        </w:rPr>
        <w:t xml:space="preserve"> practices, </w:t>
      </w:r>
      <w:r w:rsidR="00C5587E" w:rsidRPr="002F4C4C">
        <w:rPr>
          <w:rFonts w:ascii="Avenir Roman" w:hAnsi="Avenir Roman"/>
          <w:sz w:val="22"/>
          <w:szCs w:val="22"/>
        </w:rPr>
        <w:t xml:space="preserve">forced contraception, </w:t>
      </w:r>
      <w:r w:rsidR="00035B57" w:rsidRPr="002F4C4C">
        <w:rPr>
          <w:rFonts w:ascii="Avenir Roman" w:hAnsi="Avenir Roman"/>
          <w:sz w:val="22"/>
          <w:szCs w:val="22"/>
        </w:rPr>
        <w:t xml:space="preserve">forced </w:t>
      </w:r>
      <w:r w:rsidR="00C5587E" w:rsidRPr="002F4C4C">
        <w:rPr>
          <w:rFonts w:ascii="Avenir Roman" w:hAnsi="Avenir Roman"/>
          <w:sz w:val="22"/>
          <w:szCs w:val="22"/>
        </w:rPr>
        <w:t xml:space="preserve">abortion and </w:t>
      </w:r>
      <w:r w:rsidR="00035B57" w:rsidRPr="002F4C4C">
        <w:rPr>
          <w:rFonts w:ascii="Avenir Roman" w:hAnsi="Avenir Roman"/>
          <w:sz w:val="22"/>
          <w:szCs w:val="22"/>
        </w:rPr>
        <w:t xml:space="preserve">forced </w:t>
      </w:r>
      <w:r w:rsidR="00C5587E" w:rsidRPr="002F4C4C">
        <w:rPr>
          <w:rFonts w:ascii="Avenir Roman" w:hAnsi="Avenir Roman"/>
          <w:sz w:val="22"/>
          <w:szCs w:val="22"/>
        </w:rPr>
        <w:t>sterilisation.</w:t>
      </w:r>
      <w:r w:rsidR="00917FF1" w:rsidRPr="002F4C4C">
        <w:rPr>
          <w:rStyle w:val="FootnoteReference"/>
          <w:rFonts w:ascii="Avenir Roman" w:hAnsi="Avenir Roman"/>
          <w:sz w:val="22"/>
          <w:szCs w:val="22"/>
        </w:rPr>
        <w:footnoteReference w:id="112"/>
      </w:r>
    </w:p>
    <w:p w14:paraId="759B848B" w14:textId="77777777" w:rsidR="002E5FB8" w:rsidRPr="002F4C4C" w:rsidRDefault="002E5FB8" w:rsidP="002F4C4C">
      <w:pPr>
        <w:pStyle w:val="ListParagraph"/>
        <w:spacing w:line="240" w:lineRule="auto"/>
        <w:ind w:left="993"/>
        <w:jc w:val="left"/>
        <w:rPr>
          <w:rFonts w:ascii="Avenir Roman" w:hAnsi="Avenir Roman"/>
          <w:sz w:val="22"/>
          <w:szCs w:val="22"/>
        </w:rPr>
      </w:pPr>
    </w:p>
    <w:p w14:paraId="17A41C4E" w14:textId="0093A176" w:rsidR="008A4971" w:rsidRDefault="003073C2" w:rsidP="00564172">
      <w:pPr>
        <w:pStyle w:val="ListParagraph"/>
        <w:numPr>
          <w:ilvl w:val="1"/>
          <w:numId w:val="16"/>
        </w:numPr>
        <w:spacing w:line="240" w:lineRule="auto"/>
        <w:ind w:left="993" w:hanging="567"/>
        <w:jc w:val="left"/>
        <w:rPr>
          <w:rFonts w:ascii="Avenir Roman" w:hAnsi="Avenir Roman"/>
          <w:sz w:val="22"/>
          <w:szCs w:val="22"/>
        </w:rPr>
      </w:pPr>
      <w:r w:rsidRPr="002F4C4C">
        <w:rPr>
          <w:rFonts w:ascii="Avenir Roman" w:hAnsi="Avenir Roman"/>
          <w:sz w:val="22"/>
          <w:szCs w:val="22"/>
        </w:rPr>
        <w:t>Recognition of i</w:t>
      </w:r>
      <w:r w:rsidR="00035B57" w:rsidRPr="002F4C4C">
        <w:rPr>
          <w:rFonts w:ascii="Avenir Roman" w:hAnsi="Avenir Roman"/>
          <w:sz w:val="22"/>
          <w:szCs w:val="22"/>
        </w:rPr>
        <w:t xml:space="preserve">ntersectionality is critical to achieving the rights outlined in article 19. Article 19 </w:t>
      </w:r>
      <w:r w:rsidRPr="002F4C4C">
        <w:rPr>
          <w:rFonts w:ascii="Avenir Roman" w:hAnsi="Avenir Roman"/>
          <w:sz w:val="22"/>
          <w:szCs w:val="22"/>
        </w:rPr>
        <w:t xml:space="preserve">ensures </w:t>
      </w:r>
      <w:r w:rsidRPr="002F4C4C">
        <w:rPr>
          <w:rFonts w:ascii="Avenir Book" w:hAnsi="Avenir Book"/>
          <w:sz w:val="22"/>
          <w:szCs w:val="22"/>
        </w:rPr>
        <w:t xml:space="preserve">human dignity, personal development, interdependence within community, autonomy, freedom and </w:t>
      </w:r>
      <w:r w:rsidR="00035B57" w:rsidRPr="002F4C4C">
        <w:rPr>
          <w:rFonts w:ascii="Avenir Roman" w:hAnsi="Avenir Roman"/>
          <w:sz w:val="22"/>
          <w:szCs w:val="22"/>
          <w:lang w:eastAsia="en-AU"/>
        </w:rPr>
        <w:t>individual choice</w:t>
      </w:r>
      <w:r w:rsidRPr="002F4C4C">
        <w:rPr>
          <w:rFonts w:ascii="Avenir Roman" w:hAnsi="Avenir Roman"/>
          <w:sz w:val="22"/>
          <w:szCs w:val="22"/>
          <w:lang w:eastAsia="en-AU"/>
        </w:rPr>
        <w:t>.</w:t>
      </w:r>
      <w:r w:rsidR="00035B57" w:rsidRPr="002F4C4C">
        <w:rPr>
          <w:rFonts w:ascii="Avenir Roman" w:hAnsi="Avenir Roman"/>
          <w:sz w:val="22"/>
          <w:szCs w:val="22"/>
          <w:lang w:eastAsia="en-AU"/>
        </w:rPr>
        <w:t xml:space="preserve">  This </w:t>
      </w:r>
      <w:r w:rsidR="002E5FB8" w:rsidRPr="002F4C4C">
        <w:rPr>
          <w:rFonts w:ascii="Avenir Roman" w:hAnsi="Avenir Roman"/>
          <w:sz w:val="22"/>
          <w:szCs w:val="22"/>
          <w:lang w:eastAsia="en-AU"/>
        </w:rPr>
        <w:t>necessarily requires</w:t>
      </w:r>
      <w:r w:rsidR="00035B57" w:rsidRPr="002F4C4C">
        <w:rPr>
          <w:rFonts w:ascii="Avenir Roman" w:hAnsi="Avenir Roman"/>
          <w:sz w:val="22"/>
          <w:szCs w:val="22"/>
          <w:lang w:eastAsia="en-AU"/>
        </w:rPr>
        <w:t xml:space="preserve"> explicit recognition of </w:t>
      </w:r>
      <w:r w:rsidR="00035B57" w:rsidRPr="002F4C4C">
        <w:rPr>
          <w:rFonts w:ascii="Avenir Roman" w:hAnsi="Avenir Roman"/>
          <w:sz w:val="22"/>
          <w:szCs w:val="22"/>
        </w:rPr>
        <w:t>the diversity of individuals, cultures and communities. Implementation of article 19 cannot be biased</w:t>
      </w:r>
      <w:r w:rsidR="00035B57" w:rsidRPr="002F4C4C">
        <w:rPr>
          <w:rFonts w:ascii="Avenir Roman" w:hAnsi="Avenir Roman"/>
          <w:sz w:val="22"/>
          <w:szCs w:val="22"/>
          <w:lang w:eastAsia="en-AU"/>
        </w:rPr>
        <w:t xml:space="preserve"> towards specific age, gender, cultural, </w:t>
      </w:r>
      <w:r w:rsidR="002E5FB8" w:rsidRPr="002F4C4C">
        <w:rPr>
          <w:rFonts w:ascii="Avenir Roman" w:hAnsi="Avenir Roman"/>
          <w:sz w:val="22"/>
          <w:szCs w:val="22"/>
          <w:lang w:eastAsia="en-AU"/>
        </w:rPr>
        <w:t xml:space="preserve">social, </w:t>
      </w:r>
      <w:r w:rsidR="00035B57" w:rsidRPr="002F4C4C">
        <w:rPr>
          <w:rFonts w:ascii="Avenir Roman" w:hAnsi="Avenir Roman"/>
          <w:sz w:val="22"/>
          <w:szCs w:val="22"/>
          <w:lang w:eastAsia="en-AU"/>
        </w:rPr>
        <w:t>religious or other norms and values.</w:t>
      </w:r>
      <w:r w:rsidR="005F48EE" w:rsidRPr="002F4C4C">
        <w:rPr>
          <w:rStyle w:val="FootnoteReference"/>
          <w:rFonts w:ascii="Avenir Roman" w:hAnsi="Avenir Roman"/>
          <w:sz w:val="22"/>
          <w:szCs w:val="22"/>
          <w:lang w:eastAsia="en-AU"/>
        </w:rPr>
        <w:footnoteReference w:id="113"/>
      </w:r>
      <w:r w:rsidR="00035B57" w:rsidRPr="002F4C4C">
        <w:rPr>
          <w:rFonts w:ascii="Avenir Roman" w:hAnsi="Avenir Roman"/>
          <w:sz w:val="22"/>
          <w:szCs w:val="22"/>
          <w:lang w:eastAsia="en-AU"/>
        </w:rPr>
        <w:t xml:space="preserve"> For women and girls with disability, </w:t>
      </w:r>
      <w:r w:rsidR="00082D97" w:rsidRPr="002F4C4C">
        <w:rPr>
          <w:rFonts w:ascii="Avenir Roman" w:hAnsi="Avenir Roman"/>
          <w:sz w:val="22"/>
          <w:szCs w:val="22"/>
          <w:lang w:eastAsia="en-AU"/>
        </w:rPr>
        <w:t>housing and support arrangements need to facilitate their “full development, advancement and empowerment”,</w:t>
      </w:r>
      <w:r w:rsidR="00082D97" w:rsidRPr="002F4C4C">
        <w:rPr>
          <w:rStyle w:val="FootnoteReference"/>
          <w:rFonts w:ascii="Avenir Roman" w:hAnsi="Avenir Roman"/>
          <w:sz w:val="22"/>
          <w:szCs w:val="22"/>
          <w:lang w:eastAsia="en-AU"/>
        </w:rPr>
        <w:footnoteReference w:id="114"/>
      </w:r>
      <w:r w:rsidR="00082D97" w:rsidRPr="002F4C4C">
        <w:rPr>
          <w:rFonts w:ascii="Avenir Roman" w:hAnsi="Avenir Roman"/>
          <w:sz w:val="22"/>
          <w:szCs w:val="22"/>
          <w:lang w:eastAsia="en-AU"/>
        </w:rPr>
        <w:t xml:space="preserve"> </w:t>
      </w:r>
      <w:r w:rsidR="00121EE9" w:rsidRPr="002F4C4C">
        <w:rPr>
          <w:rFonts w:ascii="Avenir Roman" w:hAnsi="Avenir Roman"/>
          <w:sz w:val="22"/>
          <w:szCs w:val="22"/>
          <w:lang w:eastAsia="en-AU"/>
        </w:rPr>
        <w:t>which will require challenging “patriarchal social patterns”, gender-based discrimination and inequality.</w:t>
      </w:r>
      <w:r w:rsidR="00121EE9" w:rsidRPr="002F4C4C">
        <w:rPr>
          <w:rStyle w:val="FootnoteReference"/>
          <w:rFonts w:ascii="Avenir Roman" w:hAnsi="Avenir Roman"/>
          <w:sz w:val="22"/>
          <w:szCs w:val="22"/>
          <w:lang w:eastAsia="en-AU"/>
        </w:rPr>
        <w:footnoteReference w:id="115"/>
      </w:r>
      <w:r w:rsidR="00121EE9" w:rsidRPr="002F4C4C">
        <w:rPr>
          <w:rFonts w:ascii="Avenir Roman" w:hAnsi="Avenir Roman"/>
          <w:sz w:val="22"/>
          <w:szCs w:val="22"/>
          <w:lang w:eastAsia="en-AU"/>
        </w:rPr>
        <w:t xml:space="preserve"> </w:t>
      </w:r>
    </w:p>
    <w:p w14:paraId="0684BB05" w14:textId="77777777" w:rsidR="002F4C4C" w:rsidRPr="002F4C4C" w:rsidRDefault="002F4C4C" w:rsidP="002F4C4C">
      <w:pPr>
        <w:pStyle w:val="ListParagraph"/>
        <w:rPr>
          <w:rFonts w:ascii="Avenir Roman" w:hAnsi="Avenir Roman"/>
          <w:sz w:val="22"/>
          <w:szCs w:val="22"/>
        </w:rPr>
      </w:pPr>
    </w:p>
    <w:p w14:paraId="59F86680" w14:textId="6FA6D024" w:rsidR="00C5587E" w:rsidRPr="002F4C4C" w:rsidRDefault="00C5587E" w:rsidP="00564172">
      <w:pPr>
        <w:pStyle w:val="ListParagraph"/>
        <w:numPr>
          <w:ilvl w:val="1"/>
          <w:numId w:val="16"/>
        </w:numPr>
        <w:spacing w:line="240" w:lineRule="auto"/>
        <w:ind w:left="993" w:hanging="567"/>
        <w:jc w:val="left"/>
        <w:rPr>
          <w:rFonts w:ascii="Avenir Roman" w:hAnsi="Avenir Roman"/>
          <w:sz w:val="22"/>
          <w:szCs w:val="22"/>
        </w:rPr>
      </w:pPr>
      <w:r w:rsidRPr="002F4C4C">
        <w:rPr>
          <w:rFonts w:ascii="Avenir Book" w:hAnsi="Avenir Book"/>
          <w:sz w:val="22"/>
          <w:szCs w:val="22"/>
        </w:rPr>
        <w:t xml:space="preserve">During the Public Hearing, the issue of intersectionality was highlighted with brief discussion of how intersectional discrimination impacts on different groups of people, including women with disability, First Nations people with disability, people with disability from culturally and linguistically diverse backgrounds and people with </w:t>
      </w:r>
      <w:r w:rsidRPr="002F4C4C">
        <w:rPr>
          <w:rFonts w:ascii="Avenir Book" w:hAnsi="Avenir Book"/>
          <w:sz w:val="22"/>
          <w:szCs w:val="22"/>
        </w:rPr>
        <w:lastRenderedPageBreak/>
        <w:t>disability from LGBTIQA+ communities.</w:t>
      </w:r>
      <w:r w:rsidRPr="002F4C4C">
        <w:rPr>
          <w:rStyle w:val="FootnoteReference"/>
          <w:rFonts w:ascii="Avenir Book" w:hAnsi="Avenir Book"/>
          <w:sz w:val="22"/>
          <w:szCs w:val="22"/>
        </w:rPr>
        <w:footnoteReference w:id="116"/>
      </w:r>
      <w:r w:rsidRPr="002F4C4C">
        <w:rPr>
          <w:rFonts w:ascii="Avenir Book" w:hAnsi="Avenir Book"/>
          <w:sz w:val="22"/>
          <w:szCs w:val="22"/>
        </w:rPr>
        <w:t xml:space="preserve"> WWDA welcomes this discussion, but notes that the Public Hearing provided limited opportunity to explore intersectional discrimination in detail.</w:t>
      </w:r>
    </w:p>
    <w:p w14:paraId="1441CBF1" w14:textId="77777777" w:rsidR="008F2D5E" w:rsidRPr="002F4C4C" w:rsidRDefault="008F2D5E" w:rsidP="002F4C4C">
      <w:pPr>
        <w:pStyle w:val="ListParagraph"/>
        <w:spacing w:line="240" w:lineRule="auto"/>
        <w:jc w:val="left"/>
        <w:rPr>
          <w:rFonts w:ascii="Avenir Book" w:hAnsi="Avenir Book"/>
          <w:sz w:val="22"/>
          <w:szCs w:val="22"/>
        </w:rPr>
      </w:pPr>
    </w:p>
    <w:p w14:paraId="52DE5237" w14:textId="6DF3B7F6" w:rsidR="00A2267C" w:rsidRPr="002F4C4C" w:rsidRDefault="00C5587E" w:rsidP="00564172">
      <w:pPr>
        <w:pStyle w:val="ListParagraph"/>
        <w:numPr>
          <w:ilvl w:val="1"/>
          <w:numId w:val="16"/>
        </w:numPr>
        <w:spacing w:line="240" w:lineRule="auto"/>
        <w:ind w:left="993" w:hanging="567"/>
        <w:jc w:val="left"/>
        <w:rPr>
          <w:rFonts w:ascii="Avenir Book" w:hAnsi="Avenir Book"/>
          <w:sz w:val="22"/>
          <w:szCs w:val="22"/>
        </w:rPr>
      </w:pPr>
      <w:r w:rsidRPr="002F4C4C">
        <w:rPr>
          <w:rFonts w:ascii="Avenir Book" w:hAnsi="Avenir Book"/>
          <w:sz w:val="22"/>
          <w:szCs w:val="22"/>
        </w:rPr>
        <w:t xml:space="preserve">For women with disability, the Public Hearing was largely confined to </w:t>
      </w:r>
      <w:r w:rsidR="003803D1" w:rsidRPr="002F4C4C">
        <w:rPr>
          <w:rFonts w:ascii="Avenir Book" w:hAnsi="Avenir Book"/>
          <w:sz w:val="22"/>
          <w:szCs w:val="22"/>
        </w:rPr>
        <w:t>brief discussion of the application of family violence law to group homes</w:t>
      </w:r>
      <w:r w:rsidR="00E5046E" w:rsidRPr="002F4C4C">
        <w:rPr>
          <w:rFonts w:ascii="Avenir Book" w:hAnsi="Avenir Book"/>
          <w:sz w:val="22"/>
          <w:szCs w:val="22"/>
        </w:rPr>
        <w:t>,</w:t>
      </w:r>
      <w:r w:rsidR="003803D1" w:rsidRPr="002F4C4C">
        <w:rPr>
          <w:rStyle w:val="FootnoteReference"/>
          <w:rFonts w:ascii="Avenir Book" w:hAnsi="Avenir Book"/>
          <w:sz w:val="22"/>
          <w:szCs w:val="22"/>
        </w:rPr>
        <w:footnoteReference w:id="117"/>
      </w:r>
      <w:r w:rsidR="003803D1" w:rsidRPr="002F4C4C">
        <w:rPr>
          <w:rFonts w:ascii="Avenir Book" w:hAnsi="Avenir Book"/>
          <w:sz w:val="22"/>
          <w:szCs w:val="22"/>
        </w:rPr>
        <w:t xml:space="preserve"> and some practical examples </w:t>
      </w:r>
      <w:r w:rsidRPr="002F4C4C">
        <w:rPr>
          <w:rFonts w:ascii="Avenir Book" w:hAnsi="Avenir Book"/>
          <w:sz w:val="22"/>
          <w:szCs w:val="22"/>
        </w:rPr>
        <w:t xml:space="preserve">regarding the area of domestic and family violence and sexual assault.  While domestic and family violence and sexual assault in institutional </w:t>
      </w:r>
      <w:r w:rsidR="002D76CF" w:rsidRPr="002F4C4C">
        <w:rPr>
          <w:rFonts w:ascii="Avenir Book" w:hAnsi="Avenir Book"/>
          <w:sz w:val="22"/>
          <w:szCs w:val="22"/>
        </w:rPr>
        <w:t>settings</w:t>
      </w:r>
      <w:r w:rsidRPr="002F4C4C">
        <w:rPr>
          <w:rFonts w:ascii="Avenir Book" w:hAnsi="Avenir Book"/>
          <w:sz w:val="22"/>
          <w:szCs w:val="22"/>
        </w:rPr>
        <w:t xml:space="preserve"> and in the community are critical issues for examination by the Royal Commission, the experience of violence, abuse, neglect and exploitation of women and girls with disability cannot be confined to this.  </w:t>
      </w:r>
      <w:r w:rsidR="00000627" w:rsidRPr="002F4C4C">
        <w:rPr>
          <w:rFonts w:ascii="Avenir Book" w:hAnsi="Avenir Book"/>
          <w:sz w:val="22"/>
          <w:szCs w:val="22"/>
        </w:rPr>
        <w:t xml:space="preserve">There also needs to be recognition of the </w:t>
      </w:r>
      <w:r w:rsidR="003803D1" w:rsidRPr="002F4C4C">
        <w:rPr>
          <w:rFonts w:ascii="Avenir Book" w:hAnsi="Avenir Book"/>
          <w:sz w:val="22"/>
          <w:szCs w:val="22"/>
        </w:rPr>
        <w:t>subtler and more ambiguous</w:t>
      </w:r>
      <w:r w:rsidR="00D83944" w:rsidRPr="002F4C4C">
        <w:rPr>
          <w:rFonts w:ascii="Avenir Book" w:hAnsi="Avenir Book"/>
          <w:sz w:val="22"/>
          <w:szCs w:val="22"/>
        </w:rPr>
        <w:t>, yet harmful</w:t>
      </w:r>
      <w:r w:rsidR="00FE2278" w:rsidRPr="002F4C4C">
        <w:rPr>
          <w:rFonts w:ascii="Avenir Book" w:hAnsi="Avenir Book"/>
          <w:sz w:val="22"/>
          <w:szCs w:val="22"/>
        </w:rPr>
        <w:t xml:space="preserve"> </w:t>
      </w:r>
      <w:r w:rsidR="00000627" w:rsidRPr="002F4C4C">
        <w:rPr>
          <w:rFonts w:ascii="Avenir Book" w:hAnsi="Avenir Book"/>
          <w:sz w:val="22"/>
          <w:szCs w:val="22"/>
        </w:rPr>
        <w:t xml:space="preserve">daily </w:t>
      </w:r>
      <w:r w:rsidR="00FE2278" w:rsidRPr="002F4C4C">
        <w:rPr>
          <w:rFonts w:ascii="Avenir Book" w:hAnsi="Avenir Book"/>
          <w:sz w:val="22"/>
          <w:szCs w:val="22"/>
        </w:rPr>
        <w:t xml:space="preserve">prejudice and bias, </w:t>
      </w:r>
      <w:r w:rsidR="009364BA" w:rsidRPr="002F4C4C">
        <w:rPr>
          <w:rFonts w:ascii="Avenir Book" w:hAnsi="Avenir Book"/>
          <w:sz w:val="22"/>
          <w:szCs w:val="22"/>
        </w:rPr>
        <w:t xml:space="preserve">commonly </w:t>
      </w:r>
      <w:r w:rsidR="00FE2278" w:rsidRPr="002F4C4C">
        <w:rPr>
          <w:rFonts w:ascii="Avenir Book" w:hAnsi="Avenir Book"/>
          <w:sz w:val="22"/>
          <w:szCs w:val="22"/>
        </w:rPr>
        <w:t xml:space="preserve">called </w:t>
      </w:r>
      <w:r w:rsidR="00000627" w:rsidRPr="002F4C4C">
        <w:rPr>
          <w:rFonts w:ascii="Avenir Book" w:hAnsi="Avenir Book"/>
          <w:sz w:val="22"/>
          <w:szCs w:val="22"/>
        </w:rPr>
        <w:t>microaggressions</w:t>
      </w:r>
      <w:r w:rsidR="00FE2278" w:rsidRPr="002F4C4C">
        <w:rPr>
          <w:rFonts w:ascii="Avenir Book" w:hAnsi="Avenir Book"/>
          <w:sz w:val="22"/>
          <w:szCs w:val="22"/>
        </w:rPr>
        <w:t>,</w:t>
      </w:r>
      <w:r w:rsidR="00000627" w:rsidRPr="002F4C4C">
        <w:rPr>
          <w:rFonts w:ascii="Avenir Book" w:hAnsi="Avenir Book"/>
          <w:sz w:val="22"/>
          <w:szCs w:val="22"/>
        </w:rPr>
        <w:t xml:space="preserve"> that </w:t>
      </w:r>
      <w:r w:rsidR="00FE2278" w:rsidRPr="002F4C4C">
        <w:rPr>
          <w:rFonts w:ascii="Avenir Book" w:hAnsi="Avenir Book"/>
          <w:sz w:val="22"/>
          <w:szCs w:val="22"/>
        </w:rPr>
        <w:t xml:space="preserve">affect the well-being, sense of belonging and the full development of </w:t>
      </w:r>
      <w:r w:rsidR="00A87580" w:rsidRPr="002F4C4C">
        <w:rPr>
          <w:rFonts w:ascii="Avenir Book" w:hAnsi="Avenir Book"/>
          <w:sz w:val="22"/>
          <w:szCs w:val="22"/>
        </w:rPr>
        <w:t>people with disability</w:t>
      </w:r>
      <w:r w:rsidR="00FE2278" w:rsidRPr="002F4C4C">
        <w:rPr>
          <w:rFonts w:ascii="Avenir Book" w:hAnsi="Avenir Book"/>
          <w:sz w:val="22"/>
          <w:szCs w:val="22"/>
        </w:rPr>
        <w:t>, and which reinforce societal norms.</w:t>
      </w:r>
      <w:r w:rsidR="00E849E0" w:rsidRPr="002F4C4C">
        <w:rPr>
          <w:rStyle w:val="FootnoteReference"/>
          <w:rFonts w:ascii="Avenir Book" w:hAnsi="Avenir Book"/>
          <w:sz w:val="22"/>
          <w:szCs w:val="22"/>
        </w:rPr>
        <w:footnoteReference w:id="118"/>
      </w:r>
      <w:r w:rsidR="00FE2278" w:rsidRPr="002F4C4C">
        <w:rPr>
          <w:rFonts w:ascii="Avenir Book" w:hAnsi="Avenir Book"/>
          <w:sz w:val="22"/>
          <w:szCs w:val="22"/>
        </w:rPr>
        <w:t xml:space="preserve"> </w:t>
      </w:r>
      <w:r w:rsidR="00C96A93" w:rsidRPr="002F4C4C">
        <w:rPr>
          <w:rFonts w:ascii="Avenir Book" w:hAnsi="Avenir Book"/>
          <w:sz w:val="22"/>
          <w:szCs w:val="22"/>
        </w:rPr>
        <w:t xml:space="preserve">Microaggressions are covert forms of discrimination that can be unintentionally conveyed by individuals, processes and systems, including by disability </w:t>
      </w:r>
      <w:r w:rsidR="00C2313E" w:rsidRPr="002F4C4C">
        <w:rPr>
          <w:rFonts w:ascii="Avenir Book" w:hAnsi="Avenir Book"/>
          <w:sz w:val="22"/>
          <w:szCs w:val="22"/>
        </w:rPr>
        <w:t xml:space="preserve">and mental health </w:t>
      </w:r>
      <w:r w:rsidR="00C96A93" w:rsidRPr="002F4C4C">
        <w:rPr>
          <w:rFonts w:ascii="Avenir Book" w:hAnsi="Avenir Book"/>
          <w:sz w:val="22"/>
          <w:szCs w:val="22"/>
        </w:rPr>
        <w:t xml:space="preserve">support workers, carers, </w:t>
      </w:r>
      <w:r w:rsidR="00C2313E" w:rsidRPr="002F4C4C">
        <w:rPr>
          <w:rFonts w:ascii="Avenir Book" w:hAnsi="Avenir Book"/>
          <w:sz w:val="22"/>
          <w:szCs w:val="22"/>
        </w:rPr>
        <w:t xml:space="preserve">medical and disability professionals, policy makers </w:t>
      </w:r>
      <w:r w:rsidR="00C96A93" w:rsidRPr="002F4C4C">
        <w:rPr>
          <w:rFonts w:ascii="Avenir Book" w:hAnsi="Avenir Book"/>
          <w:sz w:val="22"/>
          <w:szCs w:val="22"/>
        </w:rPr>
        <w:t>and service provider policies</w:t>
      </w:r>
      <w:r w:rsidR="00C2313E" w:rsidRPr="002F4C4C">
        <w:rPr>
          <w:rFonts w:ascii="Avenir Book" w:hAnsi="Avenir Book"/>
          <w:sz w:val="22"/>
          <w:szCs w:val="22"/>
        </w:rPr>
        <w:t xml:space="preserve"> and practices</w:t>
      </w:r>
      <w:r w:rsidR="00C96A93" w:rsidRPr="002F4C4C">
        <w:rPr>
          <w:rFonts w:ascii="Avenir Book" w:hAnsi="Avenir Book"/>
          <w:sz w:val="22"/>
          <w:szCs w:val="22"/>
        </w:rPr>
        <w:t>.</w:t>
      </w:r>
    </w:p>
    <w:p w14:paraId="3604EFFB" w14:textId="77777777" w:rsidR="00A2267C" w:rsidRPr="002F4C4C" w:rsidRDefault="00A2267C" w:rsidP="002F4C4C">
      <w:pPr>
        <w:pStyle w:val="ListParagraph"/>
        <w:spacing w:line="240" w:lineRule="auto"/>
        <w:jc w:val="left"/>
        <w:rPr>
          <w:rFonts w:ascii="Avenir Book" w:hAnsi="Avenir Book"/>
          <w:sz w:val="22"/>
          <w:szCs w:val="22"/>
        </w:rPr>
      </w:pPr>
    </w:p>
    <w:p w14:paraId="11D13B25" w14:textId="70DDF1E3" w:rsidR="00E5046E" w:rsidRPr="002F4C4C" w:rsidRDefault="00A2267C" w:rsidP="00564172">
      <w:pPr>
        <w:pStyle w:val="ListParagraph"/>
        <w:numPr>
          <w:ilvl w:val="1"/>
          <w:numId w:val="16"/>
        </w:numPr>
        <w:snapToGrid w:val="0"/>
        <w:spacing w:after="0" w:line="240" w:lineRule="auto"/>
        <w:ind w:left="993" w:hanging="567"/>
        <w:contextualSpacing w:val="0"/>
        <w:jc w:val="left"/>
        <w:rPr>
          <w:rFonts w:ascii="Avenir Book" w:hAnsi="Avenir Book"/>
          <w:sz w:val="22"/>
          <w:szCs w:val="22"/>
        </w:rPr>
      </w:pPr>
      <w:r w:rsidRPr="002F4C4C">
        <w:rPr>
          <w:rFonts w:ascii="Avenir Book" w:hAnsi="Avenir Book"/>
          <w:sz w:val="22"/>
          <w:szCs w:val="22"/>
        </w:rPr>
        <w:t>Microaggressions</w:t>
      </w:r>
      <w:r w:rsidR="00D83944" w:rsidRPr="002F4C4C">
        <w:rPr>
          <w:rFonts w:ascii="Avenir Book" w:hAnsi="Avenir Book"/>
          <w:sz w:val="22"/>
          <w:szCs w:val="22"/>
        </w:rPr>
        <w:t xml:space="preserve"> </w:t>
      </w:r>
      <w:r w:rsidRPr="002F4C4C">
        <w:rPr>
          <w:rFonts w:ascii="Avenir Book" w:hAnsi="Avenir Book"/>
          <w:sz w:val="22"/>
          <w:szCs w:val="22"/>
        </w:rPr>
        <w:t>experienced by women and girls with disability reinforce disability and gender stereotypes, inequalities and intersectional discrimination</w:t>
      </w:r>
      <w:r w:rsidR="009364BA" w:rsidRPr="002F4C4C">
        <w:rPr>
          <w:rFonts w:ascii="Avenir Book" w:hAnsi="Avenir Book"/>
          <w:sz w:val="22"/>
          <w:szCs w:val="22"/>
        </w:rPr>
        <w:t xml:space="preserve">, which makes them extremely vulnerable to </w:t>
      </w:r>
      <w:r w:rsidR="009364BA" w:rsidRPr="002F4C4C">
        <w:rPr>
          <w:rFonts w:ascii="Avenir Book" w:hAnsi="Avenir Book" w:cstheme="minorHAnsi"/>
          <w:sz w:val="22"/>
          <w:szCs w:val="22"/>
        </w:rPr>
        <w:t xml:space="preserve">violence, abuse, neglect and exploitation. </w:t>
      </w:r>
      <w:r w:rsidR="00E5046E" w:rsidRPr="002F4C4C">
        <w:rPr>
          <w:rFonts w:ascii="Avenir Book" w:hAnsi="Avenir Book"/>
          <w:sz w:val="22"/>
          <w:szCs w:val="22"/>
        </w:rPr>
        <w:t>For example, during the Public Hearing, a witness outlined the situation of her daughter, who was not provided with support to shave her legs because the group home policy deemed it as a risk, although support workers assisted men to shave their faces.</w:t>
      </w:r>
      <w:r w:rsidR="00E5046E" w:rsidRPr="002F4C4C">
        <w:rPr>
          <w:rStyle w:val="FootnoteReference"/>
          <w:rFonts w:ascii="Avenir Book" w:hAnsi="Avenir Book"/>
          <w:sz w:val="22"/>
          <w:szCs w:val="22"/>
        </w:rPr>
        <w:footnoteReference w:id="119"/>
      </w:r>
      <w:r w:rsidR="00E5046E" w:rsidRPr="002F4C4C">
        <w:rPr>
          <w:rFonts w:ascii="Avenir Book" w:hAnsi="Avenir Book"/>
          <w:sz w:val="22"/>
          <w:szCs w:val="22"/>
        </w:rPr>
        <w:t xml:space="preserve">  The imposition of the group home policy denied the daughter the ability to freely exercise her autonomy about her personal care and grooming preferences. While this situation may be viewed as a ‘minor restriction’, it exemplifies how the priorities of the service </w:t>
      </w:r>
      <w:r w:rsidR="0005151A" w:rsidRPr="002F4C4C">
        <w:rPr>
          <w:rFonts w:ascii="Avenir Book" w:hAnsi="Avenir Book"/>
          <w:sz w:val="22"/>
          <w:szCs w:val="22"/>
        </w:rPr>
        <w:t xml:space="preserve">provider </w:t>
      </w:r>
      <w:r w:rsidR="00E5046E" w:rsidRPr="002F4C4C">
        <w:rPr>
          <w:rFonts w:ascii="Avenir Book" w:hAnsi="Avenir Book"/>
          <w:sz w:val="22"/>
          <w:szCs w:val="22"/>
        </w:rPr>
        <w:t xml:space="preserve">overrode the woman’s choices and </w:t>
      </w:r>
      <w:r w:rsidR="00C2313E" w:rsidRPr="002F4C4C">
        <w:rPr>
          <w:rFonts w:ascii="Avenir Book" w:hAnsi="Avenir Book"/>
          <w:sz w:val="22"/>
          <w:szCs w:val="22"/>
        </w:rPr>
        <w:t>autonomy</w:t>
      </w:r>
      <w:r w:rsidR="00E5046E" w:rsidRPr="002F4C4C">
        <w:rPr>
          <w:rFonts w:ascii="Avenir Book" w:hAnsi="Avenir Book"/>
          <w:sz w:val="22"/>
          <w:szCs w:val="22"/>
        </w:rPr>
        <w:t xml:space="preserve"> to freely express her personality</w:t>
      </w:r>
      <w:r w:rsidR="0005151A" w:rsidRPr="002F4C4C">
        <w:rPr>
          <w:rFonts w:ascii="Avenir Book" w:hAnsi="Avenir Book"/>
          <w:sz w:val="22"/>
          <w:szCs w:val="22"/>
        </w:rPr>
        <w:t xml:space="preserve"> and preferences</w:t>
      </w:r>
      <w:r w:rsidR="00E5046E" w:rsidRPr="002F4C4C">
        <w:rPr>
          <w:rFonts w:ascii="Avenir Book" w:hAnsi="Avenir Book"/>
          <w:sz w:val="22"/>
          <w:szCs w:val="22"/>
        </w:rPr>
        <w:t xml:space="preserve">. This ‘minor restriction’ is indicative of the gendered rules that often govern the lives of women with disability in many living arrangements, including group homes and that prevent free personal development, individual choice and personal expression. This violates article 19 and constitutes a form of systemic neglect.  </w:t>
      </w:r>
    </w:p>
    <w:p w14:paraId="22D6A60D" w14:textId="77777777" w:rsidR="00E5046E" w:rsidRPr="002F4C4C" w:rsidRDefault="00E5046E" w:rsidP="002F4C4C">
      <w:pPr>
        <w:spacing w:after="0" w:line="240" w:lineRule="auto"/>
        <w:jc w:val="left"/>
        <w:rPr>
          <w:rFonts w:ascii="Avenir Book" w:hAnsi="Avenir Book"/>
          <w:sz w:val="22"/>
          <w:szCs w:val="22"/>
        </w:rPr>
      </w:pPr>
    </w:p>
    <w:p w14:paraId="1B94CD28" w14:textId="380732BF" w:rsidR="00F67A6C" w:rsidRPr="002F4C4C" w:rsidRDefault="00A2267C" w:rsidP="00564172">
      <w:pPr>
        <w:pStyle w:val="ListParagraph"/>
        <w:numPr>
          <w:ilvl w:val="1"/>
          <w:numId w:val="16"/>
        </w:numPr>
        <w:spacing w:after="0" w:line="240" w:lineRule="auto"/>
        <w:ind w:left="993" w:hanging="567"/>
        <w:contextualSpacing w:val="0"/>
        <w:jc w:val="left"/>
        <w:rPr>
          <w:rFonts w:ascii="Avenir Book" w:hAnsi="Avenir Book"/>
          <w:sz w:val="22"/>
          <w:szCs w:val="22"/>
        </w:rPr>
      </w:pPr>
      <w:r w:rsidRPr="002F4C4C">
        <w:rPr>
          <w:rFonts w:ascii="Avenir Book" w:hAnsi="Avenir Book"/>
          <w:sz w:val="22"/>
          <w:szCs w:val="22"/>
        </w:rPr>
        <w:t>Within the context of living arrangements</w:t>
      </w:r>
      <w:r w:rsidR="00C96A93" w:rsidRPr="002F4C4C">
        <w:rPr>
          <w:rFonts w:ascii="Avenir Book" w:hAnsi="Avenir Book"/>
          <w:sz w:val="22"/>
          <w:szCs w:val="22"/>
        </w:rPr>
        <w:t>, including in group homes, these microaggressions can be pervasive</w:t>
      </w:r>
      <w:r w:rsidR="00E5046E" w:rsidRPr="002F4C4C">
        <w:rPr>
          <w:rFonts w:ascii="Avenir Book" w:hAnsi="Avenir Book"/>
          <w:sz w:val="22"/>
          <w:szCs w:val="22"/>
        </w:rPr>
        <w:t xml:space="preserve"> and </w:t>
      </w:r>
      <w:r w:rsidR="00C96A93" w:rsidRPr="002F4C4C">
        <w:rPr>
          <w:rFonts w:ascii="Avenir Book" w:hAnsi="Avenir Book"/>
          <w:sz w:val="22"/>
          <w:szCs w:val="22"/>
        </w:rPr>
        <w:t>normalised</w:t>
      </w:r>
      <w:r w:rsidR="00E5046E" w:rsidRPr="002F4C4C">
        <w:rPr>
          <w:rFonts w:ascii="Avenir Book" w:hAnsi="Avenir Book"/>
          <w:sz w:val="22"/>
          <w:szCs w:val="22"/>
        </w:rPr>
        <w:t xml:space="preserve">. Instead of facilitating personal </w:t>
      </w:r>
      <w:r w:rsidR="00E5046E" w:rsidRPr="002F4C4C">
        <w:rPr>
          <w:rFonts w:ascii="Avenir Book" w:hAnsi="Avenir Book"/>
          <w:sz w:val="22"/>
          <w:szCs w:val="22"/>
        </w:rPr>
        <w:lastRenderedPageBreak/>
        <w:t xml:space="preserve">development, microaggressions reinforce and perpetuate societal norms and </w:t>
      </w:r>
      <w:r w:rsidR="00DE771E" w:rsidRPr="002F4C4C">
        <w:rPr>
          <w:rFonts w:ascii="Avenir Book" w:hAnsi="Avenir Book"/>
          <w:sz w:val="22"/>
          <w:szCs w:val="22"/>
        </w:rPr>
        <w:t xml:space="preserve">power relations and </w:t>
      </w:r>
      <w:r w:rsidR="00E5046E" w:rsidRPr="002F4C4C">
        <w:rPr>
          <w:rFonts w:ascii="Avenir Book" w:hAnsi="Avenir Book"/>
          <w:sz w:val="22"/>
          <w:szCs w:val="22"/>
        </w:rPr>
        <w:t>facilitate a culture of violence, abuse, neglect and exploitation.</w:t>
      </w:r>
      <w:r w:rsidR="00C96A93" w:rsidRPr="002F4C4C">
        <w:rPr>
          <w:rFonts w:ascii="Avenir Book" w:hAnsi="Avenir Book"/>
          <w:sz w:val="22"/>
          <w:szCs w:val="22"/>
        </w:rPr>
        <w:t xml:space="preserve"> </w:t>
      </w:r>
    </w:p>
    <w:p w14:paraId="332FB3EF" w14:textId="2E1B5895" w:rsidR="00C5587E" w:rsidRPr="002F4C4C" w:rsidRDefault="00C5587E" w:rsidP="002F4C4C">
      <w:pPr>
        <w:spacing w:after="0" w:line="240" w:lineRule="auto"/>
        <w:jc w:val="left"/>
        <w:rPr>
          <w:rFonts w:ascii="Avenir Book" w:hAnsi="Avenir Book"/>
          <w:sz w:val="22"/>
          <w:szCs w:val="22"/>
        </w:rPr>
      </w:pPr>
    </w:p>
    <w:p w14:paraId="277EA4DF" w14:textId="57BD6509" w:rsidR="002E5FB8" w:rsidRPr="002F4C4C" w:rsidRDefault="000372F7" w:rsidP="00564172">
      <w:pPr>
        <w:pStyle w:val="ListParagraph"/>
        <w:numPr>
          <w:ilvl w:val="1"/>
          <w:numId w:val="16"/>
        </w:numPr>
        <w:spacing w:after="120" w:line="240" w:lineRule="auto"/>
        <w:ind w:left="992" w:hanging="567"/>
        <w:contextualSpacing w:val="0"/>
        <w:jc w:val="left"/>
        <w:rPr>
          <w:rFonts w:ascii="Avenir Book" w:hAnsi="Avenir Book"/>
          <w:sz w:val="22"/>
          <w:szCs w:val="22"/>
        </w:rPr>
      </w:pPr>
      <w:r w:rsidRPr="002F4C4C">
        <w:rPr>
          <w:rFonts w:ascii="Avenir Book" w:hAnsi="Avenir Book"/>
          <w:sz w:val="22"/>
          <w:szCs w:val="22"/>
        </w:rPr>
        <w:t>In the context of article 19, a</w:t>
      </w:r>
      <w:r w:rsidR="00C5587E" w:rsidRPr="002F4C4C">
        <w:rPr>
          <w:rFonts w:ascii="Avenir Book" w:hAnsi="Avenir Book"/>
          <w:sz w:val="22"/>
          <w:szCs w:val="22"/>
        </w:rPr>
        <w:t xml:space="preserve"> comprehensive gender analysis of living arrangements, including group homes is required to expose </w:t>
      </w:r>
      <w:r w:rsidRPr="002F4C4C">
        <w:rPr>
          <w:rFonts w:ascii="Avenir Book" w:hAnsi="Avenir Book"/>
          <w:sz w:val="22"/>
          <w:szCs w:val="22"/>
        </w:rPr>
        <w:t xml:space="preserve">individual, structural and systemic forms of </w:t>
      </w:r>
      <w:r w:rsidR="00C5587E" w:rsidRPr="002F4C4C">
        <w:rPr>
          <w:rFonts w:ascii="Avenir Book" w:hAnsi="Avenir Book"/>
          <w:sz w:val="22"/>
          <w:szCs w:val="22"/>
        </w:rPr>
        <w:t>gender</w:t>
      </w:r>
      <w:r w:rsidR="00F6277C" w:rsidRPr="002F4C4C">
        <w:rPr>
          <w:rFonts w:ascii="Avenir Book" w:hAnsi="Avenir Book"/>
          <w:sz w:val="22"/>
          <w:szCs w:val="22"/>
        </w:rPr>
        <w:t>-</w:t>
      </w:r>
      <w:r w:rsidR="00DF2E01" w:rsidRPr="002F4C4C">
        <w:rPr>
          <w:rFonts w:ascii="Avenir Book" w:hAnsi="Avenir Book"/>
          <w:sz w:val="22"/>
          <w:szCs w:val="22"/>
        </w:rPr>
        <w:t xml:space="preserve">based </w:t>
      </w:r>
      <w:r w:rsidR="00C5587E" w:rsidRPr="002F4C4C">
        <w:rPr>
          <w:rFonts w:ascii="Avenir Book" w:hAnsi="Avenir Book"/>
          <w:sz w:val="22"/>
          <w:szCs w:val="22"/>
        </w:rPr>
        <w:t>violence</w:t>
      </w:r>
      <w:r w:rsidR="00EA4753" w:rsidRPr="002F4C4C">
        <w:rPr>
          <w:rFonts w:ascii="Avenir Book" w:hAnsi="Avenir Book"/>
          <w:sz w:val="22"/>
          <w:szCs w:val="22"/>
        </w:rPr>
        <w:t>, abuse, neglect and exploitation</w:t>
      </w:r>
      <w:r w:rsidR="00C5587E" w:rsidRPr="002F4C4C">
        <w:rPr>
          <w:rFonts w:ascii="Avenir Book" w:hAnsi="Avenir Book"/>
          <w:sz w:val="22"/>
          <w:szCs w:val="22"/>
        </w:rPr>
        <w:t>.  For example</w:t>
      </w:r>
      <w:r w:rsidR="00705692" w:rsidRPr="002F4C4C">
        <w:rPr>
          <w:rFonts w:ascii="Avenir Book" w:hAnsi="Avenir Book"/>
          <w:sz w:val="22"/>
          <w:szCs w:val="22"/>
        </w:rPr>
        <w:t>, relevant questions include</w:t>
      </w:r>
      <w:r w:rsidR="002E5FB8" w:rsidRPr="002F4C4C">
        <w:rPr>
          <w:rFonts w:ascii="Avenir Book" w:hAnsi="Avenir Book"/>
          <w:sz w:val="22"/>
          <w:szCs w:val="22"/>
        </w:rPr>
        <w:t>:</w:t>
      </w:r>
    </w:p>
    <w:p w14:paraId="26C7EE7B" w14:textId="0C06B9F1" w:rsidR="00705692" w:rsidRPr="002F4C4C" w:rsidRDefault="00705692"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 xml:space="preserve">Are there gender norms or biases that </w:t>
      </w:r>
      <w:r w:rsidR="00FF6BE3" w:rsidRPr="002F4C4C">
        <w:rPr>
          <w:rFonts w:ascii="Avenir Book" w:hAnsi="Avenir Book"/>
          <w:sz w:val="22"/>
          <w:szCs w:val="22"/>
        </w:rPr>
        <w:t>limit</w:t>
      </w:r>
      <w:r w:rsidRPr="002F4C4C">
        <w:rPr>
          <w:rFonts w:ascii="Avenir Book" w:hAnsi="Avenir Book"/>
          <w:sz w:val="22"/>
          <w:szCs w:val="22"/>
        </w:rPr>
        <w:t xml:space="preserve"> women and girls with disability from being able to choose where and with whom they live?</w:t>
      </w:r>
    </w:p>
    <w:p w14:paraId="655DA32B" w14:textId="0D2DFB03" w:rsidR="002E5FB8" w:rsidRPr="002F4C4C" w:rsidRDefault="002E5FB8"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A</w:t>
      </w:r>
      <w:r w:rsidR="00C5587E" w:rsidRPr="002F4C4C">
        <w:rPr>
          <w:rFonts w:ascii="Avenir Book" w:hAnsi="Avenir Book"/>
          <w:sz w:val="22"/>
          <w:szCs w:val="22"/>
        </w:rPr>
        <w:t xml:space="preserve">re women </w:t>
      </w:r>
      <w:r w:rsidR="00995043" w:rsidRPr="002F4C4C">
        <w:rPr>
          <w:rFonts w:ascii="Avenir Book" w:hAnsi="Avenir Book"/>
          <w:sz w:val="22"/>
          <w:szCs w:val="22"/>
        </w:rPr>
        <w:t xml:space="preserve">and girls </w:t>
      </w:r>
      <w:r w:rsidR="00C5587E" w:rsidRPr="002F4C4C">
        <w:rPr>
          <w:rFonts w:ascii="Avenir Book" w:hAnsi="Avenir Book"/>
          <w:sz w:val="22"/>
          <w:szCs w:val="22"/>
        </w:rPr>
        <w:t>with disability able to choose the sex of their support staff and their co-residents</w:t>
      </w:r>
      <w:r w:rsidRPr="002F4C4C">
        <w:rPr>
          <w:rFonts w:ascii="Avenir Book" w:hAnsi="Avenir Book"/>
          <w:sz w:val="22"/>
          <w:szCs w:val="22"/>
        </w:rPr>
        <w:t xml:space="preserve"> (if they share with others)</w:t>
      </w:r>
      <w:r w:rsidR="00200746" w:rsidRPr="002F4C4C">
        <w:rPr>
          <w:rFonts w:ascii="Avenir Book" w:hAnsi="Avenir Book"/>
          <w:sz w:val="22"/>
          <w:szCs w:val="22"/>
        </w:rPr>
        <w:t>, and are these choices respected</w:t>
      </w:r>
      <w:r w:rsidR="00C5587E" w:rsidRPr="002F4C4C">
        <w:rPr>
          <w:rFonts w:ascii="Avenir Book" w:hAnsi="Avenir Book"/>
          <w:sz w:val="22"/>
          <w:szCs w:val="22"/>
        </w:rPr>
        <w:t xml:space="preserve">? </w:t>
      </w:r>
    </w:p>
    <w:p w14:paraId="1FC88717" w14:textId="0138E507" w:rsidR="002E5FB8" w:rsidRPr="002F4C4C" w:rsidRDefault="00C5587E"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 xml:space="preserve">Are </w:t>
      </w:r>
      <w:r w:rsidR="00995043" w:rsidRPr="002F4C4C">
        <w:rPr>
          <w:rFonts w:ascii="Avenir Book" w:hAnsi="Avenir Book"/>
          <w:sz w:val="22"/>
          <w:szCs w:val="22"/>
        </w:rPr>
        <w:t xml:space="preserve">group home </w:t>
      </w:r>
      <w:r w:rsidRPr="002F4C4C">
        <w:rPr>
          <w:rFonts w:ascii="Avenir Book" w:hAnsi="Avenir Book"/>
          <w:sz w:val="22"/>
          <w:szCs w:val="22"/>
        </w:rPr>
        <w:t>residents supported to undertake household tasks and community activities based on personal preferences</w:t>
      </w:r>
      <w:r w:rsidR="00111E2E" w:rsidRPr="002F4C4C">
        <w:rPr>
          <w:rFonts w:ascii="Avenir Book" w:hAnsi="Avenir Book"/>
          <w:sz w:val="22"/>
          <w:szCs w:val="22"/>
        </w:rPr>
        <w:t xml:space="preserve"> rather than gender norms</w:t>
      </w:r>
      <w:r w:rsidR="00705692" w:rsidRPr="002F4C4C">
        <w:rPr>
          <w:rFonts w:ascii="Avenir Book" w:hAnsi="Avenir Book"/>
          <w:sz w:val="22"/>
          <w:szCs w:val="22"/>
        </w:rPr>
        <w:t xml:space="preserve"> and stereotypes</w:t>
      </w:r>
      <w:r w:rsidRPr="002F4C4C">
        <w:rPr>
          <w:rFonts w:ascii="Avenir Book" w:hAnsi="Avenir Book"/>
          <w:sz w:val="22"/>
          <w:szCs w:val="22"/>
        </w:rPr>
        <w:t xml:space="preserve">? </w:t>
      </w:r>
    </w:p>
    <w:p w14:paraId="7EB6FD87" w14:textId="380357E4" w:rsidR="00D45702" w:rsidRPr="002F4C4C" w:rsidRDefault="00D45702"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 xml:space="preserve">Are group home residents able to make their own personal care and grooming choices and receive support to exercise these choices? </w:t>
      </w:r>
    </w:p>
    <w:p w14:paraId="72900D46" w14:textId="4B9FD4B5" w:rsidR="00DF45D8" w:rsidRPr="002F4C4C" w:rsidRDefault="00C5587E"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 xml:space="preserve">Are age and gender-based safety </w:t>
      </w:r>
      <w:r w:rsidR="006A09BC" w:rsidRPr="002F4C4C">
        <w:rPr>
          <w:rFonts w:ascii="Avenir Book" w:hAnsi="Avenir Book"/>
          <w:sz w:val="22"/>
          <w:szCs w:val="22"/>
        </w:rPr>
        <w:t xml:space="preserve">and violence prevention </w:t>
      </w:r>
      <w:r w:rsidRPr="002F4C4C">
        <w:rPr>
          <w:rFonts w:ascii="Avenir Book" w:hAnsi="Avenir Book"/>
          <w:sz w:val="22"/>
          <w:szCs w:val="22"/>
        </w:rPr>
        <w:t xml:space="preserve">measures implemented </w:t>
      </w:r>
      <w:r w:rsidR="00995043" w:rsidRPr="002F4C4C">
        <w:rPr>
          <w:rFonts w:ascii="Avenir Book" w:hAnsi="Avenir Book"/>
          <w:sz w:val="22"/>
          <w:szCs w:val="22"/>
        </w:rPr>
        <w:t>within living arrangements? Are these measures decided with participation from the residents within the living arrangement</w:t>
      </w:r>
      <w:r w:rsidR="006A09BC" w:rsidRPr="002F4C4C">
        <w:rPr>
          <w:rFonts w:ascii="Avenir Book" w:hAnsi="Avenir Book"/>
          <w:sz w:val="22"/>
          <w:szCs w:val="22"/>
        </w:rPr>
        <w:t xml:space="preserve">, </w:t>
      </w:r>
      <w:r w:rsidR="00BC5FE4" w:rsidRPr="002F4C4C">
        <w:rPr>
          <w:rFonts w:ascii="Avenir Book" w:hAnsi="Avenir Book"/>
          <w:sz w:val="22"/>
          <w:szCs w:val="22"/>
        </w:rPr>
        <w:t>particularly</w:t>
      </w:r>
      <w:r w:rsidR="006A09BC" w:rsidRPr="002F4C4C">
        <w:rPr>
          <w:rFonts w:ascii="Avenir Book" w:hAnsi="Avenir Book"/>
          <w:sz w:val="22"/>
          <w:szCs w:val="22"/>
        </w:rPr>
        <w:t xml:space="preserve"> women and girls with disability</w:t>
      </w:r>
      <w:r w:rsidR="00995043" w:rsidRPr="002F4C4C">
        <w:rPr>
          <w:rFonts w:ascii="Avenir Book" w:hAnsi="Avenir Book"/>
          <w:sz w:val="22"/>
          <w:szCs w:val="22"/>
        </w:rPr>
        <w:t>?</w:t>
      </w:r>
      <w:r w:rsidRPr="002F4C4C">
        <w:rPr>
          <w:rFonts w:ascii="Avenir Book" w:hAnsi="Avenir Book"/>
          <w:sz w:val="22"/>
          <w:szCs w:val="22"/>
        </w:rPr>
        <w:t xml:space="preserve"> </w:t>
      </w:r>
    </w:p>
    <w:p w14:paraId="3252FB9E" w14:textId="739AA37B" w:rsidR="00995043" w:rsidRPr="002F4C4C" w:rsidRDefault="00C5587E"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 xml:space="preserve">Can women </w:t>
      </w:r>
      <w:r w:rsidR="00995043" w:rsidRPr="002F4C4C">
        <w:rPr>
          <w:rFonts w:ascii="Avenir Book" w:hAnsi="Avenir Book"/>
          <w:sz w:val="22"/>
          <w:szCs w:val="22"/>
        </w:rPr>
        <w:t xml:space="preserve">and girls </w:t>
      </w:r>
      <w:r w:rsidRPr="002F4C4C">
        <w:rPr>
          <w:rFonts w:ascii="Avenir Book" w:hAnsi="Avenir Book"/>
          <w:sz w:val="22"/>
          <w:szCs w:val="22"/>
        </w:rPr>
        <w:t xml:space="preserve">with disability exercise </w:t>
      </w:r>
      <w:r w:rsidR="00995043" w:rsidRPr="002F4C4C">
        <w:rPr>
          <w:rFonts w:ascii="Avenir Book" w:hAnsi="Avenir Book"/>
          <w:sz w:val="22"/>
          <w:szCs w:val="22"/>
        </w:rPr>
        <w:t xml:space="preserve">sexual and </w:t>
      </w:r>
      <w:r w:rsidRPr="002F4C4C">
        <w:rPr>
          <w:rFonts w:ascii="Avenir Book" w:hAnsi="Avenir Book"/>
          <w:sz w:val="22"/>
          <w:szCs w:val="22"/>
        </w:rPr>
        <w:t xml:space="preserve">reproductive autonomy, such as freely choosing </w:t>
      </w:r>
      <w:r w:rsidR="00995043" w:rsidRPr="002F4C4C">
        <w:rPr>
          <w:rFonts w:ascii="Avenir Book" w:hAnsi="Avenir Book"/>
          <w:sz w:val="22"/>
          <w:szCs w:val="22"/>
        </w:rPr>
        <w:t xml:space="preserve">menstrual management practices, </w:t>
      </w:r>
      <w:r w:rsidRPr="002F4C4C">
        <w:rPr>
          <w:rFonts w:ascii="Avenir Book" w:hAnsi="Avenir Book"/>
          <w:sz w:val="22"/>
          <w:szCs w:val="22"/>
        </w:rPr>
        <w:t xml:space="preserve">contraception or abortion? </w:t>
      </w:r>
    </w:p>
    <w:p w14:paraId="65283861" w14:textId="05B7861B" w:rsidR="00694DA3" w:rsidRPr="002F4C4C" w:rsidRDefault="00C5587E"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Are all women with disability within the same living arrangement subjected to the same menstrual management</w:t>
      </w:r>
      <w:r w:rsidR="00FF6BE3" w:rsidRPr="002F4C4C">
        <w:rPr>
          <w:rFonts w:ascii="Avenir Book" w:hAnsi="Avenir Book"/>
          <w:sz w:val="22"/>
          <w:szCs w:val="22"/>
        </w:rPr>
        <w:t xml:space="preserve"> or </w:t>
      </w:r>
      <w:r w:rsidR="00694DA3" w:rsidRPr="002F4C4C">
        <w:rPr>
          <w:rFonts w:ascii="Avenir Book" w:hAnsi="Avenir Book"/>
          <w:sz w:val="22"/>
          <w:szCs w:val="22"/>
        </w:rPr>
        <w:t>menstrual suppression</w:t>
      </w:r>
      <w:r w:rsidRPr="002F4C4C">
        <w:rPr>
          <w:rFonts w:ascii="Avenir Book" w:hAnsi="Avenir Book"/>
          <w:sz w:val="22"/>
          <w:szCs w:val="22"/>
        </w:rPr>
        <w:t xml:space="preserve"> and contracepti</w:t>
      </w:r>
      <w:r w:rsidR="00694DA3" w:rsidRPr="002F4C4C">
        <w:rPr>
          <w:rFonts w:ascii="Avenir Book" w:hAnsi="Avenir Book"/>
          <w:sz w:val="22"/>
          <w:szCs w:val="22"/>
        </w:rPr>
        <w:t>ve</w:t>
      </w:r>
      <w:r w:rsidRPr="002F4C4C">
        <w:rPr>
          <w:rFonts w:ascii="Avenir Book" w:hAnsi="Avenir Book"/>
          <w:sz w:val="22"/>
          <w:szCs w:val="22"/>
        </w:rPr>
        <w:t xml:space="preserve"> practices? </w:t>
      </w:r>
    </w:p>
    <w:p w14:paraId="6CFDE94C" w14:textId="7A31477C" w:rsidR="00995043" w:rsidRPr="002F4C4C" w:rsidRDefault="00BA356F"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Have</w:t>
      </w:r>
      <w:r w:rsidR="00694DA3" w:rsidRPr="002F4C4C">
        <w:rPr>
          <w:rFonts w:ascii="Avenir Book" w:hAnsi="Avenir Book"/>
          <w:sz w:val="22"/>
          <w:szCs w:val="22"/>
        </w:rPr>
        <w:t xml:space="preserve"> </w:t>
      </w:r>
      <w:r w:rsidR="00FF6BE3" w:rsidRPr="002F4C4C">
        <w:rPr>
          <w:rFonts w:ascii="Avenir Book" w:hAnsi="Avenir Book"/>
          <w:sz w:val="22"/>
          <w:szCs w:val="22"/>
        </w:rPr>
        <w:t xml:space="preserve">forced </w:t>
      </w:r>
      <w:r w:rsidR="00694DA3" w:rsidRPr="002F4C4C">
        <w:rPr>
          <w:rFonts w:ascii="Avenir Book" w:hAnsi="Avenir Book"/>
          <w:sz w:val="22"/>
          <w:szCs w:val="22"/>
        </w:rPr>
        <w:t>contraceptive practices</w:t>
      </w:r>
      <w:r w:rsidR="00C5587E" w:rsidRPr="002F4C4C">
        <w:rPr>
          <w:rFonts w:ascii="Avenir Book" w:hAnsi="Avenir Book"/>
          <w:sz w:val="22"/>
          <w:szCs w:val="22"/>
        </w:rPr>
        <w:t xml:space="preserve"> </w:t>
      </w:r>
      <w:r w:rsidR="00694DA3" w:rsidRPr="002F4C4C">
        <w:rPr>
          <w:rFonts w:ascii="Avenir Book" w:hAnsi="Avenir Book"/>
          <w:sz w:val="22"/>
          <w:szCs w:val="22"/>
        </w:rPr>
        <w:t>increase</w:t>
      </w:r>
      <w:r w:rsidRPr="002F4C4C">
        <w:rPr>
          <w:rFonts w:ascii="Avenir Book" w:hAnsi="Avenir Book"/>
          <w:sz w:val="22"/>
          <w:szCs w:val="22"/>
        </w:rPr>
        <w:t>d</w:t>
      </w:r>
      <w:r w:rsidR="00694DA3" w:rsidRPr="002F4C4C">
        <w:rPr>
          <w:rFonts w:ascii="Avenir Book" w:hAnsi="Avenir Book"/>
          <w:sz w:val="22"/>
          <w:szCs w:val="22"/>
        </w:rPr>
        <w:t xml:space="preserve"> the risk of sexual </w:t>
      </w:r>
      <w:r w:rsidR="004E693F" w:rsidRPr="002F4C4C">
        <w:rPr>
          <w:rFonts w:ascii="Avenir Book" w:hAnsi="Avenir Book"/>
          <w:sz w:val="22"/>
          <w:szCs w:val="22"/>
        </w:rPr>
        <w:t>violence</w:t>
      </w:r>
      <w:r w:rsidR="00694DA3" w:rsidRPr="002F4C4C">
        <w:rPr>
          <w:rFonts w:ascii="Avenir Book" w:hAnsi="Avenir Book"/>
          <w:sz w:val="22"/>
          <w:szCs w:val="22"/>
        </w:rPr>
        <w:t xml:space="preserve"> by </w:t>
      </w:r>
      <w:r w:rsidR="004E693F" w:rsidRPr="002F4C4C">
        <w:rPr>
          <w:rFonts w:ascii="Avenir Book" w:hAnsi="Avenir Book"/>
          <w:sz w:val="22"/>
          <w:szCs w:val="22"/>
        </w:rPr>
        <w:t>removing the risk of pregnancy, and thus the visible evidence of such violence</w:t>
      </w:r>
      <w:r w:rsidR="00FF6BE3" w:rsidRPr="002F4C4C">
        <w:rPr>
          <w:rFonts w:ascii="Avenir Book" w:hAnsi="Avenir Book"/>
          <w:sz w:val="22"/>
          <w:szCs w:val="22"/>
        </w:rPr>
        <w:t>?</w:t>
      </w:r>
    </w:p>
    <w:p w14:paraId="4816A00E" w14:textId="3895D869" w:rsidR="00C5587E" w:rsidRPr="002F4C4C" w:rsidRDefault="00111E2E"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Does</w:t>
      </w:r>
      <w:r w:rsidR="00C5587E" w:rsidRPr="002F4C4C">
        <w:rPr>
          <w:rFonts w:ascii="Avenir Book" w:hAnsi="Avenir Book"/>
          <w:sz w:val="22"/>
          <w:szCs w:val="22"/>
        </w:rPr>
        <w:t xml:space="preserve"> chemical restraint reduce the ability of women </w:t>
      </w:r>
      <w:r w:rsidR="00995043" w:rsidRPr="002F4C4C">
        <w:rPr>
          <w:rFonts w:ascii="Avenir Book" w:hAnsi="Avenir Book"/>
          <w:sz w:val="22"/>
          <w:szCs w:val="22"/>
        </w:rPr>
        <w:t xml:space="preserve">and girls </w:t>
      </w:r>
      <w:r w:rsidR="00C5587E" w:rsidRPr="002F4C4C">
        <w:rPr>
          <w:rFonts w:ascii="Avenir Book" w:hAnsi="Avenir Book"/>
          <w:sz w:val="22"/>
          <w:szCs w:val="22"/>
        </w:rPr>
        <w:t xml:space="preserve">with disability to remember and report violence, abuse, neglect and exploitation? </w:t>
      </w:r>
    </w:p>
    <w:p w14:paraId="62F9F934" w14:textId="525ED857" w:rsidR="00995043" w:rsidRPr="002F4C4C" w:rsidRDefault="00995043"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 xml:space="preserve">What specialised and mainstream measures or programs facilitate personal development, supported decision-making, leadership skills and community engagement for women and girls with disability? </w:t>
      </w:r>
    </w:p>
    <w:p w14:paraId="0DB96BAA" w14:textId="287C71E4" w:rsidR="00FD775A" w:rsidRPr="002F4C4C" w:rsidRDefault="00FF6BE3"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What measures or programs provide women and girls with disability ongoing support and information about gender and disability equality, respectful and healthy relationships, rights to bodily integrity and sexual and reproductive rights?</w:t>
      </w:r>
    </w:p>
    <w:p w14:paraId="72437670" w14:textId="51592656" w:rsidR="00FF6BE3" w:rsidRPr="002F4C4C" w:rsidRDefault="00FF6BE3"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 xml:space="preserve">Are there gender stereotypes and norms that prevent or limit </w:t>
      </w:r>
      <w:r w:rsidR="004630E7" w:rsidRPr="002F4C4C">
        <w:rPr>
          <w:rFonts w:ascii="Avenir Book" w:hAnsi="Avenir Book"/>
          <w:sz w:val="22"/>
          <w:szCs w:val="22"/>
        </w:rPr>
        <w:t xml:space="preserve">personal </w:t>
      </w:r>
      <w:r w:rsidRPr="002F4C4C">
        <w:rPr>
          <w:rFonts w:ascii="Avenir Book" w:hAnsi="Avenir Book"/>
          <w:sz w:val="22"/>
          <w:szCs w:val="22"/>
        </w:rPr>
        <w:t xml:space="preserve">relationship </w:t>
      </w:r>
      <w:r w:rsidR="004F6674" w:rsidRPr="002F4C4C">
        <w:rPr>
          <w:rFonts w:ascii="Avenir Book" w:hAnsi="Avenir Book"/>
          <w:sz w:val="22"/>
          <w:szCs w:val="22"/>
        </w:rPr>
        <w:t>and friendship</w:t>
      </w:r>
      <w:r w:rsidR="00A01A83" w:rsidRPr="002F4C4C">
        <w:rPr>
          <w:rFonts w:ascii="Avenir Book" w:hAnsi="Avenir Book"/>
          <w:sz w:val="22"/>
          <w:szCs w:val="22"/>
        </w:rPr>
        <w:t xml:space="preserve"> </w:t>
      </w:r>
      <w:r w:rsidRPr="002F4C4C">
        <w:rPr>
          <w:rFonts w:ascii="Avenir Book" w:hAnsi="Avenir Book"/>
          <w:sz w:val="22"/>
          <w:szCs w:val="22"/>
        </w:rPr>
        <w:t>choice</w:t>
      </w:r>
      <w:r w:rsidR="004630E7" w:rsidRPr="002F4C4C">
        <w:rPr>
          <w:rFonts w:ascii="Avenir Book" w:hAnsi="Avenir Book"/>
          <w:sz w:val="22"/>
          <w:szCs w:val="22"/>
        </w:rPr>
        <w:t>s</w:t>
      </w:r>
      <w:r w:rsidRPr="002F4C4C">
        <w:rPr>
          <w:rFonts w:ascii="Avenir Book" w:hAnsi="Avenir Book"/>
          <w:sz w:val="22"/>
          <w:szCs w:val="22"/>
        </w:rPr>
        <w:t xml:space="preserve"> and sexual expression for women with disability</w:t>
      </w:r>
      <w:r w:rsidR="004630E7" w:rsidRPr="002F4C4C">
        <w:rPr>
          <w:rFonts w:ascii="Avenir Book" w:hAnsi="Avenir Book"/>
          <w:sz w:val="22"/>
          <w:szCs w:val="22"/>
        </w:rPr>
        <w:t xml:space="preserve">? </w:t>
      </w:r>
    </w:p>
    <w:p w14:paraId="3B04FE8A" w14:textId="77777777" w:rsidR="00FF6BE3" w:rsidRPr="002F4C4C" w:rsidRDefault="00BC5FE4"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 xml:space="preserve">Are </w:t>
      </w:r>
      <w:r w:rsidR="00FF6BE3" w:rsidRPr="002F4C4C">
        <w:rPr>
          <w:rFonts w:ascii="Avenir Book" w:hAnsi="Avenir Book"/>
          <w:sz w:val="22"/>
          <w:szCs w:val="22"/>
        </w:rPr>
        <w:t xml:space="preserve">women with disability supported to access mainstream </w:t>
      </w:r>
      <w:r w:rsidRPr="002F4C4C">
        <w:rPr>
          <w:rFonts w:ascii="Avenir Book" w:hAnsi="Avenir Book"/>
          <w:sz w:val="22"/>
          <w:szCs w:val="22"/>
        </w:rPr>
        <w:t>gender and age-appropriate violence prevention and response measures</w:t>
      </w:r>
      <w:r w:rsidR="00FF6BE3" w:rsidRPr="002F4C4C">
        <w:rPr>
          <w:rFonts w:ascii="Avenir Book" w:hAnsi="Avenir Book"/>
          <w:sz w:val="22"/>
          <w:szCs w:val="22"/>
        </w:rPr>
        <w:t xml:space="preserve">, such as 1800Respect and sexual assault counselling? </w:t>
      </w:r>
    </w:p>
    <w:p w14:paraId="5BE3E42D" w14:textId="212ADAC1" w:rsidR="00BC5FE4" w:rsidRPr="002F4C4C" w:rsidRDefault="00BC5FE4"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 xml:space="preserve">Does housing and support arrangements for </w:t>
      </w:r>
      <w:r w:rsidR="00FF6BE3" w:rsidRPr="002F4C4C">
        <w:rPr>
          <w:rFonts w:ascii="Avenir Book" w:hAnsi="Avenir Book"/>
          <w:sz w:val="22"/>
          <w:szCs w:val="22"/>
        </w:rPr>
        <w:t>women and girls</w:t>
      </w:r>
      <w:r w:rsidRPr="002F4C4C">
        <w:rPr>
          <w:rFonts w:ascii="Avenir Book" w:hAnsi="Avenir Book"/>
          <w:sz w:val="22"/>
          <w:szCs w:val="22"/>
        </w:rPr>
        <w:t xml:space="preserve"> with disability facilitate autonomy, freedom of movement, personal development and community inclusion? </w:t>
      </w:r>
    </w:p>
    <w:p w14:paraId="38BD5AD0" w14:textId="4929F8A4" w:rsidR="00BC5FE4" w:rsidRPr="002F4C4C" w:rsidRDefault="00BC5FE4" w:rsidP="00564172">
      <w:pPr>
        <w:pStyle w:val="ListParagraph"/>
        <w:numPr>
          <w:ilvl w:val="0"/>
          <w:numId w:val="19"/>
        </w:numPr>
        <w:spacing w:after="120" w:line="240" w:lineRule="auto"/>
        <w:ind w:left="1276" w:hanging="284"/>
        <w:contextualSpacing w:val="0"/>
        <w:jc w:val="left"/>
        <w:rPr>
          <w:rFonts w:ascii="Avenir Book" w:hAnsi="Avenir Book"/>
          <w:sz w:val="22"/>
          <w:szCs w:val="22"/>
        </w:rPr>
      </w:pPr>
      <w:r w:rsidRPr="002F4C4C">
        <w:rPr>
          <w:rFonts w:ascii="Avenir Book" w:hAnsi="Avenir Book"/>
          <w:sz w:val="22"/>
          <w:szCs w:val="22"/>
        </w:rPr>
        <w:t>What disability and mainstream supports exist to ensure accessibility and inclusion in the community, including in relation to independent living skills, information, communications, accessible public transport, inclusive education, employment?</w:t>
      </w:r>
    </w:p>
    <w:p w14:paraId="6A3489FC" w14:textId="6909F501" w:rsidR="00FD775A" w:rsidRPr="002F4C4C" w:rsidRDefault="00FD775A" w:rsidP="00564172">
      <w:pPr>
        <w:pStyle w:val="ListParagraph"/>
        <w:numPr>
          <w:ilvl w:val="0"/>
          <w:numId w:val="19"/>
        </w:numPr>
        <w:spacing w:after="0" w:line="240" w:lineRule="auto"/>
        <w:ind w:left="1276" w:hanging="283"/>
        <w:contextualSpacing w:val="0"/>
        <w:jc w:val="left"/>
        <w:rPr>
          <w:rFonts w:ascii="Avenir Book" w:hAnsi="Avenir Book"/>
          <w:sz w:val="22"/>
          <w:szCs w:val="22"/>
        </w:rPr>
      </w:pPr>
      <w:r w:rsidRPr="002F4C4C">
        <w:rPr>
          <w:rFonts w:ascii="Avenir Book" w:hAnsi="Avenir Book"/>
          <w:sz w:val="22"/>
          <w:szCs w:val="22"/>
        </w:rPr>
        <w:lastRenderedPageBreak/>
        <w:t xml:space="preserve">What measures are being taken by governments to address intersectional discrimination and gender and disability inequality? </w:t>
      </w:r>
    </w:p>
    <w:p w14:paraId="004943DB" w14:textId="77777777" w:rsidR="00BC5FE4" w:rsidRPr="002F4C4C" w:rsidRDefault="00BC5FE4" w:rsidP="002F4C4C">
      <w:pPr>
        <w:spacing w:after="0" w:line="240" w:lineRule="auto"/>
        <w:jc w:val="left"/>
        <w:rPr>
          <w:rFonts w:ascii="Avenir Roman" w:hAnsi="Avenir Roman"/>
          <w:sz w:val="22"/>
          <w:szCs w:val="22"/>
        </w:rPr>
      </w:pPr>
    </w:p>
    <w:p w14:paraId="00F10CC7" w14:textId="77777777" w:rsidR="00C5587E" w:rsidRPr="002F4C4C" w:rsidRDefault="00C5587E" w:rsidP="00564172">
      <w:pPr>
        <w:pStyle w:val="ListParagraph"/>
        <w:numPr>
          <w:ilvl w:val="1"/>
          <w:numId w:val="16"/>
        </w:numPr>
        <w:spacing w:line="240" w:lineRule="auto"/>
        <w:ind w:left="993" w:hanging="567"/>
        <w:jc w:val="left"/>
        <w:rPr>
          <w:rFonts w:ascii="Avenir Book" w:hAnsi="Avenir Book"/>
          <w:sz w:val="22"/>
          <w:szCs w:val="22"/>
        </w:rPr>
      </w:pPr>
      <w:r w:rsidRPr="002F4C4C">
        <w:rPr>
          <w:rFonts w:ascii="Avenir Book" w:hAnsi="Avenir Book"/>
          <w:sz w:val="22"/>
          <w:szCs w:val="22"/>
        </w:rPr>
        <w:t>Intersectionality is a key element of the human rights approach to disability required by the CRPD, and there needs to be practical application of intersectionality to the work of the Royal Commission, including in research, analysis, public hearings and examinations of issues.</w:t>
      </w:r>
    </w:p>
    <w:p w14:paraId="3A83DC60" w14:textId="77777777" w:rsidR="00C5587E" w:rsidRPr="002F4C4C" w:rsidRDefault="00C5587E" w:rsidP="002F4C4C">
      <w:pPr>
        <w:pStyle w:val="ListParagraph"/>
        <w:spacing w:line="240" w:lineRule="auto"/>
        <w:ind w:left="0"/>
        <w:jc w:val="left"/>
        <w:rPr>
          <w:rFonts w:ascii="Avenir Book" w:hAnsi="Avenir Book"/>
          <w:sz w:val="22"/>
          <w:szCs w:val="22"/>
        </w:rPr>
      </w:pPr>
    </w:p>
    <w:p w14:paraId="7AADCB5B" w14:textId="49FDCE84" w:rsidR="008975A9" w:rsidRPr="002F4C4C" w:rsidRDefault="00C5587E" w:rsidP="00564172">
      <w:pPr>
        <w:pStyle w:val="ListParagraph"/>
        <w:numPr>
          <w:ilvl w:val="1"/>
          <w:numId w:val="16"/>
        </w:numPr>
        <w:spacing w:after="0" w:line="240" w:lineRule="auto"/>
        <w:ind w:left="993" w:hanging="567"/>
        <w:contextualSpacing w:val="0"/>
        <w:jc w:val="left"/>
        <w:rPr>
          <w:rFonts w:ascii="Avenir Book" w:hAnsi="Avenir Book"/>
          <w:sz w:val="22"/>
          <w:szCs w:val="22"/>
        </w:rPr>
      </w:pPr>
      <w:r w:rsidRPr="002F4C4C">
        <w:rPr>
          <w:rFonts w:ascii="Avenir Book" w:hAnsi="Avenir Book"/>
          <w:sz w:val="22"/>
          <w:szCs w:val="22"/>
        </w:rPr>
        <w:t xml:space="preserve">The issues, barriers, </w:t>
      </w:r>
      <w:r w:rsidR="00820829" w:rsidRPr="002F4C4C">
        <w:rPr>
          <w:rFonts w:ascii="Avenir Book" w:hAnsi="Avenir Book"/>
          <w:sz w:val="22"/>
          <w:szCs w:val="22"/>
        </w:rPr>
        <w:t xml:space="preserve">intersectional </w:t>
      </w:r>
      <w:r w:rsidRPr="002F4C4C">
        <w:rPr>
          <w:rFonts w:ascii="Avenir Book" w:hAnsi="Avenir Book"/>
          <w:sz w:val="22"/>
          <w:szCs w:val="22"/>
        </w:rPr>
        <w:t xml:space="preserve">discrimination and human rights violations that are specific to women and girls with disability and/or that disproportionally affect women and girls with disability must be identified, analysed and addressed by the Royal Commission. </w:t>
      </w:r>
    </w:p>
    <w:p w14:paraId="390516E2" w14:textId="4D3DBFC2" w:rsidR="00696CDE" w:rsidRPr="002F4C4C" w:rsidRDefault="00696CDE" w:rsidP="002F4C4C">
      <w:pPr>
        <w:spacing w:after="0" w:line="240" w:lineRule="auto"/>
        <w:jc w:val="left"/>
        <w:rPr>
          <w:rFonts w:ascii="Avenir Book" w:hAnsi="Avenir Book"/>
          <w:sz w:val="22"/>
          <w:szCs w:val="22"/>
        </w:rPr>
      </w:pPr>
    </w:p>
    <w:p w14:paraId="54F25708" w14:textId="7001BAC6" w:rsidR="00335C5F" w:rsidRDefault="00335C5F" w:rsidP="002F4C4C">
      <w:pPr>
        <w:spacing w:after="0" w:line="240" w:lineRule="auto"/>
        <w:rPr>
          <w:rFonts w:ascii="Avenir Book" w:hAnsi="Avenir Book"/>
          <w:sz w:val="22"/>
          <w:szCs w:val="22"/>
        </w:rPr>
      </w:pPr>
    </w:p>
    <w:p w14:paraId="4D674DD5" w14:textId="7538F93D" w:rsidR="00335C5F" w:rsidRPr="002F4C4C" w:rsidRDefault="00335C5F" w:rsidP="002F4C4C">
      <w:pPr>
        <w:spacing w:after="120" w:line="240" w:lineRule="auto"/>
        <w:jc w:val="left"/>
        <w:rPr>
          <w:rFonts w:ascii="Avenir Book" w:hAnsi="Avenir Book" w:cstheme="minorHAnsi"/>
          <w:b/>
          <w:color w:val="AC1F79"/>
          <w:sz w:val="22"/>
          <w:szCs w:val="22"/>
        </w:rPr>
      </w:pPr>
      <w:r w:rsidRPr="002F4C4C">
        <w:rPr>
          <w:rFonts w:ascii="Avenir Book" w:hAnsi="Avenir Book" w:cstheme="minorHAnsi"/>
          <w:b/>
          <w:color w:val="AC1F79"/>
          <w:sz w:val="22"/>
          <w:szCs w:val="22"/>
        </w:rPr>
        <w:t>Recommendations</w:t>
      </w:r>
    </w:p>
    <w:p w14:paraId="0F21CA5C" w14:textId="77777777" w:rsidR="00335C5F" w:rsidRPr="002F4C4C" w:rsidRDefault="00335C5F" w:rsidP="00564172">
      <w:pPr>
        <w:pStyle w:val="ListParagraph"/>
        <w:numPr>
          <w:ilvl w:val="0"/>
          <w:numId w:val="4"/>
        </w:numPr>
        <w:snapToGrid w:val="0"/>
        <w:spacing w:after="120" w:line="240" w:lineRule="auto"/>
        <w:ind w:left="425" w:hanging="425"/>
        <w:contextualSpacing w:val="0"/>
        <w:jc w:val="left"/>
        <w:rPr>
          <w:rFonts w:ascii="Avenir Book" w:hAnsi="Avenir Book" w:cs="Calibri"/>
          <w:sz w:val="22"/>
          <w:szCs w:val="22"/>
        </w:rPr>
      </w:pPr>
      <w:r w:rsidRPr="002F4C4C">
        <w:rPr>
          <w:rFonts w:ascii="Avenir Book" w:hAnsi="Avenir Book" w:cs="Calibri"/>
          <w:sz w:val="22"/>
          <w:szCs w:val="22"/>
        </w:rPr>
        <w:t>In line with its Terms of Reference, which are based in the context of the CRPD, the Royal Commission should:</w:t>
      </w:r>
    </w:p>
    <w:p w14:paraId="1E5CE711" w14:textId="77777777" w:rsidR="00335C5F" w:rsidRPr="00EA5017" w:rsidRDefault="00335C5F" w:rsidP="00EA5017">
      <w:pPr>
        <w:pStyle w:val="ListParagraph"/>
        <w:numPr>
          <w:ilvl w:val="0"/>
          <w:numId w:val="4"/>
        </w:numPr>
        <w:snapToGrid w:val="0"/>
        <w:spacing w:after="120" w:line="240" w:lineRule="auto"/>
        <w:jc w:val="left"/>
        <w:rPr>
          <w:rFonts w:ascii="Avenir Book" w:hAnsi="Avenir Book" w:cs="Calibri"/>
          <w:sz w:val="22"/>
          <w:szCs w:val="22"/>
        </w:rPr>
      </w:pPr>
      <w:r w:rsidRPr="00EA5017">
        <w:rPr>
          <w:rFonts w:ascii="Avenir Book" w:hAnsi="Avenir Book" w:cs="Calibri"/>
          <w:sz w:val="22"/>
          <w:szCs w:val="22"/>
        </w:rPr>
        <w:t xml:space="preserve">explicitly recognise intersectionality as a key aspect of the human rights approach to disability; </w:t>
      </w:r>
    </w:p>
    <w:p w14:paraId="6D194121" w14:textId="77777777" w:rsidR="00335C5F" w:rsidRPr="00EA5017" w:rsidRDefault="00335C5F" w:rsidP="00EA5017">
      <w:pPr>
        <w:pStyle w:val="ListParagraph"/>
        <w:numPr>
          <w:ilvl w:val="0"/>
          <w:numId w:val="4"/>
        </w:numPr>
        <w:snapToGrid w:val="0"/>
        <w:spacing w:after="120" w:line="240" w:lineRule="auto"/>
        <w:jc w:val="left"/>
        <w:rPr>
          <w:rFonts w:ascii="Avenir Book" w:hAnsi="Avenir Book" w:cs="Calibri"/>
          <w:sz w:val="22"/>
          <w:szCs w:val="22"/>
        </w:rPr>
      </w:pPr>
      <w:r w:rsidRPr="00EA5017">
        <w:rPr>
          <w:rFonts w:ascii="Avenir Book" w:hAnsi="Avenir Book" w:cs="Calibri"/>
          <w:sz w:val="22"/>
          <w:szCs w:val="22"/>
        </w:rPr>
        <w:t>ensure that an intersectional analysis is integral to all its work (including reports, community forums, stakeholder engagement, Hearings, publications, findings and recommendations);</w:t>
      </w:r>
    </w:p>
    <w:p w14:paraId="7CE4738A" w14:textId="4C1583AA" w:rsidR="00335C5F" w:rsidRPr="00EA5017" w:rsidRDefault="00335C5F" w:rsidP="00EA5017">
      <w:pPr>
        <w:pStyle w:val="ListParagraph"/>
        <w:numPr>
          <w:ilvl w:val="0"/>
          <w:numId w:val="4"/>
        </w:numPr>
        <w:spacing w:after="0" w:line="240" w:lineRule="auto"/>
        <w:jc w:val="left"/>
        <w:rPr>
          <w:rFonts w:ascii="Avenir Book" w:hAnsi="Avenir Book" w:cs="Calibri"/>
          <w:sz w:val="22"/>
          <w:szCs w:val="22"/>
        </w:rPr>
      </w:pPr>
      <w:r w:rsidRPr="00EA5017">
        <w:rPr>
          <w:rFonts w:ascii="Avenir Book" w:hAnsi="Avenir Book" w:cs="Calibri"/>
          <w:sz w:val="22"/>
          <w:szCs w:val="22"/>
        </w:rPr>
        <w:t xml:space="preserve">identify, examine and address the specific </w:t>
      </w:r>
      <w:r w:rsidRPr="00EA5017">
        <w:rPr>
          <w:rFonts w:ascii="Avenir Book" w:hAnsi="Avenir Book"/>
          <w:sz w:val="22"/>
          <w:szCs w:val="22"/>
        </w:rPr>
        <w:t>issues, barriers, discrimination and human rights violations across all areas for women and girls with disability, as well as those that are specific to women and girls and/or that disproportionally affect women and girls with disability</w:t>
      </w:r>
      <w:r w:rsidR="006B6572" w:rsidRPr="00EA5017">
        <w:rPr>
          <w:rFonts w:ascii="Avenir Book" w:hAnsi="Avenir Book"/>
          <w:sz w:val="22"/>
          <w:szCs w:val="22"/>
        </w:rPr>
        <w:t>.</w:t>
      </w:r>
    </w:p>
    <w:p w14:paraId="63316C58" w14:textId="77777777" w:rsidR="00335C5F" w:rsidRPr="002F4C4C" w:rsidRDefault="00335C5F" w:rsidP="002F4C4C">
      <w:pPr>
        <w:spacing w:after="0" w:line="240" w:lineRule="auto"/>
        <w:jc w:val="left"/>
        <w:rPr>
          <w:rFonts w:ascii="Avenir Book" w:hAnsi="Avenir Book" w:cs="Calibri"/>
          <w:sz w:val="22"/>
          <w:szCs w:val="22"/>
        </w:rPr>
      </w:pPr>
    </w:p>
    <w:p w14:paraId="7A164581" w14:textId="0D152017" w:rsidR="00335C5F" w:rsidRPr="002F4C4C" w:rsidRDefault="00335C5F" w:rsidP="00564172">
      <w:pPr>
        <w:pStyle w:val="ListParagraph"/>
        <w:numPr>
          <w:ilvl w:val="0"/>
          <w:numId w:val="4"/>
        </w:numPr>
        <w:spacing w:line="240" w:lineRule="auto"/>
        <w:ind w:left="426" w:hanging="426"/>
        <w:jc w:val="left"/>
        <w:rPr>
          <w:rFonts w:ascii="Avenir Book" w:hAnsi="Avenir Book" w:cs="Calibri"/>
          <w:sz w:val="22"/>
          <w:szCs w:val="22"/>
        </w:rPr>
      </w:pPr>
      <w:r w:rsidRPr="002F4C4C">
        <w:rPr>
          <w:rFonts w:ascii="Avenir Book" w:hAnsi="Avenir Book" w:cs="Calibri"/>
          <w:sz w:val="22"/>
          <w:szCs w:val="22"/>
        </w:rPr>
        <w:t xml:space="preserve">The Royal Commission should establish an expert advisory group of women and girls with disability and our representative organisations to provide advice on the situation of women and girls with disability in all areas, to provide advice on specific areas of examination that disproportionately impact on women and girls with disability, to provide advice on the process of examinations, findings and recommendations, and on other related matters. </w:t>
      </w:r>
    </w:p>
    <w:p w14:paraId="43756863" w14:textId="77777777" w:rsidR="00335C5F" w:rsidRPr="002F4C4C" w:rsidRDefault="00335C5F" w:rsidP="002F4C4C">
      <w:pPr>
        <w:pStyle w:val="ListParagraph"/>
        <w:spacing w:line="240" w:lineRule="auto"/>
        <w:ind w:left="0"/>
        <w:jc w:val="left"/>
        <w:rPr>
          <w:rFonts w:ascii="Avenir Book" w:hAnsi="Avenir Book" w:cs="Calibri"/>
          <w:sz w:val="22"/>
          <w:szCs w:val="22"/>
        </w:rPr>
      </w:pPr>
    </w:p>
    <w:p w14:paraId="0A3287FE" w14:textId="3D03846E" w:rsidR="00335C5F" w:rsidRPr="002F4C4C" w:rsidRDefault="00335C5F" w:rsidP="00564172">
      <w:pPr>
        <w:pStyle w:val="ListParagraph"/>
        <w:numPr>
          <w:ilvl w:val="0"/>
          <w:numId w:val="4"/>
        </w:numPr>
        <w:spacing w:line="240" w:lineRule="auto"/>
        <w:ind w:left="426" w:hanging="426"/>
        <w:jc w:val="left"/>
        <w:rPr>
          <w:rFonts w:ascii="Avenir Book" w:hAnsi="Avenir Book" w:cs="Calibri"/>
          <w:sz w:val="22"/>
          <w:szCs w:val="22"/>
        </w:rPr>
      </w:pPr>
      <w:r w:rsidRPr="002F4C4C">
        <w:rPr>
          <w:rFonts w:ascii="Avenir Book" w:hAnsi="Avenir Book" w:cs="Calibri"/>
          <w:sz w:val="22"/>
          <w:szCs w:val="22"/>
        </w:rPr>
        <w:t xml:space="preserve">The Royal Commission, in consultation with women with disability and our representative organisations should conduct a stand-alone Public Hearing, as well as forums, roundtables and other engagement activities to </w:t>
      </w:r>
      <w:r w:rsidRPr="002F4C4C">
        <w:rPr>
          <w:rFonts w:ascii="Avenir Book" w:hAnsi="Avenir Book"/>
          <w:sz w:val="22"/>
          <w:szCs w:val="22"/>
        </w:rPr>
        <w:t xml:space="preserve">examine the specific experiences of women and girls with disability in relation to violence, abuse, neglect and exploitation.  </w:t>
      </w:r>
    </w:p>
    <w:p w14:paraId="4985E7B7" w14:textId="77777777" w:rsidR="006B6572" w:rsidRPr="002F4C4C" w:rsidRDefault="006B6572" w:rsidP="002F4C4C">
      <w:pPr>
        <w:pStyle w:val="ListParagraph"/>
        <w:spacing w:line="240" w:lineRule="auto"/>
        <w:jc w:val="left"/>
        <w:rPr>
          <w:rFonts w:ascii="Avenir Book" w:hAnsi="Avenir Book" w:cs="Calibri"/>
          <w:sz w:val="22"/>
          <w:szCs w:val="22"/>
        </w:rPr>
      </w:pPr>
    </w:p>
    <w:p w14:paraId="39169428" w14:textId="308CCECB" w:rsidR="00BE2DCF" w:rsidRPr="002F4C4C" w:rsidRDefault="006B6572" w:rsidP="00564172">
      <w:pPr>
        <w:pStyle w:val="ListParagraph"/>
        <w:numPr>
          <w:ilvl w:val="0"/>
          <w:numId w:val="4"/>
        </w:numPr>
        <w:spacing w:line="240" w:lineRule="auto"/>
        <w:ind w:left="426" w:hanging="426"/>
        <w:jc w:val="left"/>
        <w:rPr>
          <w:rFonts w:ascii="Avenir Book" w:hAnsi="Avenir Book" w:cs="Calibri"/>
          <w:sz w:val="22"/>
          <w:szCs w:val="22"/>
        </w:rPr>
      </w:pPr>
      <w:r w:rsidRPr="002F4C4C">
        <w:rPr>
          <w:rFonts w:ascii="Avenir Book" w:hAnsi="Avenir Book" w:cs="Calibri"/>
          <w:sz w:val="22"/>
          <w:szCs w:val="22"/>
        </w:rPr>
        <w:t xml:space="preserve">In the context of living arrangements, including group homes, the Royal Commission should not only examine the incidence, impact and response to domestic </w:t>
      </w:r>
      <w:r w:rsidR="00713D35" w:rsidRPr="002F4C4C">
        <w:rPr>
          <w:rFonts w:ascii="Avenir Book" w:hAnsi="Avenir Book" w:cs="Calibri"/>
          <w:sz w:val="22"/>
          <w:szCs w:val="22"/>
        </w:rPr>
        <w:t xml:space="preserve">and family </w:t>
      </w:r>
      <w:r w:rsidRPr="002F4C4C">
        <w:rPr>
          <w:rFonts w:ascii="Avenir Book" w:hAnsi="Avenir Book" w:cs="Calibri"/>
          <w:sz w:val="22"/>
          <w:szCs w:val="22"/>
        </w:rPr>
        <w:t xml:space="preserve">violence, but </w:t>
      </w:r>
      <w:r w:rsidR="00713D35" w:rsidRPr="002F4C4C">
        <w:rPr>
          <w:rFonts w:ascii="Avenir Book" w:hAnsi="Avenir Book" w:cs="Calibri"/>
          <w:sz w:val="22"/>
          <w:szCs w:val="22"/>
        </w:rPr>
        <w:t xml:space="preserve">should </w:t>
      </w:r>
      <w:r w:rsidRPr="002F4C4C">
        <w:rPr>
          <w:rFonts w:ascii="Avenir Book" w:hAnsi="Avenir Book" w:cs="Calibri"/>
          <w:sz w:val="22"/>
          <w:szCs w:val="22"/>
        </w:rPr>
        <w:t>also examine the incidence, impact and response to violations of sexual and reproductive autonomy as well as harmful gender norms, gender stereotyping and microaggressions.</w:t>
      </w:r>
    </w:p>
    <w:p w14:paraId="66D1C1C3" w14:textId="77777777" w:rsidR="002F4C4C" w:rsidRDefault="002F4C4C">
      <w:pPr>
        <w:rPr>
          <w:rFonts w:ascii="Avenir Book" w:hAnsi="Avenir Book" w:cs="Calibri"/>
          <w:smallCaps/>
          <w:color w:val="AC1F79"/>
          <w:spacing w:val="5"/>
          <w:sz w:val="28"/>
          <w:szCs w:val="28"/>
        </w:rPr>
      </w:pPr>
      <w:r>
        <w:rPr>
          <w:rFonts w:ascii="Avenir Book" w:hAnsi="Avenir Book" w:cs="Calibri"/>
          <w:color w:val="AC1F79"/>
        </w:rPr>
        <w:br w:type="page"/>
      </w:r>
    </w:p>
    <w:p w14:paraId="3D2C10DD" w14:textId="4F2D26D8" w:rsidR="003960BE" w:rsidRPr="002F4C4C" w:rsidRDefault="008F2D5E" w:rsidP="00564172">
      <w:pPr>
        <w:pStyle w:val="Heading2"/>
        <w:numPr>
          <w:ilvl w:val="0"/>
          <w:numId w:val="6"/>
        </w:numPr>
        <w:spacing w:line="240" w:lineRule="auto"/>
        <w:ind w:left="426" w:hanging="426"/>
        <w:rPr>
          <w:rFonts w:ascii="Avenir Book" w:hAnsi="Avenir Book" w:cs="Calibri"/>
          <w:color w:val="AC1F79"/>
        </w:rPr>
      </w:pPr>
      <w:bookmarkStart w:id="119" w:name="_Toc43919160"/>
      <w:r>
        <w:rPr>
          <w:rFonts w:ascii="Avenir Book" w:hAnsi="Avenir Book" w:cs="Calibri"/>
          <w:color w:val="AC1F79"/>
        </w:rPr>
        <w:lastRenderedPageBreak/>
        <w:t>Ableism</w:t>
      </w:r>
      <w:r w:rsidR="0051259C">
        <w:rPr>
          <w:rFonts w:ascii="Avenir Book" w:hAnsi="Avenir Book" w:cs="Calibri"/>
          <w:color w:val="AC1F79"/>
        </w:rPr>
        <w:t>, segregation</w:t>
      </w:r>
      <w:r w:rsidR="00A3321D">
        <w:rPr>
          <w:rFonts w:ascii="Avenir Book" w:hAnsi="Avenir Book" w:cs="Calibri"/>
          <w:color w:val="AC1F79"/>
        </w:rPr>
        <w:t xml:space="preserve"> </w:t>
      </w:r>
      <w:r>
        <w:rPr>
          <w:rFonts w:ascii="Avenir Book" w:hAnsi="Avenir Book" w:cs="Calibri"/>
          <w:color w:val="AC1F79"/>
        </w:rPr>
        <w:t>and violence</w:t>
      </w:r>
      <w:bookmarkEnd w:id="119"/>
    </w:p>
    <w:p w14:paraId="3BE58ADA" w14:textId="7D6B0046" w:rsidR="000769F1" w:rsidRDefault="00CB6694" w:rsidP="00564172">
      <w:pPr>
        <w:pStyle w:val="ListParagraph"/>
        <w:numPr>
          <w:ilvl w:val="1"/>
          <w:numId w:val="20"/>
        </w:numPr>
        <w:spacing w:line="240" w:lineRule="auto"/>
        <w:ind w:left="993" w:hanging="567"/>
        <w:jc w:val="left"/>
        <w:rPr>
          <w:rFonts w:ascii="Avenir Book" w:hAnsi="Avenir Book"/>
          <w:sz w:val="22"/>
          <w:szCs w:val="22"/>
        </w:rPr>
      </w:pPr>
      <w:r w:rsidRPr="00CB6694">
        <w:rPr>
          <w:rFonts w:ascii="Avenir Book" w:hAnsi="Avenir Book"/>
          <w:sz w:val="22"/>
          <w:szCs w:val="22"/>
        </w:rPr>
        <w:t xml:space="preserve">Article 19 responds to “one of the most pervasive human rights abuses experienced </w:t>
      </w:r>
      <w:r>
        <w:rPr>
          <w:rFonts w:ascii="Avenir Book" w:hAnsi="Avenir Book"/>
          <w:sz w:val="22"/>
          <w:szCs w:val="22"/>
        </w:rPr>
        <w:t xml:space="preserve">by </w:t>
      </w:r>
      <w:r w:rsidRPr="00CB6694">
        <w:rPr>
          <w:rFonts w:ascii="Avenir Book" w:hAnsi="Avenir Book"/>
          <w:sz w:val="22"/>
          <w:szCs w:val="22"/>
        </w:rPr>
        <w:t>persons with disability; their segregation and isolation from the community in institutional environments”.</w:t>
      </w:r>
      <w:r>
        <w:rPr>
          <w:rStyle w:val="FootnoteReference"/>
          <w:rFonts w:ascii="Avenir Book" w:hAnsi="Avenir Book"/>
          <w:sz w:val="22"/>
          <w:szCs w:val="22"/>
        </w:rPr>
        <w:footnoteReference w:id="120"/>
      </w:r>
      <w:r w:rsidRPr="00CB6694">
        <w:rPr>
          <w:rFonts w:ascii="Avenir Book" w:hAnsi="Avenir Book"/>
          <w:sz w:val="22"/>
          <w:szCs w:val="22"/>
        </w:rPr>
        <w:t xml:space="preserve"> </w:t>
      </w:r>
    </w:p>
    <w:p w14:paraId="2D183C7B" w14:textId="77777777" w:rsidR="000769F1" w:rsidRDefault="000769F1" w:rsidP="002F4C4C">
      <w:pPr>
        <w:pStyle w:val="ListParagraph"/>
        <w:spacing w:line="240" w:lineRule="auto"/>
        <w:ind w:left="993"/>
        <w:jc w:val="left"/>
        <w:rPr>
          <w:rFonts w:ascii="Avenir Book" w:hAnsi="Avenir Book"/>
          <w:sz w:val="22"/>
          <w:szCs w:val="22"/>
        </w:rPr>
      </w:pPr>
    </w:p>
    <w:p w14:paraId="5AB4C42F" w14:textId="700C90B4" w:rsidR="00CB6694" w:rsidRDefault="00CB6694" w:rsidP="00564172">
      <w:pPr>
        <w:pStyle w:val="ListParagraph"/>
        <w:numPr>
          <w:ilvl w:val="1"/>
          <w:numId w:val="20"/>
        </w:numPr>
        <w:spacing w:line="240" w:lineRule="auto"/>
        <w:ind w:left="993" w:hanging="567"/>
        <w:jc w:val="left"/>
        <w:rPr>
          <w:rFonts w:ascii="Avenir Book" w:hAnsi="Avenir Book"/>
          <w:sz w:val="22"/>
          <w:szCs w:val="22"/>
        </w:rPr>
      </w:pPr>
      <w:r w:rsidRPr="00CB6694">
        <w:rPr>
          <w:rFonts w:ascii="Avenir Book" w:hAnsi="Avenir Book"/>
          <w:sz w:val="22"/>
          <w:szCs w:val="22"/>
        </w:rPr>
        <w:t>The Issues Paper highlights the long history of institutionalisation of people with disability from the late 1800s, the campaign by the disability rights movement for deinstitutionalisation from the 1970s, the gradual closure of large residential institutions and the development of other forms of accommodation,</w:t>
      </w:r>
      <w:r w:rsidR="00314FBA">
        <w:rPr>
          <w:rFonts w:ascii="Avenir Book" w:hAnsi="Avenir Book"/>
          <w:sz w:val="22"/>
          <w:szCs w:val="22"/>
        </w:rPr>
        <w:t xml:space="preserve"> </w:t>
      </w:r>
      <w:r w:rsidRPr="00CB6694">
        <w:rPr>
          <w:rFonts w:ascii="Avenir Book" w:hAnsi="Avenir Book"/>
          <w:sz w:val="22"/>
          <w:szCs w:val="22"/>
        </w:rPr>
        <w:t>primarily the smaller group home supported accommodation model.</w:t>
      </w:r>
      <w:r w:rsidR="00314FBA">
        <w:rPr>
          <w:rStyle w:val="FootnoteReference"/>
          <w:rFonts w:ascii="Avenir Book" w:hAnsi="Avenir Book"/>
          <w:sz w:val="22"/>
          <w:szCs w:val="22"/>
        </w:rPr>
        <w:footnoteReference w:id="121"/>
      </w:r>
      <w:r w:rsidRPr="00CB6694">
        <w:rPr>
          <w:rFonts w:ascii="Avenir Book" w:hAnsi="Avenir Book"/>
          <w:sz w:val="22"/>
          <w:szCs w:val="22"/>
        </w:rPr>
        <w:t xml:space="preserve"> </w:t>
      </w:r>
    </w:p>
    <w:p w14:paraId="5C7C4D9E" w14:textId="77777777" w:rsidR="00314FBA" w:rsidRDefault="00314FBA" w:rsidP="002F4C4C">
      <w:pPr>
        <w:pStyle w:val="ListParagraph"/>
        <w:spacing w:line="240" w:lineRule="auto"/>
        <w:ind w:left="993"/>
        <w:jc w:val="left"/>
        <w:rPr>
          <w:rFonts w:ascii="Avenir Book" w:hAnsi="Avenir Book"/>
          <w:sz w:val="22"/>
          <w:szCs w:val="22"/>
        </w:rPr>
      </w:pPr>
    </w:p>
    <w:p w14:paraId="61A662B3" w14:textId="235DAE68" w:rsidR="00B701C8" w:rsidRDefault="00A72C4B" w:rsidP="00564172">
      <w:pPr>
        <w:pStyle w:val="ListParagraph"/>
        <w:numPr>
          <w:ilvl w:val="1"/>
          <w:numId w:val="20"/>
        </w:numPr>
        <w:spacing w:after="0" w:line="240" w:lineRule="auto"/>
        <w:ind w:left="993" w:hanging="567"/>
        <w:contextualSpacing w:val="0"/>
        <w:jc w:val="left"/>
        <w:rPr>
          <w:rFonts w:ascii="Avenir Book" w:hAnsi="Avenir Book"/>
          <w:sz w:val="22"/>
          <w:szCs w:val="22"/>
        </w:rPr>
      </w:pPr>
      <w:r>
        <w:rPr>
          <w:rFonts w:ascii="Avenir Book" w:hAnsi="Avenir Book"/>
          <w:sz w:val="22"/>
          <w:szCs w:val="22"/>
        </w:rPr>
        <w:t>The shift to</w:t>
      </w:r>
      <w:r w:rsidR="00CB6694" w:rsidRPr="00CB6694">
        <w:rPr>
          <w:rFonts w:ascii="Avenir Book" w:hAnsi="Avenir Book"/>
          <w:sz w:val="22"/>
          <w:szCs w:val="22"/>
        </w:rPr>
        <w:t xml:space="preserve"> the group home model </w:t>
      </w:r>
      <w:r>
        <w:rPr>
          <w:rFonts w:ascii="Avenir Book" w:hAnsi="Avenir Book"/>
          <w:sz w:val="22"/>
          <w:szCs w:val="22"/>
        </w:rPr>
        <w:t xml:space="preserve">of accommodation </w:t>
      </w:r>
      <w:r w:rsidR="00CB6694" w:rsidRPr="00CB6694">
        <w:rPr>
          <w:rFonts w:ascii="Avenir Book" w:hAnsi="Avenir Book"/>
          <w:sz w:val="22"/>
          <w:szCs w:val="22"/>
        </w:rPr>
        <w:t>was viewed as facilitating greater quality of life and community participation</w:t>
      </w:r>
      <w:r>
        <w:rPr>
          <w:rFonts w:ascii="Avenir Book" w:hAnsi="Avenir Book"/>
          <w:sz w:val="22"/>
          <w:szCs w:val="22"/>
        </w:rPr>
        <w:t xml:space="preserve">. However, </w:t>
      </w:r>
      <w:r w:rsidR="00CB6694" w:rsidRPr="00CB6694">
        <w:rPr>
          <w:rFonts w:ascii="Avenir Book" w:hAnsi="Avenir Book"/>
          <w:sz w:val="22"/>
          <w:szCs w:val="22"/>
        </w:rPr>
        <w:t>as noted above, the defining elements of institutionalisation are still inherent to this model. Article 19 requires much more than reducing the number of people living within a particular living arrangement; “this only results in the replacement of one type of institution with another”.</w:t>
      </w:r>
      <w:r w:rsidR="00B701C8">
        <w:rPr>
          <w:rStyle w:val="FootnoteReference"/>
          <w:rFonts w:ascii="Avenir Book" w:hAnsi="Avenir Book"/>
          <w:sz w:val="22"/>
          <w:szCs w:val="22"/>
        </w:rPr>
        <w:footnoteReference w:id="122"/>
      </w:r>
    </w:p>
    <w:p w14:paraId="6682ECDF" w14:textId="77777777" w:rsidR="00A72C4B" w:rsidRPr="00A72C4B" w:rsidRDefault="00A72C4B" w:rsidP="002F4C4C">
      <w:pPr>
        <w:spacing w:after="0" w:line="240" w:lineRule="auto"/>
        <w:jc w:val="left"/>
        <w:rPr>
          <w:rFonts w:ascii="Avenir Book" w:hAnsi="Avenir Book"/>
          <w:sz w:val="22"/>
          <w:szCs w:val="22"/>
        </w:rPr>
      </w:pPr>
    </w:p>
    <w:p w14:paraId="279E1CE9" w14:textId="1093D204" w:rsidR="00140397" w:rsidRDefault="00CB6694" w:rsidP="00564172">
      <w:pPr>
        <w:pStyle w:val="ListParagraph"/>
        <w:numPr>
          <w:ilvl w:val="1"/>
          <w:numId w:val="20"/>
        </w:numPr>
        <w:spacing w:line="240" w:lineRule="auto"/>
        <w:ind w:left="993" w:hanging="567"/>
        <w:jc w:val="left"/>
        <w:rPr>
          <w:rFonts w:ascii="Avenir Book" w:hAnsi="Avenir Book"/>
          <w:sz w:val="22"/>
          <w:szCs w:val="22"/>
        </w:rPr>
      </w:pPr>
      <w:r w:rsidRPr="00CB6694">
        <w:rPr>
          <w:rFonts w:ascii="Avenir Book" w:hAnsi="Avenir Book"/>
          <w:sz w:val="22"/>
          <w:szCs w:val="22"/>
        </w:rPr>
        <w:t>Institutionalisation is characterised by segregation and isolation and the loss of liberty and security, personal choice, autonomy and freedom of movement</w:t>
      </w:r>
      <w:r w:rsidR="00112B39">
        <w:rPr>
          <w:rFonts w:ascii="Avenir Book" w:hAnsi="Avenir Book"/>
          <w:sz w:val="22"/>
          <w:szCs w:val="22"/>
        </w:rPr>
        <w:t xml:space="preserve">.  </w:t>
      </w:r>
      <w:r w:rsidR="00112B39" w:rsidRPr="00A72C4B">
        <w:rPr>
          <w:rFonts w:ascii="Avenir Book" w:hAnsi="Avenir Book"/>
          <w:sz w:val="22"/>
          <w:szCs w:val="22"/>
        </w:rPr>
        <w:t xml:space="preserve">The Report from </w:t>
      </w:r>
      <w:r w:rsidR="00140397">
        <w:rPr>
          <w:rFonts w:ascii="Avenir Book" w:hAnsi="Avenir Book"/>
          <w:sz w:val="22"/>
          <w:szCs w:val="22"/>
        </w:rPr>
        <w:t xml:space="preserve">the </w:t>
      </w:r>
      <w:r w:rsidR="00112B39" w:rsidRPr="00A72C4B">
        <w:rPr>
          <w:rFonts w:ascii="Avenir Book" w:hAnsi="Avenir Book"/>
          <w:sz w:val="22"/>
          <w:szCs w:val="22"/>
        </w:rPr>
        <w:t>Senate Inquiry found “that institutional and congregate care models of service delivery are themselves major factors in the prevalence of violence, abuse and neglect of people with disability.”</w:t>
      </w:r>
      <w:r w:rsidR="00112B39">
        <w:rPr>
          <w:rStyle w:val="FootnoteReference"/>
          <w:rFonts w:ascii="Avenir Book" w:hAnsi="Avenir Book"/>
          <w:sz w:val="22"/>
          <w:szCs w:val="22"/>
        </w:rPr>
        <w:footnoteReference w:id="123"/>
      </w:r>
      <w:r w:rsidR="00140397">
        <w:rPr>
          <w:rFonts w:ascii="Avenir Book" w:hAnsi="Avenir Book"/>
          <w:sz w:val="22"/>
          <w:szCs w:val="22"/>
        </w:rPr>
        <w:t xml:space="preserve">  </w:t>
      </w:r>
    </w:p>
    <w:p w14:paraId="77C7D595" w14:textId="77777777" w:rsidR="00140397" w:rsidRPr="00140397" w:rsidRDefault="00140397" w:rsidP="002F4C4C">
      <w:pPr>
        <w:pStyle w:val="ListParagraph"/>
        <w:spacing w:line="240" w:lineRule="auto"/>
        <w:jc w:val="left"/>
        <w:rPr>
          <w:rFonts w:ascii="Avenir Book" w:hAnsi="Avenir Book"/>
          <w:sz w:val="22"/>
          <w:szCs w:val="22"/>
        </w:rPr>
      </w:pPr>
    </w:p>
    <w:p w14:paraId="0DE758BB" w14:textId="11EC9C07" w:rsidR="00CB6694" w:rsidRDefault="00CB6694" w:rsidP="00564172">
      <w:pPr>
        <w:pStyle w:val="ListParagraph"/>
        <w:numPr>
          <w:ilvl w:val="1"/>
          <w:numId w:val="20"/>
        </w:numPr>
        <w:spacing w:line="240" w:lineRule="auto"/>
        <w:ind w:left="993" w:hanging="567"/>
        <w:jc w:val="left"/>
        <w:rPr>
          <w:rFonts w:ascii="Avenir Book" w:hAnsi="Avenir Book"/>
          <w:sz w:val="22"/>
          <w:szCs w:val="22"/>
        </w:rPr>
      </w:pPr>
      <w:r w:rsidRPr="00140397">
        <w:rPr>
          <w:rFonts w:ascii="Avenir Book" w:hAnsi="Avenir Book"/>
          <w:sz w:val="22"/>
          <w:szCs w:val="22"/>
        </w:rPr>
        <w:t xml:space="preserve">The Report from </w:t>
      </w:r>
      <w:r w:rsidR="004B49E2">
        <w:rPr>
          <w:rFonts w:ascii="Avenir Book" w:hAnsi="Avenir Book"/>
          <w:sz w:val="22"/>
          <w:szCs w:val="22"/>
        </w:rPr>
        <w:t xml:space="preserve">the </w:t>
      </w:r>
      <w:r w:rsidRPr="00140397">
        <w:rPr>
          <w:rFonts w:ascii="Avenir Book" w:hAnsi="Avenir Book"/>
          <w:sz w:val="22"/>
          <w:szCs w:val="22"/>
        </w:rPr>
        <w:t xml:space="preserve">Senate Inquiry </w:t>
      </w:r>
      <w:r w:rsidR="008E687E">
        <w:rPr>
          <w:rFonts w:ascii="Avenir Book" w:hAnsi="Avenir Book"/>
          <w:sz w:val="22"/>
          <w:szCs w:val="22"/>
        </w:rPr>
        <w:t xml:space="preserve">also </w:t>
      </w:r>
      <w:r w:rsidRPr="00140397">
        <w:rPr>
          <w:rFonts w:ascii="Avenir Book" w:hAnsi="Avenir Book"/>
          <w:sz w:val="22"/>
          <w:szCs w:val="22"/>
        </w:rPr>
        <w:t xml:space="preserve">highlighted </w:t>
      </w:r>
      <w:r w:rsidR="00BB26EC" w:rsidRPr="00140397">
        <w:rPr>
          <w:rFonts w:ascii="Avenir Book" w:hAnsi="Avenir Book"/>
          <w:sz w:val="22"/>
          <w:szCs w:val="22"/>
        </w:rPr>
        <w:t xml:space="preserve">that </w:t>
      </w:r>
      <w:r w:rsidRPr="00140397">
        <w:rPr>
          <w:rFonts w:ascii="Avenir Book" w:hAnsi="Avenir Book"/>
          <w:sz w:val="22"/>
          <w:szCs w:val="22"/>
        </w:rPr>
        <w:t xml:space="preserve">the de-valuing of people with disability </w:t>
      </w:r>
      <w:r w:rsidR="00BB26EC" w:rsidRPr="00140397">
        <w:rPr>
          <w:rFonts w:ascii="Avenir Book" w:hAnsi="Avenir Book"/>
          <w:sz w:val="22"/>
          <w:szCs w:val="22"/>
        </w:rPr>
        <w:t>i</w:t>
      </w:r>
      <w:r w:rsidRPr="00140397">
        <w:rPr>
          <w:rFonts w:ascii="Avenir Book" w:hAnsi="Avenir Book"/>
          <w:sz w:val="22"/>
          <w:szCs w:val="22"/>
        </w:rPr>
        <w:t xml:space="preserve">s an underlying cause of violence, </w:t>
      </w:r>
      <w:r w:rsidR="008D4287" w:rsidRPr="00140397">
        <w:rPr>
          <w:rFonts w:ascii="Avenir Book" w:hAnsi="Avenir Book"/>
          <w:sz w:val="22"/>
          <w:szCs w:val="22"/>
        </w:rPr>
        <w:t xml:space="preserve">abuse and neglect, </w:t>
      </w:r>
      <w:r w:rsidRPr="00140397">
        <w:rPr>
          <w:rFonts w:ascii="Avenir Book" w:hAnsi="Avenir Book"/>
          <w:sz w:val="22"/>
          <w:szCs w:val="22"/>
        </w:rPr>
        <w:t>with this de-valuing permeating the “attitudes of individual disability workers, service delivery organisations and most disturbingly, government systems designed to protect the rights of individuals”.</w:t>
      </w:r>
      <w:r w:rsidR="008D4287">
        <w:rPr>
          <w:rStyle w:val="FootnoteReference"/>
          <w:rFonts w:ascii="Avenir Book" w:hAnsi="Avenir Book"/>
          <w:sz w:val="22"/>
          <w:szCs w:val="22"/>
        </w:rPr>
        <w:footnoteReference w:id="124"/>
      </w:r>
      <w:r w:rsidRPr="00140397">
        <w:rPr>
          <w:rFonts w:ascii="Avenir Book" w:hAnsi="Avenir Book"/>
          <w:sz w:val="22"/>
          <w:szCs w:val="22"/>
        </w:rPr>
        <w:t xml:space="preserve"> </w:t>
      </w:r>
      <w:r w:rsidR="00BB26EC" w:rsidRPr="00140397">
        <w:rPr>
          <w:rFonts w:ascii="Avenir Book" w:hAnsi="Avenir Book"/>
          <w:sz w:val="22"/>
          <w:szCs w:val="22"/>
        </w:rPr>
        <w:t xml:space="preserve"> The Report </w:t>
      </w:r>
      <w:r w:rsidR="00F155A4">
        <w:rPr>
          <w:rFonts w:ascii="Avenir Book" w:hAnsi="Avenir Book"/>
          <w:sz w:val="22"/>
          <w:szCs w:val="22"/>
        </w:rPr>
        <w:t>highlighted</w:t>
      </w:r>
      <w:r w:rsidRPr="00140397">
        <w:rPr>
          <w:rFonts w:ascii="Avenir Book" w:hAnsi="Avenir Book"/>
          <w:sz w:val="22"/>
          <w:szCs w:val="22"/>
        </w:rPr>
        <w:t xml:space="preserve"> that “cultural attitudes are hard to shift and will take a long-term concerted effort from all stakeholders, with a lead role taken by government”.</w:t>
      </w:r>
      <w:r w:rsidRPr="00DA053E">
        <w:rPr>
          <w:vertAlign w:val="superscript"/>
        </w:rPr>
        <w:footnoteReference w:id="125"/>
      </w:r>
      <w:r w:rsidRPr="00140397">
        <w:rPr>
          <w:rFonts w:ascii="Avenir Book" w:hAnsi="Avenir Book"/>
          <w:sz w:val="22"/>
          <w:szCs w:val="22"/>
        </w:rPr>
        <w:t xml:space="preserve"> </w:t>
      </w:r>
    </w:p>
    <w:p w14:paraId="484E7023" w14:textId="77777777" w:rsidR="003D597B" w:rsidRPr="003D597B" w:rsidRDefault="003D597B" w:rsidP="002F4C4C">
      <w:pPr>
        <w:pStyle w:val="ListParagraph"/>
        <w:spacing w:line="240" w:lineRule="auto"/>
        <w:jc w:val="left"/>
        <w:rPr>
          <w:rFonts w:ascii="Avenir Book" w:hAnsi="Avenir Book"/>
          <w:sz w:val="22"/>
          <w:szCs w:val="22"/>
        </w:rPr>
      </w:pPr>
    </w:p>
    <w:p w14:paraId="1B6CC20B" w14:textId="04FAE7D2" w:rsidR="00FE2FC4" w:rsidRDefault="00CB6694" w:rsidP="00564172">
      <w:pPr>
        <w:pStyle w:val="ListParagraph"/>
        <w:numPr>
          <w:ilvl w:val="1"/>
          <w:numId w:val="20"/>
        </w:numPr>
        <w:spacing w:line="240" w:lineRule="auto"/>
        <w:ind w:left="993" w:hanging="567"/>
        <w:jc w:val="left"/>
        <w:rPr>
          <w:rFonts w:ascii="Avenir Book" w:hAnsi="Avenir Book"/>
          <w:sz w:val="22"/>
          <w:szCs w:val="22"/>
        </w:rPr>
      </w:pPr>
      <w:r w:rsidRPr="003D597B">
        <w:rPr>
          <w:rFonts w:ascii="Avenir Book" w:hAnsi="Avenir Book"/>
          <w:sz w:val="22"/>
          <w:szCs w:val="22"/>
        </w:rPr>
        <w:t xml:space="preserve">The de-valuing of people with disability is commonly </w:t>
      </w:r>
      <w:r w:rsidR="008D4287" w:rsidRPr="003D597B">
        <w:rPr>
          <w:rFonts w:ascii="Avenir Book" w:hAnsi="Avenir Book"/>
          <w:sz w:val="22"/>
          <w:szCs w:val="22"/>
        </w:rPr>
        <w:t>referred to as</w:t>
      </w:r>
      <w:r w:rsidRPr="003D597B">
        <w:rPr>
          <w:rFonts w:ascii="Avenir Book" w:hAnsi="Avenir Book"/>
          <w:sz w:val="22"/>
          <w:szCs w:val="22"/>
        </w:rPr>
        <w:t xml:space="preserve"> ‘ableism’</w:t>
      </w:r>
      <w:r w:rsidR="003C26E3">
        <w:rPr>
          <w:rFonts w:ascii="Avenir Book" w:hAnsi="Avenir Book"/>
          <w:sz w:val="22"/>
          <w:szCs w:val="22"/>
        </w:rPr>
        <w:t xml:space="preserve">, which is </w:t>
      </w:r>
      <w:r w:rsidR="00FE2FC4" w:rsidRPr="009F20E0">
        <w:rPr>
          <w:rFonts w:ascii="Avenir Book" w:hAnsi="Avenir Book"/>
          <w:sz w:val="22"/>
          <w:szCs w:val="22"/>
        </w:rPr>
        <w:t xml:space="preserve">based </w:t>
      </w:r>
      <w:r w:rsidR="009F20E0">
        <w:rPr>
          <w:rFonts w:ascii="Avenir Book" w:hAnsi="Avenir Book"/>
          <w:sz w:val="22"/>
          <w:szCs w:val="22"/>
        </w:rPr>
        <w:t>in</w:t>
      </w:r>
      <w:r w:rsidR="00FE2FC4" w:rsidRPr="009F20E0">
        <w:rPr>
          <w:rFonts w:ascii="Avenir Book" w:hAnsi="Avenir Book"/>
          <w:sz w:val="22"/>
          <w:szCs w:val="22"/>
        </w:rPr>
        <w:t xml:space="preserve"> entrenched and seemingly neutral social beliefs or norms that de-value people with disability as human beings. Not only are these beliefs offensive to human dignity and human rights, they underpin and enable violence, abuse, neglect and exploitation.</w:t>
      </w:r>
      <w:r w:rsidR="00FE2FC4" w:rsidRPr="00140397">
        <w:rPr>
          <w:rFonts w:ascii="Avenir Book" w:hAnsi="Avenir Book"/>
          <w:sz w:val="22"/>
          <w:szCs w:val="22"/>
        </w:rPr>
        <w:t xml:space="preserve"> </w:t>
      </w:r>
    </w:p>
    <w:p w14:paraId="365CEE4C" w14:textId="77777777" w:rsidR="00FE2FC4" w:rsidRPr="00FE2FC4" w:rsidRDefault="00FE2FC4" w:rsidP="002F4C4C">
      <w:pPr>
        <w:pStyle w:val="ListParagraph"/>
        <w:spacing w:line="240" w:lineRule="auto"/>
        <w:jc w:val="left"/>
        <w:rPr>
          <w:rFonts w:ascii="Avenir Book" w:hAnsi="Avenir Book"/>
          <w:sz w:val="22"/>
          <w:szCs w:val="22"/>
        </w:rPr>
      </w:pPr>
    </w:p>
    <w:p w14:paraId="6B1A1AFB" w14:textId="26D3BD11" w:rsidR="00CB6694" w:rsidRDefault="00FE2FC4" w:rsidP="00564172">
      <w:pPr>
        <w:pStyle w:val="ListParagraph"/>
        <w:numPr>
          <w:ilvl w:val="1"/>
          <w:numId w:val="20"/>
        </w:numPr>
        <w:spacing w:line="240" w:lineRule="auto"/>
        <w:ind w:left="993" w:hanging="567"/>
        <w:jc w:val="left"/>
        <w:rPr>
          <w:rFonts w:ascii="Avenir Book" w:hAnsi="Avenir Book"/>
          <w:sz w:val="22"/>
          <w:szCs w:val="22"/>
        </w:rPr>
      </w:pPr>
      <w:r>
        <w:rPr>
          <w:rFonts w:ascii="Avenir Book" w:hAnsi="Avenir Book"/>
          <w:sz w:val="22"/>
          <w:szCs w:val="22"/>
        </w:rPr>
        <w:lastRenderedPageBreak/>
        <w:t xml:space="preserve">Ableism </w:t>
      </w:r>
      <w:r w:rsidR="00754D62">
        <w:rPr>
          <w:rFonts w:ascii="Avenir Book" w:hAnsi="Avenir Book"/>
          <w:sz w:val="22"/>
          <w:szCs w:val="22"/>
        </w:rPr>
        <w:t>is the foundation of</w:t>
      </w:r>
      <w:r>
        <w:rPr>
          <w:rFonts w:ascii="Avenir Book" w:hAnsi="Avenir Book"/>
          <w:sz w:val="22"/>
          <w:szCs w:val="22"/>
        </w:rPr>
        <w:t xml:space="preserve"> t</w:t>
      </w:r>
      <w:r w:rsidR="00CB6694" w:rsidRPr="003D597B">
        <w:rPr>
          <w:rFonts w:ascii="Avenir Book" w:hAnsi="Avenir Book"/>
          <w:sz w:val="22"/>
          <w:szCs w:val="22"/>
        </w:rPr>
        <w:t xml:space="preserve">he medical model </w:t>
      </w:r>
      <w:r>
        <w:rPr>
          <w:rFonts w:ascii="Avenir Book" w:hAnsi="Avenir Book"/>
          <w:sz w:val="22"/>
          <w:szCs w:val="22"/>
        </w:rPr>
        <w:t>of disability</w:t>
      </w:r>
      <w:r w:rsidR="009F20E0">
        <w:rPr>
          <w:rFonts w:ascii="Avenir Book" w:hAnsi="Avenir Book"/>
          <w:sz w:val="22"/>
          <w:szCs w:val="22"/>
        </w:rPr>
        <w:t xml:space="preserve">, where </w:t>
      </w:r>
      <w:r w:rsidR="00CB6694" w:rsidRPr="003D597B">
        <w:rPr>
          <w:rFonts w:ascii="Avenir Book" w:hAnsi="Avenir Book"/>
          <w:sz w:val="22"/>
          <w:szCs w:val="22"/>
        </w:rPr>
        <w:t xml:space="preserve">disability </w:t>
      </w:r>
      <w:r>
        <w:rPr>
          <w:rFonts w:ascii="Avenir Book" w:hAnsi="Avenir Book"/>
          <w:sz w:val="22"/>
          <w:szCs w:val="22"/>
        </w:rPr>
        <w:t>i</w:t>
      </w:r>
      <w:r w:rsidR="00CB6694" w:rsidRPr="003D597B">
        <w:rPr>
          <w:rFonts w:ascii="Avenir Book" w:hAnsi="Avenir Book"/>
          <w:sz w:val="22"/>
          <w:szCs w:val="22"/>
        </w:rPr>
        <w:t xml:space="preserve">s </w:t>
      </w:r>
      <w:r w:rsidR="009F20E0">
        <w:rPr>
          <w:rFonts w:ascii="Avenir Book" w:hAnsi="Avenir Book"/>
          <w:sz w:val="22"/>
          <w:szCs w:val="22"/>
        </w:rPr>
        <w:t xml:space="preserve">viewed as </w:t>
      </w:r>
      <w:r w:rsidR="00CB6694" w:rsidRPr="003D597B">
        <w:rPr>
          <w:rFonts w:ascii="Avenir Book" w:hAnsi="Avenir Book"/>
          <w:sz w:val="22"/>
          <w:szCs w:val="22"/>
        </w:rPr>
        <w:t xml:space="preserve">a ‘deficit’ within the individual, a deviation from bodily, cognitive and mental norms, which requires medical, rehabilitation, psychology and educational interventions to diagnose, treat or cure the individual. The response to this has been to establish ‘special’ laws, policies, programs and arrangements that segregate, congregate and marginalise people with disability </w:t>
      </w:r>
      <w:r w:rsidR="00754D62">
        <w:rPr>
          <w:rFonts w:ascii="Avenir Book" w:hAnsi="Avenir Book"/>
          <w:sz w:val="22"/>
          <w:szCs w:val="22"/>
        </w:rPr>
        <w:t>–</w:t>
      </w:r>
      <w:r w:rsidR="00CB6694" w:rsidRPr="003D597B">
        <w:rPr>
          <w:rFonts w:ascii="Avenir Book" w:hAnsi="Avenir Book"/>
          <w:sz w:val="22"/>
          <w:szCs w:val="22"/>
        </w:rPr>
        <w:t xml:space="preserve"> special schools, special </w:t>
      </w:r>
      <w:r w:rsidR="00140397" w:rsidRPr="003D597B">
        <w:rPr>
          <w:rFonts w:ascii="Avenir Book" w:hAnsi="Avenir Book"/>
          <w:sz w:val="22"/>
          <w:szCs w:val="22"/>
        </w:rPr>
        <w:t xml:space="preserve">institutions, </w:t>
      </w:r>
      <w:r w:rsidR="00CB6694" w:rsidRPr="003D597B">
        <w:rPr>
          <w:rFonts w:ascii="Avenir Book" w:hAnsi="Avenir Book"/>
          <w:sz w:val="22"/>
          <w:szCs w:val="22"/>
        </w:rPr>
        <w:t xml:space="preserve">accommodation and living arrangements, segregated employment, segregated transport systems, special access arrangements, special sporting events, guardianship, financial management and mental health laws.  </w:t>
      </w:r>
    </w:p>
    <w:p w14:paraId="618AD259" w14:textId="77777777" w:rsidR="003D597B" w:rsidRPr="003D597B" w:rsidRDefault="003D597B" w:rsidP="002F4C4C">
      <w:pPr>
        <w:pStyle w:val="ListParagraph"/>
        <w:spacing w:line="240" w:lineRule="auto"/>
        <w:jc w:val="left"/>
        <w:rPr>
          <w:rFonts w:ascii="Avenir Book" w:hAnsi="Avenir Book"/>
          <w:sz w:val="22"/>
          <w:szCs w:val="22"/>
        </w:rPr>
      </w:pPr>
    </w:p>
    <w:p w14:paraId="5A8FD1D5" w14:textId="51E7FC9D" w:rsidR="00CB6694" w:rsidRDefault="008D4287" w:rsidP="00564172">
      <w:pPr>
        <w:pStyle w:val="ListParagraph"/>
        <w:numPr>
          <w:ilvl w:val="1"/>
          <w:numId w:val="20"/>
        </w:numPr>
        <w:spacing w:line="240" w:lineRule="auto"/>
        <w:ind w:left="993" w:hanging="567"/>
        <w:jc w:val="left"/>
        <w:rPr>
          <w:rFonts w:ascii="Avenir Book" w:hAnsi="Avenir Book"/>
          <w:sz w:val="22"/>
          <w:szCs w:val="22"/>
        </w:rPr>
      </w:pPr>
      <w:r w:rsidRPr="003D597B">
        <w:rPr>
          <w:rFonts w:ascii="Avenir Book" w:hAnsi="Avenir Book"/>
          <w:sz w:val="22"/>
          <w:szCs w:val="22"/>
        </w:rPr>
        <w:t>In contrast, t</w:t>
      </w:r>
      <w:r w:rsidR="00CB6694" w:rsidRPr="003D597B">
        <w:rPr>
          <w:rFonts w:ascii="Avenir Book" w:hAnsi="Avenir Book"/>
          <w:sz w:val="22"/>
          <w:szCs w:val="22"/>
        </w:rPr>
        <w:t xml:space="preserve">he social model of disability </w:t>
      </w:r>
      <w:r w:rsidRPr="003D597B">
        <w:rPr>
          <w:rFonts w:ascii="Avenir Book" w:hAnsi="Avenir Book"/>
          <w:sz w:val="22"/>
          <w:szCs w:val="22"/>
        </w:rPr>
        <w:t xml:space="preserve">differentiates between the concepts of disability and impairment.  It </w:t>
      </w:r>
      <w:r w:rsidR="00CB6694" w:rsidRPr="003D597B">
        <w:rPr>
          <w:rFonts w:ascii="Avenir Book" w:hAnsi="Avenir Book"/>
          <w:sz w:val="22"/>
          <w:szCs w:val="22"/>
        </w:rPr>
        <w:t>recognises disability as a social construct underpinned by power relations that oppress and discriminate against people with impairments.</w:t>
      </w:r>
      <w:r w:rsidR="00CB6694" w:rsidRPr="00DA053E">
        <w:rPr>
          <w:vertAlign w:val="superscript"/>
        </w:rPr>
        <w:footnoteReference w:id="126"/>
      </w:r>
      <w:r w:rsidR="00CB6694" w:rsidRPr="003D597B">
        <w:rPr>
          <w:rFonts w:ascii="Avenir Book" w:hAnsi="Avenir Book"/>
          <w:sz w:val="22"/>
          <w:szCs w:val="22"/>
        </w:rPr>
        <w:t xml:space="preserve"> Impairment is viewed as a personal characteristic that is one aspect of human diversity.  Disability is not inherent within the individual but is the result of the way that society responds to impairment, with this response resulting in inequality and discrimination, including segregation on the basis of impairment. </w:t>
      </w:r>
    </w:p>
    <w:p w14:paraId="789EFEF9" w14:textId="77777777" w:rsidR="003D597B" w:rsidRPr="003D597B" w:rsidRDefault="003D597B" w:rsidP="002F4C4C">
      <w:pPr>
        <w:pStyle w:val="ListParagraph"/>
        <w:spacing w:line="240" w:lineRule="auto"/>
        <w:jc w:val="left"/>
        <w:rPr>
          <w:rFonts w:ascii="Avenir Book" w:hAnsi="Avenir Book"/>
          <w:sz w:val="22"/>
          <w:szCs w:val="22"/>
        </w:rPr>
      </w:pPr>
    </w:p>
    <w:p w14:paraId="5B218E39" w14:textId="6AAC7CDF" w:rsidR="00CB6694" w:rsidRDefault="00CB6694" w:rsidP="00564172">
      <w:pPr>
        <w:pStyle w:val="ListParagraph"/>
        <w:numPr>
          <w:ilvl w:val="1"/>
          <w:numId w:val="20"/>
        </w:numPr>
        <w:spacing w:line="240" w:lineRule="auto"/>
        <w:ind w:left="993" w:hanging="567"/>
        <w:jc w:val="left"/>
        <w:rPr>
          <w:rFonts w:ascii="Avenir Book" w:hAnsi="Avenir Book"/>
          <w:sz w:val="22"/>
          <w:szCs w:val="22"/>
        </w:rPr>
      </w:pPr>
      <w:r w:rsidRPr="003D597B">
        <w:rPr>
          <w:rFonts w:ascii="Avenir Book" w:hAnsi="Avenir Book"/>
          <w:sz w:val="22"/>
          <w:szCs w:val="22"/>
        </w:rPr>
        <w:t>The CRPD is based on the social model of disability, but goes further by codifying a human rights model of disability.</w:t>
      </w:r>
      <w:r w:rsidRPr="00DA053E">
        <w:rPr>
          <w:vertAlign w:val="superscript"/>
        </w:rPr>
        <w:footnoteReference w:id="127"/>
      </w:r>
      <w:r w:rsidRPr="003D597B">
        <w:rPr>
          <w:rFonts w:ascii="Avenir Book" w:hAnsi="Avenir Book"/>
          <w:sz w:val="22"/>
          <w:szCs w:val="22"/>
        </w:rPr>
        <w:t xml:space="preserve"> It recognises disability as a social construct, but also “values impairment as part of human diversity and human dignity”.</w:t>
      </w:r>
      <w:r w:rsidRPr="00DA053E">
        <w:rPr>
          <w:vertAlign w:val="superscript"/>
        </w:rPr>
        <w:footnoteReference w:id="128"/>
      </w:r>
      <w:r w:rsidRPr="003D597B">
        <w:rPr>
          <w:rFonts w:ascii="Avenir Book" w:hAnsi="Avenir Book"/>
          <w:sz w:val="22"/>
          <w:szCs w:val="22"/>
        </w:rPr>
        <w:t xml:space="preserve"> The inherent dignity of the human being is the focus of the human rights model of disability, rather than impairment.  It “clarifies that impairment does not derogate human dignity nor does it encroach upon the disabled person’s status as a rights-bearer”.</w:t>
      </w:r>
      <w:r w:rsidRPr="00DA053E">
        <w:rPr>
          <w:vertAlign w:val="superscript"/>
        </w:rPr>
        <w:footnoteReference w:id="129"/>
      </w:r>
      <w:r w:rsidRPr="003D597B">
        <w:rPr>
          <w:rFonts w:ascii="Avenir Book" w:hAnsi="Avenir Book"/>
          <w:sz w:val="22"/>
          <w:szCs w:val="22"/>
        </w:rPr>
        <w:t xml:space="preserve"> Human rights cannot be diminished for people with disability based on their impairment, as this would violate the foundational human rights principle that “[a]</w:t>
      </w:r>
      <w:proofErr w:type="spellStart"/>
      <w:r w:rsidRPr="003D597B">
        <w:rPr>
          <w:rFonts w:ascii="Avenir Book" w:hAnsi="Avenir Book"/>
          <w:sz w:val="22"/>
          <w:szCs w:val="22"/>
        </w:rPr>
        <w:t>ll</w:t>
      </w:r>
      <w:proofErr w:type="spellEnd"/>
      <w:r w:rsidRPr="003D597B">
        <w:rPr>
          <w:rFonts w:ascii="Avenir Book" w:hAnsi="Avenir Book"/>
          <w:sz w:val="22"/>
          <w:szCs w:val="22"/>
        </w:rPr>
        <w:t xml:space="preserve"> human beings are born free and equal in dignity and rights”.</w:t>
      </w:r>
      <w:r w:rsidR="00251406">
        <w:rPr>
          <w:rStyle w:val="FootnoteReference"/>
          <w:rFonts w:ascii="Avenir Book" w:hAnsi="Avenir Book"/>
          <w:sz w:val="22"/>
          <w:szCs w:val="22"/>
        </w:rPr>
        <w:footnoteReference w:id="130"/>
      </w:r>
      <w:r w:rsidRPr="003D597B">
        <w:rPr>
          <w:rFonts w:ascii="Avenir Book" w:hAnsi="Avenir Book"/>
          <w:sz w:val="22"/>
          <w:szCs w:val="22"/>
        </w:rPr>
        <w:t xml:space="preserve"> The human rights model of disability negates the norms that underpin ableism. </w:t>
      </w:r>
    </w:p>
    <w:p w14:paraId="77246052" w14:textId="77777777" w:rsidR="008E687E" w:rsidRPr="008E687E" w:rsidRDefault="008E687E" w:rsidP="002F4C4C">
      <w:pPr>
        <w:pStyle w:val="ListParagraph"/>
        <w:spacing w:line="240" w:lineRule="auto"/>
        <w:jc w:val="left"/>
        <w:rPr>
          <w:rFonts w:ascii="Avenir Book" w:hAnsi="Avenir Book"/>
          <w:sz w:val="22"/>
          <w:szCs w:val="22"/>
        </w:rPr>
      </w:pPr>
    </w:p>
    <w:p w14:paraId="353B5C18" w14:textId="6A71420B" w:rsidR="008E687E" w:rsidRDefault="008E687E" w:rsidP="00564172">
      <w:pPr>
        <w:pStyle w:val="ListParagraph"/>
        <w:numPr>
          <w:ilvl w:val="1"/>
          <w:numId w:val="20"/>
        </w:numPr>
        <w:spacing w:line="240" w:lineRule="auto"/>
        <w:ind w:left="993" w:hanging="567"/>
        <w:jc w:val="left"/>
        <w:rPr>
          <w:rFonts w:ascii="Avenir Book" w:hAnsi="Avenir Book"/>
          <w:sz w:val="22"/>
          <w:szCs w:val="22"/>
        </w:rPr>
      </w:pPr>
      <w:r w:rsidRPr="003D597B">
        <w:rPr>
          <w:rFonts w:ascii="Avenir Book" w:hAnsi="Avenir Book"/>
          <w:sz w:val="22"/>
          <w:szCs w:val="22"/>
        </w:rPr>
        <w:t xml:space="preserve">The influence of ableism is poorly recognised in Australia, with the medical model of disability still evident in Australian law, policy and practice.  While, there has been greater recognition of the rights of people with disability, which has led to </w:t>
      </w:r>
      <w:r w:rsidR="00CA77D1">
        <w:rPr>
          <w:rFonts w:ascii="Avenir Book" w:hAnsi="Avenir Book"/>
          <w:sz w:val="22"/>
          <w:szCs w:val="22"/>
        </w:rPr>
        <w:t>incremental</w:t>
      </w:r>
      <w:r w:rsidRPr="003D597B">
        <w:rPr>
          <w:rFonts w:ascii="Avenir Book" w:hAnsi="Avenir Book"/>
          <w:sz w:val="22"/>
          <w:szCs w:val="22"/>
        </w:rPr>
        <w:t xml:space="preserve"> reforms, the impact of the medical model is evident in the continued reluctance within this reform agenda to comprehensively dismantle the ‘special’ laws, policies, programs and arrangements that segregate, congregate and marginalise people with disability, including in the area of living arrangements.  </w:t>
      </w:r>
      <w:r w:rsidR="00CA77D1">
        <w:rPr>
          <w:rFonts w:ascii="Avenir Book" w:hAnsi="Avenir Book"/>
          <w:sz w:val="22"/>
          <w:szCs w:val="22"/>
        </w:rPr>
        <w:t>T</w:t>
      </w:r>
      <w:r w:rsidRPr="008E687E">
        <w:rPr>
          <w:rFonts w:ascii="Avenir Book" w:hAnsi="Avenir Book"/>
          <w:sz w:val="22"/>
          <w:szCs w:val="22"/>
        </w:rPr>
        <w:t xml:space="preserve">he reliance on the group home </w:t>
      </w:r>
      <w:r w:rsidR="00CA77D1">
        <w:rPr>
          <w:rFonts w:ascii="Avenir Book" w:hAnsi="Avenir Book"/>
          <w:sz w:val="22"/>
          <w:szCs w:val="22"/>
        </w:rPr>
        <w:t xml:space="preserve">as the predominant accommodation </w:t>
      </w:r>
      <w:r w:rsidRPr="008E687E">
        <w:rPr>
          <w:rFonts w:ascii="Avenir Book" w:hAnsi="Avenir Book"/>
          <w:sz w:val="22"/>
          <w:szCs w:val="22"/>
        </w:rPr>
        <w:t>model</w:t>
      </w:r>
      <w:r w:rsidR="00CA77D1">
        <w:rPr>
          <w:rFonts w:ascii="Avenir Book" w:hAnsi="Avenir Book"/>
          <w:sz w:val="22"/>
          <w:szCs w:val="22"/>
        </w:rPr>
        <w:t xml:space="preserve"> for people with disability</w:t>
      </w:r>
      <w:r w:rsidRPr="008E687E">
        <w:rPr>
          <w:rFonts w:ascii="Avenir Book" w:hAnsi="Avenir Book"/>
          <w:sz w:val="22"/>
          <w:szCs w:val="22"/>
        </w:rPr>
        <w:t xml:space="preserve">, including </w:t>
      </w:r>
      <w:r w:rsidR="00CA77D1">
        <w:rPr>
          <w:rFonts w:ascii="Avenir Book" w:hAnsi="Avenir Book"/>
          <w:sz w:val="22"/>
          <w:szCs w:val="22"/>
        </w:rPr>
        <w:t xml:space="preserve">current </w:t>
      </w:r>
      <w:r w:rsidRPr="008E687E">
        <w:rPr>
          <w:rFonts w:ascii="Avenir Book" w:hAnsi="Avenir Book"/>
          <w:sz w:val="22"/>
          <w:szCs w:val="22"/>
        </w:rPr>
        <w:t xml:space="preserve">policies that continue their development, exemplify this reluctance.  </w:t>
      </w:r>
    </w:p>
    <w:p w14:paraId="4148C4DC" w14:textId="77777777" w:rsidR="008E687E" w:rsidRPr="008E687E" w:rsidRDefault="008E687E" w:rsidP="002F4C4C">
      <w:pPr>
        <w:pStyle w:val="ListParagraph"/>
        <w:spacing w:line="240" w:lineRule="auto"/>
        <w:jc w:val="left"/>
        <w:rPr>
          <w:rFonts w:ascii="Avenir Book" w:hAnsi="Avenir Book"/>
          <w:sz w:val="22"/>
          <w:szCs w:val="22"/>
        </w:rPr>
      </w:pPr>
    </w:p>
    <w:p w14:paraId="1B7BE152" w14:textId="7BFA3B42" w:rsidR="009F1F03" w:rsidRPr="00FD7842" w:rsidRDefault="008E687E" w:rsidP="00564172">
      <w:pPr>
        <w:pStyle w:val="ListParagraph"/>
        <w:numPr>
          <w:ilvl w:val="1"/>
          <w:numId w:val="20"/>
        </w:numPr>
        <w:spacing w:line="240" w:lineRule="auto"/>
        <w:ind w:left="993" w:hanging="567"/>
        <w:jc w:val="left"/>
        <w:rPr>
          <w:rFonts w:ascii="Avenir Book" w:hAnsi="Avenir Book"/>
          <w:sz w:val="22"/>
          <w:szCs w:val="22"/>
        </w:rPr>
      </w:pPr>
      <w:r w:rsidRPr="0034226D">
        <w:rPr>
          <w:rFonts w:ascii="Avenir Book" w:hAnsi="Avenir Book"/>
          <w:sz w:val="22"/>
          <w:szCs w:val="22"/>
        </w:rPr>
        <w:t xml:space="preserve">The pervasiveness of institutional living arrangements, including group homes </w:t>
      </w:r>
      <w:r w:rsidR="0034226D" w:rsidRPr="0034226D">
        <w:rPr>
          <w:rFonts w:ascii="Avenir Book" w:hAnsi="Avenir Book"/>
          <w:sz w:val="22"/>
          <w:szCs w:val="22"/>
        </w:rPr>
        <w:t xml:space="preserve">is </w:t>
      </w:r>
      <w:r w:rsidR="0034226D">
        <w:rPr>
          <w:rFonts w:ascii="Avenir Book" w:hAnsi="Avenir Book"/>
          <w:sz w:val="22"/>
          <w:szCs w:val="22"/>
        </w:rPr>
        <w:t xml:space="preserve">underlined by </w:t>
      </w:r>
      <w:r w:rsidRPr="008E687E">
        <w:rPr>
          <w:rFonts w:ascii="Avenir Book" w:hAnsi="Avenir Book"/>
          <w:sz w:val="22"/>
          <w:szCs w:val="22"/>
        </w:rPr>
        <w:t xml:space="preserve">a predominant ableist view that some people with disability are unable to </w:t>
      </w:r>
      <w:r w:rsidRPr="008E687E">
        <w:rPr>
          <w:rFonts w:ascii="Avenir Book" w:hAnsi="Avenir Book"/>
          <w:sz w:val="22"/>
          <w:szCs w:val="22"/>
        </w:rPr>
        <w:lastRenderedPageBreak/>
        <w:t xml:space="preserve">live outside of institutional settings, such as group homes, or that institutions provide a safer environment for people with disability.  This is particularly the case for people with disability who are assessed as having ‘severe and profound’ impairments or ‘complex, high support needs’.  </w:t>
      </w:r>
      <w:r w:rsidR="002E3B48">
        <w:rPr>
          <w:rFonts w:ascii="Avenir Book" w:hAnsi="Avenir Book"/>
          <w:sz w:val="22"/>
          <w:szCs w:val="22"/>
        </w:rPr>
        <w:t xml:space="preserve">Despite the fact that many people with disability who are </w:t>
      </w:r>
      <w:r w:rsidR="00681A20">
        <w:rPr>
          <w:rFonts w:ascii="Avenir Book" w:hAnsi="Avenir Book"/>
          <w:sz w:val="22"/>
          <w:szCs w:val="22"/>
        </w:rPr>
        <w:t>categorised in this way</w:t>
      </w:r>
      <w:r w:rsidR="002E3B48">
        <w:rPr>
          <w:rFonts w:ascii="Avenir Book" w:hAnsi="Avenir Book"/>
          <w:sz w:val="22"/>
          <w:szCs w:val="22"/>
        </w:rPr>
        <w:t xml:space="preserve"> a</w:t>
      </w:r>
      <w:r w:rsidR="009E5256">
        <w:rPr>
          <w:rFonts w:ascii="Avenir Book" w:hAnsi="Avenir Book"/>
          <w:sz w:val="22"/>
          <w:szCs w:val="22"/>
        </w:rPr>
        <w:t xml:space="preserve">lready live </w:t>
      </w:r>
      <w:r w:rsidR="002E3B48">
        <w:rPr>
          <w:rFonts w:ascii="Avenir Book" w:hAnsi="Avenir Book"/>
          <w:sz w:val="22"/>
          <w:szCs w:val="22"/>
        </w:rPr>
        <w:t>in the community, t</w:t>
      </w:r>
      <w:r w:rsidRPr="008E687E">
        <w:rPr>
          <w:rFonts w:ascii="Avenir Book" w:hAnsi="Avenir Book"/>
          <w:sz w:val="22"/>
          <w:szCs w:val="22"/>
        </w:rPr>
        <w:t>he most recent findings from the Australian Bureau of Statistics (ABS) demonstrate that the likelihood of a person with disability living in institutional settings, including group homes increases with age and ‘disability severity’.</w:t>
      </w:r>
      <w:r>
        <w:rPr>
          <w:rStyle w:val="FootnoteReference"/>
          <w:rFonts w:ascii="Avenir Book" w:hAnsi="Avenir Book"/>
          <w:sz w:val="22"/>
          <w:szCs w:val="22"/>
        </w:rPr>
        <w:footnoteReference w:id="131"/>
      </w:r>
      <w:r w:rsidR="00073B1B">
        <w:rPr>
          <w:rFonts w:ascii="Avenir Book" w:hAnsi="Avenir Book"/>
          <w:sz w:val="22"/>
          <w:szCs w:val="22"/>
        </w:rPr>
        <w:t xml:space="preserve"> </w:t>
      </w:r>
    </w:p>
    <w:p w14:paraId="3560586C" w14:textId="77777777" w:rsidR="009863C4" w:rsidRPr="009863C4" w:rsidRDefault="009863C4" w:rsidP="002F4C4C">
      <w:pPr>
        <w:pStyle w:val="ListParagraph"/>
        <w:spacing w:line="240" w:lineRule="auto"/>
        <w:jc w:val="left"/>
        <w:rPr>
          <w:rFonts w:ascii="Avenir Book" w:hAnsi="Avenir Book"/>
          <w:sz w:val="22"/>
          <w:szCs w:val="22"/>
        </w:rPr>
      </w:pPr>
    </w:p>
    <w:p w14:paraId="2B5B1660" w14:textId="0503C2A6" w:rsidR="00867DCC" w:rsidRPr="00FD7842" w:rsidRDefault="009863C4" w:rsidP="00564172">
      <w:pPr>
        <w:pStyle w:val="ListParagraph"/>
        <w:numPr>
          <w:ilvl w:val="1"/>
          <w:numId w:val="20"/>
        </w:numPr>
        <w:spacing w:after="0" w:line="240" w:lineRule="auto"/>
        <w:ind w:left="993" w:hanging="567"/>
        <w:contextualSpacing w:val="0"/>
        <w:jc w:val="left"/>
        <w:rPr>
          <w:rFonts w:ascii="Avenir Roman" w:hAnsi="Avenir Roman"/>
          <w:sz w:val="22"/>
          <w:szCs w:val="22"/>
        </w:rPr>
      </w:pPr>
      <w:r w:rsidRPr="00FD7842">
        <w:rPr>
          <w:rFonts w:ascii="Avenir Roman" w:hAnsi="Avenir Roman"/>
          <w:sz w:val="22"/>
          <w:szCs w:val="22"/>
        </w:rPr>
        <w:t xml:space="preserve">Ableism is the </w:t>
      </w:r>
      <w:r w:rsidR="00E712F0" w:rsidRPr="00FD7842">
        <w:rPr>
          <w:rFonts w:ascii="Avenir Roman" w:hAnsi="Avenir Roman"/>
          <w:sz w:val="22"/>
          <w:szCs w:val="22"/>
        </w:rPr>
        <w:t xml:space="preserve">foundation of inequality and discrimination, </w:t>
      </w:r>
      <w:r w:rsidR="0075043C" w:rsidRPr="00FD7842">
        <w:rPr>
          <w:rFonts w:ascii="Avenir Roman" w:hAnsi="Avenir Roman"/>
          <w:sz w:val="22"/>
          <w:szCs w:val="22"/>
        </w:rPr>
        <w:t xml:space="preserve">including segregation on the basis of impairment, and this </w:t>
      </w:r>
      <w:r w:rsidR="00E712F0" w:rsidRPr="00FD7842">
        <w:rPr>
          <w:rFonts w:ascii="Avenir Roman" w:hAnsi="Avenir Roman"/>
          <w:sz w:val="22"/>
          <w:szCs w:val="22"/>
        </w:rPr>
        <w:t>underpins the violence, abuse and exploitation experienced by people with disability.</w:t>
      </w:r>
      <w:r w:rsidR="00E712F0" w:rsidRPr="00FD7842">
        <w:rPr>
          <w:rFonts w:ascii="Avenir Roman" w:hAnsi="Avenir Roman"/>
          <w:sz w:val="22"/>
          <w:szCs w:val="22"/>
          <w:vertAlign w:val="superscript"/>
        </w:rPr>
        <w:footnoteReference w:id="132"/>
      </w:r>
      <w:r w:rsidR="00E712F0" w:rsidRPr="00FD7842">
        <w:rPr>
          <w:rFonts w:ascii="Avenir Roman" w:hAnsi="Avenir Roman"/>
          <w:sz w:val="22"/>
          <w:szCs w:val="22"/>
        </w:rPr>
        <w:t xml:space="preserve"> </w:t>
      </w:r>
      <w:r w:rsidR="0075043C" w:rsidRPr="00FD7842">
        <w:rPr>
          <w:rFonts w:ascii="Avenir Roman" w:hAnsi="Avenir Roman"/>
          <w:sz w:val="22"/>
          <w:szCs w:val="22"/>
        </w:rPr>
        <w:t>However, this is rarely acknowledged or addressed</w:t>
      </w:r>
      <w:r w:rsidR="0034226D" w:rsidRPr="00FD7842">
        <w:rPr>
          <w:rFonts w:ascii="Avenir Roman" w:hAnsi="Avenir Roman"/>
          <w:sz w:val="22"/>
          <w:szCs w:val="22"/>
        </w:rPr>
        <w:t>. V</w:t>
      </w:r>
      <w:r w:rsidR="00867DCC" w:rsidRPr="00FD7842">
        <w:rPr>
          <w:rFonts w:ascii="Avenir Roman" w:hAnsi="Avenir Roman"/>
          <w:sz w:val="22"/>
          <w:szCs w:val="22"/>
        </w:rPr>
        <w:t xml:space="preserve">iolence against people with disability is more often examined only in the context of the disability service system, the imputed ‘vulnerability’ of people with disability, the failure of policies and procedures, the lack of qualified and accredited staff and the lack of rigorous oversight and protective mechanisms. While these factors are important, rarely is the underlying driver of violence, abuse, neglect and exploitation - inequality and discrimination - identified or acknowledged, and consequently, there is no recognition of the need for a social transformation to address this situation. </w:t>
      </w:r>
    </w:p>
    <w:p w14:paraId="4683F031" w14:textId="77777777" w:rsidR="00867DCC" w:rsidRPr="0034226D" w:rsidRDefault="00867DCC" w:rsidP="002F4C4C">
      <w:pPr>
        <w:spacing w:after="0" w:line="240" w:lineRule="auto"/>
        <w:jc w:val="left"/>
        <w:rPr>
          <w:rFonts w:ascii="Avenir Book" w:hAnsi="Avenir Book"/>
          <w:sz w:val="22"/>
          <w:szCs w:val="22"/>
        </w:rPr>
      </w:pPr>
    </w:p>
    <w:p w14:paraId="102D9FA4" w14:textId="77777777" w:rsidR="00D62F37" w:rsidRDefault="0034226D" w:rsidP="00564172">
      <w:pPr>
        <w:pStyle w:val="ListParagraph"/>
        <w:numPr>
          <w:ilvl w:val="1"/>
          <w:numId w:val="20"/>
        </w:numPr>
        <w:spacing w:line="240" w:lineRule="auto"/>
        <w:ind w:left="993" w:hanging="567"/>
        <w:jc w:val="left"/>
        <w:rPr>
          <w:rFonts w:ascii="Avenir Roman" w:hAnsi="Avenir Roman"/>
          <w:sz w:val="22"/>
          <w:szCs w:val="22"/>
        </w:rPr>
      </w:pPr>
      <w:r w:rsidRPr="009E136D">
        <w:rPr>
          <w:rFonts w:ascii="Avenir Roman" w:hAnsi="Avenir Roman"/>
          <w:sz w:val="22"/>
          <w:szCs w:val="22"/>
        </w:rPr>
        <w:t>I</w:t>
      </w:r>
      <w:r w:rsidR="0075043C" w:rsidRPr="009E136D">
        <w:rPr>
          <w:rFonts w:ascii="Avenir Roman" w:hAnsi="Avenir Roman"/>
          <w:sz w:val="22"/>
          <w:szCs w:val="22"/>
        </w:rPr>
        <w:t>n comparison</w:t>
      </w:r>
      <w:r w:rsidRPr="009E136D">
        <w:rPr>
          <w:rFonts w:ascii="Avenir Roman" w:hAnsi="Avenir Roman"/>
          <w:sz w:val="22"/>
          <w:szCs w:val="22"/>
        </w:rPr>
        <w:t xml:space="preserve">, it is now well understood </w:t>
      </w:r>
      <w:r w:rsidR="0075043C" w:rsidRPr="009E136D">
        <w:rPr>
          <w:rFonts w:ascii="Avenir Roman" w:hAnsi="Avenir Roman"/>
          <w:sz w:val="22"/>
          <w:szCs w:val="22"/>
        </w:rPr>
        <w:t>that gender inequality underpins violence against women.</w:t>
      </w:r>
      <w:r w:rsidRPr="009E136D">
        <w:rPr>
          <w:rStyle w:val="FootnoteReference"/>
          <w:rFonts w:ascii="Avenir Roman" w:hAnsi="Avenir Roman"/>
          <w:sz w:val="22"/>
          <w:szCs w:val="22"/>
        </w:rPr>
        <w:footnoteReference w:id="133"/>
      </w:r>
      <w:r w:rsidR="0075043C" w:rsidRPr="009E136D">
        <w:rPr>
          <w:rFonts w:ascii="Avenir Roman" w:hAnsi="Avenir Roman"/>
          <w:sz w:val="22"/>
          <w:szCs w:val="22"/>
        </w:rPr>
        <w:t xml:space="preserve">  </w:t>
      </w:r>
      <w:r w:rsidR="003F515E" w:rsidRPr="009E136D">
        <w:rPr>
          <w:rFonts w:ascii="Avenir Roman" w:hAnsi="Avenir Roman"/>
          <w:sz w:val="22"/>
          <w:szCs w:val="22"/>
        </w:rPr>
        <w:t>Gender inequality operates at many levels, “from social and cultural norms (the dominant ideas about men and women in society), to economic structures (such as the pay gap between men and women), to organisational, community, family and relationship practices”.</w:t>
      </w:r>
      <w:r w:rsidRPr="009E136D">
        <w:rPr>
          <w:rStyle w:val="FootnoteReference"/>
          <w:rFonts w:ascii="Avenir Roman" w:hAnsi="Avenir Roman"/>
          <w:sz w:val="22"/>
          <w:szCs w:val="22"/>
        </w:rPr>
        <w:footnoteReference w:id="134"/>
      </w:r>
      <w:r w:rsidR="003F515E" w:rsidRPr="009E136D">
        <w:rPr>
          <w:rFonts w:ascii="Avenir Roman" w:hAnsi="Avenir Roman"/>
          <w:sz w:val="22"/>
          <w:szCs w:val="22"/>
        </w:rPr>
        <w:t xml:space="preserve"> </w:t>
      </w:r>
    </w:p>
    <w:p w14:paraId="4152172B" w14:textId="77777777" w:rsidR="00D62F37" w:rsidRPr="00D62F37" w:rsidRDefault="00D62F37" w:rsidP="002F4C4C">
      <w:pPr>
        <w:pStyle w:val="ListParagraph"/>
        <w:spacing w:line="240" w:lineRule="auto"/>
        <w:jc w:val="left"/>
        <w:rPr>
          <w:rFonts w:ascii="Avenir Roman" w:hAnsi="Avenir Roman"/>
          <w:sz w:val="22"/>
          <w:szCs w:val="22"/>
        </w:rPr>
      </w:pPr>
    </w:p>
    <w:p w14:paraId="6532ECFC" w14:textId="77777777" w:rsidR="00D62F37" w:rsidRDefault="00D62F37" w:rsidP="00564172">
      <w:pPr>
        <w:pStyle w:val="ListParagraph"/>
        <w:numPr>
          <w:ilvl w:val="1"/>
          <w:numId w:val="20"/>
        </w:numPr>
        <w:spacing w:after="120" w:line="240" w:lineRule="auto"/>
        <w:ind w:left="992" w:hanging="567"/>
        <w:contextualSpacing w:val="0"/>
        <w:jc w:val="left"/>
        <w:rPr>
          <w:rFonts w:ascii="Avenir Roman" w:hAnsi="Avenir Roman"/>
          <w:sz w:val="22"/>
          <w:szCs w:val="22"/>
        </w:rPr>
      </w:pPr>
      <w:r>
        <w:rPr>
          <w:rFonts w:ascii="Avenir Roman" w:hAnsi="Avenir Roman"/>
          <w:sz w:val="22"/>
          <w:szCs w:val="22"/>
        </w:rPr>
        <w:t>There is growing recognition that an intersectional approach is essential to prevent and respond to violence against women:</w:t>
      </w:r>
    </w:p>
    <w:p w14:paraId="7A1B4989" w14:textId="40240278" w:rsidR="00952491" w:rsidRPr="00D62F37" w:rsidRDefault="00D62F37" w:rsidP="002F4C4C">
      <w:pPr>
        <w:pStyle w:val="ListParagraph"/>
        <w:spacing w:line="240" w:lineRule="auto"/>
        <w:ind w:left="1276" w:right="276"/>
        <w:jc w:val="left"/>
        <w:rPr>
          <w:rFonts w:ascii="Avenir Roman" w:hAnsi="Avenir Roman"/>
          <w:sz w:val="22"/>
          <w:szCs w:val="22"/>
        </w:rPr>
      </w:pPr>
      <w:r>
        <w:rPr>
          <w:rFonts w:ascii="Avenir Roman" w:hAnsi="Avenir Roman"/>
          <w:sz w:val="22"/>
          <w:szCs w:val="22"/>
        </w:rPr>
        <w:t>“</w:t>
      </w:r>
      <w:r w:rsidR="00952491" w:rsidRPr="00D62F37">
        <w:rPr>
          <w:rFonts w:ascii="Avenir Roman" w:hAnsi="Avenir Roman"/>
          <w:sz w:val="22"/>
          <w:szCs w:val="22"/>
        </w:rPr>
        <w:t>The gendered drivers, and reinforcing factors, of violence against women should always be considered together with other forms</w:t>
      </w:r>
      <w:r>
        <w:rPr>
          <w:rFonts w:ascii="Avenir Roman" w:hAnsi="Avenir Roman"/>
          <w:sz w:val="22"/>
          <w:szCs w:val="22"/>
        </w:rPr>
        <w:t xml:space="preserve"> </w:t>
      </w:r>
      <w:r w:rsidR="00952491" w:rsidRPr="00D62F37">
        <w:rPr>
          <w:rFonts w:ascii="Avenir Roman" w:hAnsi="Avenir Roman"/>
          <w:sz w:val="22"/>
          <w:szCs w:val="22"/>
        </w:rPr>
        <w:t xml:space="preserve">of social, political and economic </w:t>
      </w:r>
      <w:r w:rsidR="00952491" w:rsidRPr="00D62F37">
        <w:rPr>
          <w:rFonts w:ascii="Avenir Roman" w:hAnsi="Avenir Roman"/>
          <w:sz w:val="22"/>
          <w:szCs w:val="22"/>
        </w:rPr>
        <w:lastRenderedPageBreak/>
        <w:t>discrimination and inequality</w:t>
      </w:r>
      <w:r>
        <w:rPr>
          <w:rFonts w:ascii="Avenir Roman" w:hAnsi="Avenir Roman"/>
          <w:sz w:val="22"/>
          <w:szCs w:val="22"/>
        </w:rPr>
        <w:t xml:space="preserve"> </w:t>
      </w:r>
      <w:r w:rsidR="00952491" w:rsidRPr="00D62F37">
        <w:rPr>
          <w:rFonts w:ascii="Avenir Roman" w:hAnsi="Avenir Roman"/>
          <w:sz w:val="22"/>
          <w:szCs w:val="22"/>
        </w:rPr>
        <w:t xml:space="preserve">(such as racism or ableism), as </w:t>
      </w:r>
      <w:proofErr w:type="gramStart"/>
      <w:r w:rsidR="00952491" w:rsidRPr="00D62F37">
        <w:rPr>
          <w:rFonts w:ascii="Avenir Roman" w:hAnsi="Avenir Roman"/>
          <w:sz w:val="22"/>
          <w:szCs w:val="22"/>
        </w:rPr>
        <w:t>these</w:t>
      </w:r>
      <w:r w:rsidR="00B81402">
        <w:rPr>
          <w:rFonts w:ascii="Avenir Roman" w:hAnsi="Avenir Roman"/>
          <w:sz w:val="22"/>
          <w:szCs w:val="22"/>
        </w:rPr>
        <w:t xml:space="preserve"> </w:t>
      </w:r>
      <w:r w:rsidR="00952491" w:rsidRPr="00D62F37">
        <w:rPr>
          <w:rFonts w:ascii="Avenir Roman" w:hAnsi="Avenir Roman"/>
          <w:sz w:val="22"/>
          <w:szCs w:val="22"/>
        </w:rPr>
        <w:t>influence</w:t>
      </w:r>
      <w:proofErr w:type="gramEnd"/>
      <w:r w:rsidR="00952491" w:rsidRPr="00D62F37">
        <w:rPr>
          <w:rFonts w:ascii="Avenir Roman" w:hAnsi="Avenir Roman"/>
          <w:sz w:val="22"/>
          <w:szCs w:val="22"/>
        </w:rPr>
        <w:t xml:space="preserve"> and intersect with gender inequality.</w:t>
      </w:r>
      <w:r>
        <w:rPr>
          <w:rFonts w:ascii="Avenir Roman" w:hAnsi="Avenir Roman"/>
          <w:sz w:val="22"/>
          <w:szCs w:val="22"/>
        </w:rPr>
        <w:t>”</w:t>
      </w:r>
      <w:r>
        <w:rPr>
          <w:rStyle w:val="FootnoteReference"/>
          <w:rFonts w:ascii="Avenir Roman" w:hAnsi="Avenir Roman"/>
          <w:sz w:val="22"/>
          <w:szCs w:val="22"/>
        </w:rPr>
        <w:footnoteReference w:id="135"/>
      </w:r>
    </w:p>
    <w:p w14:paraId="1868CB6D" w14:textId="77777777" w:rsidR="0034226D" w:rsidRPr="009E136D" w:rsidRDefault="0034226D" w:rsidP="002F4C4C">
      <w:pPr>
        <w:pStyle w:val="ListParagraph"/>
        <w:spacing w:line="240" w:lineRule="auto"/>
        <w:jc w:val="left"/>
        <w:rPr>
          <w:rFonts w:ascii="Avenir Roman" w:hAnsi="Avenir Roman"/>
          <w:sz w:val="22"/>
          <w:szCs w:val="22"/>
        </w:rPr>
      </w:pPr>
    </w:p>
    <w:p w14:paraId="74B37746" w14:textId="4A6DDD82" w:rsidR="00F35FC9" w:rsidRPr="00A3321D" w:rsidRDefault="00F35FC9" w:rsidP="00564172">
      <w:pPr>
        <w:pStyle w:val="ListParagraph"/>
        <w:numPr>
          <w:ilvl w:val="1"/>
          <w:numId w:val="20"/>
        </w:numPr>
        <w:spacing w:line="240" w:lineRule="auto"/>
        <w:ind w:left="993" w:hanging="567"/>
        <w:jc w:val="left"/>
        <w:rPr>
          <w:rFonts w:ascii="Avenir Roman" w:hAnsi="Avenir Roman"/>
          <w:sz w:val="22"/>
          <w:szCs w:val="22"/>
        </w:rPr>
      </w:pPr>
      <w:r w:rsidRPr="009E136D">
        <w:rPr>
          <w:rFonts w:ascii="Avenir Roman" w:hAnsi="Avenir Roman"/>
          <w:sz w:val="22"/>
          <w:szCs w:val="22"/>
        </w:rPr>
        <w:t>It is recognised that to prevent violence against women, viewed as a “significant social problem”, there needs to be “a large scale response” to achieve a “social transformation”.</w:t>
      </w:r>
      <w:r w:rsidR="009E136D">
        <w:rPr>
          <w:rStyle w:val="FootnoteReference"/>
          <w:rFonts w:ascii="Avenir Roman" w:hAnsi="Avenir Roman"/>
          <w:sz w:val="22"/>
          <w:szCs w:val="22"/>
        </w:rPr>
        <w:footnoteReference w:id="136"/>
      </w:r>
      <w:r w:rsidRPr="009E136D">
        <w:rPr>
          <w:rFonts w:ascii="Avenir Roman" w:hAnsi="Avenir Roman"/>
          <w:position w:val="6"/>
          <w:sz w:val="22"/>
          <w:szCs w:val="22"/>
        </w:rPr>
        <w:t xml:space="preserve"> </w:t>
      </w:r>
      <w:r w:rsidRPr="009E136D">
        <w:rPr>
          <w:rFonts w:ascii="Avenir Roman" w:hAnsi="Avenir Roman"/>
          <w:sz w:val="22"/>
          <w:szCs w:val="22"/>
        </w:rPr>
        <w:t>It is acknowledged that beliefs, behaviours and systems that excuse, justify or condone violence and inequality must be challenged and reformed. While there are criticisms about the adequacy of the response to prevent violence</w:t>
      </w:r>
      <w:r w:rsidRPr="00A3321D">
        <w:rPr>
          <w:rFonts w:ascii="Avenir Roman" w:hAnsi="Avenir Roman"/>
          <w:sz w:val="22"/>
          <w:szCs w:val="22"/>
        </w:rPr>
        <w:t xml:space="preserve"> against women, the current response in Australia includes state and national laws, national action plans, political commitments and budget allocations, national surveys, national awareness raising campaigns, inquiries, and educational programs delivered as part of the school curriculum.</w:t>
      </w:r>
      <w:r w:rsidR="009E136D">
        <w:rPr>
          <w:rStyle w:val="FootnoteReference"/>
          <w:rFonts w:ascii="Avenir Roman" w:hAnsi="Avenir Roman"/>
          <w:sz w:val="22"/>
          <w:szCs w:val="22"/>
        </w:rPr>
        <w:footnoteReference w:id="137"/>
      </w:r>
      <w:r w:rsidRPr="00A3321D">
        <w:rPr>
          <w:rFonts w:ascii="Avenir Roman" w:hAnsi="Avenir Roman"/>
          <w:position w:val="6"/>
          <w:sz w:val="22"/>
          <w:szCs w:val="22"/>
        </w:rPr>
        <w:t xml:space="preserve"> </w:t>
      </w:r>
    </w:p>
    <w:p w14:paraId="36AD3F10" w14:textId="77777777" w:rsidR="00F35FC9" w:rsidRPr="00F35FC9" w:rsidRDefault="00F35FC9" w:rsidP="002F4C4C">
      <w:pPr>
        <w:pStyle w:val="ListParagraph"/>
        <w:spacing w:line="240" w:lineRule="auto"/>
        <w:jc w:val="left"/>
        <w:rPr>
          <w:rFonts w:ascii="Avenir Book" w:hAnsi="Avenir Book"/>
          <w:sz w:val="22"/>
          <w:szCs w:val="22"/>
        </w:rPr>
      </w:pPr>
    </w:p>
    <w:p w14:paraId="6988085D" w14:textId="7F24A5FB" w:rsidR="00856BED" w:rsidRDefault="00E712F0" w:rsidP="00564172">
      <w:pPr>
        <w:pStyle w:val="ListParagraph"/>
        <w:numPr>
          <w:ilvl w:val="1"/>
          <w:numId w:val="20"/>
        </w:numPr>
        <w:spacing w:after="0" w:line="240" w:lineRule="auto"/>
        <w:ind w:left="993" w:hanging="567"/>
        <w:contextualSpacing w:val="0"/>
        <w:jc w:val="left"/>
        <w:rPr>
          <w:rFonts w:ascii="Avenir Book" w:hAnsi="Avenir Book"/>
          <w:sz w:val="22"/>
          <w:szCs w:val="22"/>
        </w:rPr>
      </w:pPr>
      <w:r w:rsidRPr="009863C4">
        <w:rPr>
          <w:rFonts w:ascii="Avenir Book" w:hAnsi="Avenir Book"/>
          <w:sz w:val="22"/>
          <w:szCs w:val="22"/>
        </w:rPr>
        <w:t xml:space="preserve">For women and girls with disability, gender inequality, disability inequality and intersectional discrimination are interlinked and inseparable.  This means that the prevention of violence, abuse, neglect and exploitation requires explicit recognition and comprehensive dismantling of all forms of intersecting inequality and discrimination experienced by people with disability, including women and girls with disability.  This includes </w:t>
      </w:r>
      <w:r w:rsidR="009B23AD">
        <w:rPr>
          <w:rFonts w:ascii="Avenir Book" w:hAnsi="Avenir Book"/>
          <w:sz w:val="22"/>
          <w:szCs w:val="22"/>
        </w:rPr>
        <w:t xml:space="preserve">their </w:t>
      </w:r>
      <w:r w:rsidRPr="009863C4">
        <w:rPr>
          <w:rFonts w:ascii="Avenir Book" w:hAnsi="Avenir Book"/>
          <w:sz w:val="22"/>
          <w:szCs w:val="22"/>
        </w:rPr>
        <w:t xml:space="preserve">segregation in institutional environments.  </w:t>
      </w:r>
      <w:r w:rsidR="00A10EAF">
        <w:rPr>
          <w:rFonts w:ascii="Avenir Book" w:hAnsi="Avenir Book"/>
          <w:sz w:val="22"/>
          <w:szCs w:val="22"/>
        </w:rPr>
        <w:t>T</w:t>
      </w:r>
      <w:r w:rsidR="00856BED">
        <w:rPr>
          <w:rFonts w:ascii="Avenir Book" w:hAnsi="Avenir Book"/>
          <w:sz w:val="22"/>
          <w:szCs w:val="22"/>
        </w:rPr>
        <w:t xml:space="preserve">he rights guaranteed in article 19 require the removal of inequality and discrimination, including multiple and intersectional discrimination and positive </w:t>
      </w:r>
      <w:r w:rsidR="00153A71">
        <w:rPr>
          <w:rFonts w:ascii="Avenir Book" w:hAnsi="Avenir Book"/>
          <w:sz w:val="22"/>
          <w:szCs w:val="22"/>
        </w:rPr>
        <w:t xml:space="preserve">gender and age-appropriate </w:t>
      </w:r>
      <w:r w:rsidR="00856BED">
        <w:rPr>
          <w:rFonts w:ascii="Avenir Book" w:hAnsi="Avenir Book"/>
          <w:sz w:val="22"/>
          <w:szCs w:val="22"/>
        </w:rPr>
        <w:t>measures to ensure full development</w:t>
      </w:r>
      <w:r w:rsidR="00153A71">
        <w:rPr>
          <w:rFonts w:ascii="Avenir Book" w:hAnsi="Avenir Book"/>
          <w:sz w:val="22"/>
          <w:szCs w:val="22"/>
        </w:rPr>
        <w:t xml:space="preserve">, advancement </w:t>
      </w:r>
      <w:r w:rsidR="00856BED">
        <w:rPr>
          <w:rFonts w:ascii="Avenir Book" w:hAnsi="Avenir Book"/>
          <w:sz w:val="22"/>
          <w:szCs w:val="22"/>
        </w:rPr>
        <w:t>and empowerment</w:t>
      </w:r>
      <w:r w:rsidR="00A10EAF">
        <w:rPr>
          <w:rFonts w:ascii="Avenir Book" w:hAnsi="Avenir Book"/>
          <w:sz w:val="22"/>
          <w:szCs w:val="22"/>
        </w:rPr>
        <w:t xml:space="preserve"> of women and girls with disability</w:t>
      </w:r>
      <w:r w:rsidR="00153A71">
        <w:rPr>
          <w:rFonts w:ascii="Avenir Book" w:hAnsi="Avenir Book"/>
          <w:sz w:val="22"/>
          <w:szCs w:val="22"/>
        </w:rPr>
        <w:t>.</w:t>
      </w:r>
      <w:r w:rsidR="00856BED">
        <w:rPr>
          <w:rFonts w:ascii="Avenir Book" w:hAnsi="Avenir Book"/>
          <w:sz w:val="22"/>
          <w:szCs w:val="22"/>
        </w:rPr>
        <w:t xml:space="preserve"> </w:t>
      </w:r>
    </w:p>
    <w:p w14:paraId="3FB8F89E" w14:textId="77777777" w:rsidR="002C7886" w:rsidRPr="00E712F0" w:rsidRDefault="002C7886" w:rsidP="002F4C4C">
      <w:pPr>
        <w:spacing w:after="0" w:line="240" w:lineRule="auto"/>
        <w:jc w:val="left"/>
        <w:rPr>
          <w:rFonts w:ascii="Avenir Book" w:hAnsi="Avenir Book"/>
          <w:sz w:val="22"/>
          <w:szCs w:val="22"/>
        </w:rPr>
      </w:pPr>
    </w:p>
    <w:p w14:paraId="41F033E4" w14:textId="380BB968" w:rsidR="00E712F0" w:rsidRPr="00A970B6" w:rsidRDefault="004D72EF" w:rsidP="00564172">
      <w:pPr>
        <w:pStyle w:val="ListParagraph"/>
        <w:numPr>
          <w:ilvl w:val="1"/>
          <w:numId w:val="20"/>
        </w:numPr>
        <w:spacing w:line="240" w:lineRule="auto"/>
        <w:ind w:left="993" w:hanging="567"/>
        <w:jc w:val="left"/>
        <w:rPr>
          <w:rFonts w:ascii="Avenir Book" w:hAnsi="Avenir Book"/>
          <w:sz w:val="22"/>
          <w:szCs w:val="22"/>
        </w:rPr>
      </w:pPr>
      <w:r w:rsidRPr="00A970B6">
        <w:rPr>
          <w:rFonts w:ascii="Avenir Book" w:hAnsi="Avenir Book"/>
          <w:sz w:val="22"/>
          <w:szCs w:val="22"/>
        </w:rPr>
        <w:t xml:space="preserve">Implementation of article 19 is critical to </w:t>
      </w:r>
      <w:r w:rsidR="00C25AD3" w:rsidRPr="00A970B6">
        <w:rPr>
          <w:rFonts w:ascii="Avenir Book" w:hAnsi="Avenir Book"/>
          <w:sz w:val="22"/>
          <w:szCs w:val="22"/>
        </w:rPr>
        <w:t xml:space="preserve">combatting ableism and </w:t>
      </w:r>
      <w:r w:rsidR="00245B43" w:rsidRPr="00A970B6">
        <w:rPr>
          <w:rFonts w:ascii="Avenir Book" w:hAnsi="Avenir Book"/>
          <w:sz w:val="22"/>
          <w:szCs w:val="22"/>
        </w:rPr>
        <w:t xml:space="preserve">upholding the human rights model of disability. </w:t>
      </w:r>
      <w:r w:rsidR="00E712F0" w:rsidRPr="00A970B6">
        <w:rPr>
          <w:rFonts w:ascii="Avenir Book" w:hAnsi="Avenir Book"/>
          <w:sz w:val="22"/>
          <w:szCs w:val="22"/>
        </w:rPr>
        <w:t>Article 19</w:t>
      </w:r>
      <w:r w:rsidRPr="00A970B6">
        <w:rPr>
          <w:rFonts w:ascii="Avenir Book" w:hAnsi="Avenir Book"/>
          <w:sz w:val="22"/>
          <w:szCs w:val="22"/>
        </w:rPr>
        <w:t xml:space="preserve"> demand</w:t>
      </w:r>
      <w:r w:rsidR="00C25AD3" w:rsidRPr="00A970B6">
        <w:rPr>
          <w:rFonts w:ascii="Avenir Book" w:hAnsi="Avenir Book"/>
          <w:sz w:val="22"/>
          <w:szCs w:val="22"/>
        </w:rPr>
        <w:t>s</w:t>
      </w:r>
      <w:r w:rsidRPr="00A970B6">
        <w:rPr>
          <w:rFonts w:ascii="Avenir Book" w:hAnsi="Avenir Book"/>
          <w:sz w:val="22"/>
          <w:szCs w:val="22"/>
        </w:rPr>
        <w:t xml:space="preserve"> the </w:t>
      </w:r>
      <w:r w:rsidR="00E712F0" w:rsidRPr="00A970B6">
        <w:rPr>
          <w:rFonts w:ascii="Avenir Book" w:hAnsi="Avenir Book"/>
          <w:sz w:val="22"/>
          <w:szCs w:val="22"/>
        </w:rPr>
        <w:t xml:space="preserve">full inclusion of people with disability in all aspects of community life, and this necessarily means the </w:t>
      </w:r>
      <w:r w:rsidRPr="00A970B6">
        <w:rPr>
          <w:rFonts w:ascii="Avenir Book" w:hAnsi="Avenir Book"/>
          <w:sz w:val="22"/>
          <w:szCs w:val="22"/>
        </w:rPr>
        <w:t xml:space="preserve">end </w:t>
      </w:r>
      <w:r w:rsidR="00C25AD3" w:rsidRPr="00A970B6">
        <w:rPr>
          <w:rFonts w:ascii="Avenir Book" w:hAnsi="Avenir Book"/>
          <w:sz w:val="22"/>
          <w:szCs w:val="22"/>
        </w:rPr>
        <w:t xml:space="preserve">of </w:t>
      </w:r>
      <w:r w:rsidR="00512C81">
        <w:rPr>
          <w:rFonts w:ascii="Avenir Book" w:hAnsi="Avenir Book"/>
          <w:sz w:val="22"/>
          <w:szCs w:val="22"/>
        </w:rPr>
        <w:t xml:space="preserve">inequality and discrimination, including </w:t>
      </w:r>
      <w:r w:rsidR="00C25AD3" w:rsidRPr="00A970B6">
        <w:rPr>
          <w:rFonts w:ascii="Avenir Book" w:hAnsi="Avenir Book"/>
          <w:sz w:val="22"/>
          <w:szCs w:val="22"/>
        </w:rPr>
        <w:t>segregation</w:t>
      </w:r>
      <w:r w:rsidR="00E712F0" w:rsidRPr="00A970B6">
        <w:rPr>
          <w:rFonts w:ascii="Avenir Book" w:hAnsi="Avenir Book"/>
          <w:sz w:val="22"/>
          <w:szCs w:val="22"/>
        </w:rPr>
        <w:t xml:space="preserve"> in living arrangements; and it demands </w:t>
      </w:r>
      <w:r w:rsidR="00C25AD3" w:rsidRPr="00A970B6">
        <w:rPr>
          <w:rFonts w:ascii="Avenir Book" w:hAnsi="Avenir Book"/>
          <w:sz w:val="22"/>
          <w:szCs w:val="22"/>
        </w:rPr>
        <w:t xml:space="preserve">respect for </w:t>
      </w:r>
      <w:r w:rsidR="00E712F0" w:rsidRPr="00A970B6">
        <w:rPr>
          <w:rFonts w:ascii="Avenir Book" w:hAnsi="Avenir Book"/>
          <w:sz w:val="22"/>
          <w:szCs w:val="22"/>
        </w:rPr>
        <w:t>the</w:t>
      </w:r>
      <w:r w:rsidR="00C25AD3" w:rsidRPr="00A970B6">
        <w:rPr>
          <w:rFonts w:ascii="Avenir Book" w:hAnsi="Avenir Book"/>
          <w:sz w:val="22"/>
          <w:szCs w:val="22"/>
        </w:rPr>
        <w:t xml:space="preserve"> </w:t>
      </w:r>
      <w:r w:rsidR="00E712F0" w:rsidRPr="00A970B6">
        <w:rPr>
          <w:rFonts w:ascii="Avenir Book" w:hAnsi="Avenir Book"/>
          <w:sz w:val="22"/>
          <w:szCs w:val="22"/>
        </w:rPr>
        <w:t xml:space="preserve">full </w:t>
      </w:r>
      <w:r w:rsidR="00C25AD3" w:rsidRPr="00A970B6">
        <w:rPr>
          <w:rFonts w:ascii="Avenir Book" w:hAnsi="Avenir Book"/>
          <w:sz w:val="22"/>
          <w:szCs w:val="22"/>
        </w:rPr>
        <w:t xml:space="preserve">autonomy and </w:t>
      </w:r>
      <w:r w:rsidR="00E712F0" w:rsidRPr="00A970B6">
        <w:rPr>
          <w:rFonts w:ascii="Avenir Book" w:hAnsi="Avenir Book"/>
          <w:sz w:val="22"/>
          <w:szCs w:val="22"/>
        </w:rPr>
        <w:t xml:space="preserve">individual </w:t>
      </w:r>
      <w:r w:rsidR="00C25AD3" w:rsidRPr="00A970B6">
        <w:rPr>
          <w:rFonts w:ascii="Avenir Book" w:hAnsi="Avenir Book"/>
          <w:sz w:val="22"/>
          <w:szCs w:val="22"/>
        </w:rPr>
        <w:t>freedom</w:t>
      </w:r>
      <w:r w:rsidR="00E712F0" w:rsidRPr="00A970B6">
        <w:rPr>
          <w:rFonts w:ascii="Avenir Book" w:hAnsi="Avenir Book"/>
          <w:sz w:val="22"/>
          <w:szCs w:val="22"/>
        </w:rPr>
        <w:t xml:space="preserve"> of people with disability. </w:t>
      </w:r>
      <w:r w:rsidR="00C25AD3" w:rsidRPr="00A970B6">
        <w:rPr>
          <w:rFonts w:ascii="Avenir Book" w:hAnsi="Avenir Book"/>
          <w:sz w:val="22"/>
          <w:szCs w:val="22"/>
        </w:rPr>
        <w:t xml:space="preserve"> </w:t>
      </w:r>
      <w:r w:rsidR="00E712F0" w:rsidRPr="00A970B6">
        <w:rPr>
          <w:rFonts w:ascii="Avenir Book" w:hAnsi="Avenir Book"/>
          <w:sz w:val="22"/>
          <w:szCs w:val="22"/>
        </w:rPr>
        <w:t>Article 19 underlines the conditions for human dignity and free personal development</w:t>
      </w:r>
      <w:r w:rsidR="00E414C2" w:rsidRPr="00A970B6">
        <w:rPr>
          <w:rFonts w:ascii="Avenir Book" w:hAnsi="Avenir Book"/>
          <w:sz w:val="22"/>
          <w:szCs w:val="22"/>
        </w:rPr>
        <w:t>,</w:t>
      </w:r>
      <w:r w:rsidR="00E712F0" w:rsidRPr="00A970B6">
        <w:rPr>
          <w:rFonts w:ascii="Avenir Book" w:hAnsi="Avenir Book"/>
          <w:sz w:val="22"/>
          <w:szCs w:val="22"/>
        </w:rPr>
        <w:t xml:space="preserve"> </w:t>
      </w:r>
      <w:r w:rsidR="00E414C2" w:rsidRPr="00A970B6">
        <w:rPr>
          <w:rFonts w:ascii="Avenir Book" w:hAnsi="Avenir Book"/>
          <w:sz w:val="22"/>
          <w:szCs w:val="22"/>
        </w:rPr>
        <w:t xml:space="preserve">respecting the diversity and intersectional identities of people with disability.  In this way, implementation of article 19 </w:t>
      </w:r>
      <w:r w:rsidR="00856BED" w:rsidRPr="00A970B6">
        <w:rPr>
          <w:rFonts w:ascii="Avenir Book" w:hAnsi="Avenir Book"/>
          <w:sz w:val="22"/>
          <w:szCs w:val="22"/>
        </w:rPr>
        <w:t>is critical to</w:t>
      </w:r>
      <w:r w:rsidR="00E712F0" w:rsidRPr="00A970B6">
        <w:rPr>
          <w:rFonts w:ascii="Avenir Book" w:hAnsi="Avenir Book"/>
          <w:sz w:val="22"/>
          <w:szCs w:val="22"/>
        </w:rPr>
        <w:t xml:space="preserve"> the prevention of violence, abuse, neglect and exploitation. </w:t>
      </w:r>
    </w:p>
    <w:p w14:paraId="01840CEB" w14:textId="5997B6CD" w:rsidR="00E712F0" w:rsidRDefault="00E712F0" w:rsidP="000C6712">
      <w:pPr>
        <w:pStyle w:val="ListParagraph"/>
        <w:spacing w:after="0" w:line="240" w:lineRule="auto"/>
        <w:ind w:left="357"/>
        <w:contextualSpacing w:val="0"/>
        <w:jc w:val="left"/>
        <w:rPr>
          <w:rFonts w:ascii="Avenir Book" w:hAnsi="Avenir Book"/>
          <w:sz w:val="22"/>
          <w:szCs w:val="22"/>
        </w:rPr>
      </w:pPr>
    </w:p>
    <w:p w14:paraId="135F1573" w14:textId="77777777" w:rsidR="000C6712" w:rsidRDefault="000C6712">
      <w:pPr>
        <w:rPr>
          <w:rFonts w:ascii="Avenir Book" w:hAnsi="Avenir Book" w:cstheme="minorHAnsi"/>
          <w:b/>
          <w:color w:val="AC1F79"/>
          <w:sz w:val="22"/>
          <w:szCs w:val="22"/>
        </w:rPr>
      </w:pPr>
      <w:r>
        <w:rPr>
          <w:rFonts w:ascii="Avenir Book" w:hAnsi="Avenir Book" w:cstheme="minorHAnsi"/>
          <w:b/>
          <w:color w:val="AC1F79"/>
          <w:sz w:val="22"/>
          <w:szCs w:val="22"/>
        </w:rPr>
        <w:br w:type="page"/>
      </w:r>
    </w:p>
    <w:p w14:paraId="783F253B" w14:textId="41C69294" w:rsidR="00A36198" w:rsidRPr="000C6712" w:rsidRDefault="00A36198" w:rsidP="000C6712">
      <w:pPr>
        <w:spacing w:line="240" w:lineRule="auto"/>
        <w:jc w:val="left"/>
        <w:rPr>
          <w:rFonts w:ascii="Avenir Book" w:hAnsi="Avenir Book" w:cstheme="minorHAnsi"/>
          <w:b/>
          <w:color w:val="AC1F79"/>
        </w:rPr>
      </w:pPr>
      <w:r w:rsidRPr="002F4C4C">
        <w:rPr>
          <w:rFonts w:ascii="Avenir Book" w:hAnsi="Avenir Book" w:cstheme="minorHAnsi"/>
          <w:b/>
          <w:color w:val="AC1F79"/>
          <w:sz w:val="22"/>
          <w:szCs w:val="22"/>
        </w:rPr>
        <w:lastRenderedPageBreak/>
        <w:t>Recommendations</w:t>
      </w:r>
    </w:p>
    <w:p w14:paraId="2984353B" w14:textId="77777777" w:rsidR="00A36198" w:rsidRPr="008C4139" w:rsidRDefault="00A36198" w:rsidP="00564172">
      <w:pPr>
        <w:pStyle w:val="ListParagraph"/>
        <w:numPr>
          <w:ilvl w:val="0"/>
          <w:numId w:val="8"/>
        </w:numPr>
        <w:spacing w:after="120" w:line="240" w:lineRule="auto"/>
        <w:ind w:left="425" w:hanging="425"/>
        <w:contextualSpacing w:val="0"/>
        <w:jc w:val="left"/>
        <w:rPr>
          <w:rFonts w:ascii="Avenir Book" w:hAnsi="Avenir Book" w:cs="Calibri"/>
          <w:sz w:val="22"/>
          <w:szCs w:val="22"/>
        </w:rPr>
      </w:pPr>
      <w:r w:rsidRPr="008C4139">
        <w:rPr>
          <w:rFonts w:ascii="Avenir Book" w:hAnsi="Avenir Book" w:cstheme="minorHAnsi"/>
          <w:sz w:val="22"/>
          <w:szCs w:val="22"/>
        </w:rPr>
        <w:t>The Royal Commission should:</w:t>
      </w:r>
    </w:p>
    <w:p w14:paraId="4FFAE862" w14:textId="16FC62B9" w:rsidR="00A36198" w:rsidRPr="00EA5017" w:rsidRDefault="00A36198" w:rsidP="00EA5017">
      <w:pPr>
        <w:pStyle w:val="ListParagraph"/>
        <w:numPr>
          <w:ilvl w:val="0"/>
          <w:numId w:val="8"/>
        </w:numPr>
        <w:spacing w:after="120" w:line="240" w:lineRule="auto"/>
        <w:jc w:val="left"/>
        <w:rPr>
          <w:rFonts w:ascii="Avenir Book" w:hAnsi="Avenir Book" w:cs="Calibri"/>
          <w:sz w:val="22"/>
          <w:szCs w:val="22"/>
        </w:rPr>
      </w:pPr>
      <w:r w:rsidRPr="00EA5017">
        <w:rPr>
          <w:rFonts w:ascii="Avenir Book" w:hAnsi="Avenir Book" w:cs="Calibri"/>
          <w:sz w:val="22"/>
          <w:szCs w:val="22"/>
        </w:rPr>
        <w:t>recognise ableism and intersecting forms of inequality and discrimination as the underlying drivers of violence, abuse, neglect and exploitation of people with disability, including women and girls with disability;</w:t>
      </w:r>
    </w:p>
    <w:p w14:paraId="6B6409C1" w14:textId="209A8274" w:rsidR="001E40BB" w:rsidRPr="00EA5017" w:rsidRDefault="001E40BB" w:rsidP="00EA5017">
      <w:pPr>
        <w:pStyle w:val="ListParagraph"/>
        <w:numPr>
          <w:ilvl w:val="0"/>
          <w:numId w:val="8"/>
        </w:numPr>
        <w:spacing w:after="120" w:line="240" w:lineRule="auto"/>
        <w:jc w:val="left"/>
        <w:rPr>
          <w:rFonts w:ascii="Avenir Book" w:hAnsi="Avenir Book" w:cs="Calibri"/>
          <w:sz w:val="22"/>
          <w:szCs w:val="22"/>
        </w:rPr>
      </w:pPr>
      <w:r w:rsidRPr="00EA5017">
        <w:rPr>
          <w:rFonts w:ascii="Avenir Book" w:hAnsi="Avenir Book" w:cs="Calibri"/>
          <w:sz w:val="22"/>
          <w:szCs w:val="22"/>
        </w:rPr>
        <w:t xml:space="preserve">recognise that segregated living arrangements constitute discrimination, and facilitate violence, abuse, neglect and exploitation; </w:t>
      </w:r>
    </w:p>
    <w:p w14:paraId="11566074" w14:textId="7AA01EF4" w:rsidR="00CF7200" w:rsidRPr="00EA5017" w:rsidRDefault="00A36198" w:rsidP="00EA5017">
      <w:pPr>
        <w:pStyle w:val="ListParagraph"/>
        <w:numPr>
          <w:ilvl w:val="0"/>
          <w:numId w:val="8"/>
        </w:numPr>
        <w:spacing w:after="120" w:line="240" w:lineRule="auto"/>
        <w:jc w:val="left"/>
        <w:rPr>
          <w:rFonts w:ascii="Avenir Book" w:hAnsi="Avenir Book" w:cs="Calibri"/>
          <w:sz w:val="22"/>
          <w:szCs w:val="22"/>
        </w:rPr>
      </w:pPr>
      <w:r w:rsidRPr="00EA5017">
        <w:rPr>
          <w:rFonts w:ascii="Avenir Book" w:hAnsi="Avenir Book" w:cs="Calibri"/>
          <w:sz w:val="22"/>
          <w:szCs w:val="22"/>
        </w:rPr>
        <w:t xml:space="preserve">examine how ableism and intersecting forms of inequality and discrimination operate within Australian legal, policy and practice frameworks and </w:t>
      </w:r>
      <w:r w:rsidR="00CF7200" w:rsidRPr="00EA5017">
        <w:rPr>
          <w:rFonts w:ascii="Avenir Book" w:hAnsi="Avenir Book" w:cs="Calibri"/>
          <w:sz w:val="22"/>
          <w:szCs w:val="22"/>
        </w:rPr>
        <w:t xml:space="preserve">through </w:t>
      </w:r>
      <w:r w:rsidRPr="00EA5017">
        <w:rPr>
          <w:rFonts w:ascii="Avenir Book" w:hAnsi="Avenir Book" w:cs="Calibri"/>
          <w:sz w:val="22"/>
          <w:szCs w:val="22"/>
        </w:rPr>
        <w:t>community attitudes generally, and how they underpin violence, abuse, neglect and exploitation;</w:t>
      </w:r>
    </w:p>
    <w:p w14:paraId="2AA5DA45" w14:textId="76C72155" w:rsidR="00A36198" w:rsidRPr="00EA5017" w:rsidRDefault="00A36198" w:rsidP="00EA5017">
      <w:pPr>
        <w:pStyle w:val="ListParagraph"/>
        <w:numPr>
          <w:ilvl w:val="0"/>
          <w:numId w:val="8"/>
        </w:numPr>
        <w:spacing w:after="0" w:line="240" w:lineRule="auto"/>
        <w:jc w:val="left"/>
        <w:rPr>
          <w:rFonts w:ascii="Avenir Book" w:hAnsi="Avenir Book" w:cs="Calibri"/>
          <w:sz w:val="22"/>
          <w:szCs w:val="22"/>
        </w:rPr>
      </w:pPr>
      <w:r w:rsidRPr="00EA5017">
        <w:rPr>
          <w:rFonts w:ascii="Avenir Book" w:hAnsi="Avenir Book" w:cs="Calibri"/>
          <w:sz w:val="22"/>
          <w:szCs w:val="22"/>
        </w:rPr>
        <w:t xml:space="preserve">make recommendations that address the root causes of violence, abuse, neglect and exploitation and that </w:t>
      </w:r>
      <w:r w:rsidR="009A5115" w:rsidRPr="00EA5017">
        <w:rPr>
          <w:rFonts w:ascii="Avenir Book" w:hAnsi="Avenir Book" w:cs="Calibri"/>
          <w:sz w:val="22"/>
          <w:szCs w:val="22"/>
        </w:rPr>
        <w:t>facilitate</w:t>
      </w:r>
      <w:r w:rsidRPr="00EA5017">
        <w:rPr>
          <w:rFonts w:ascii="Avenir Book" w:hAnsi="Avenir Book" w:cs="Calibri"/>
          <w:sz w:val="22"/>
          <w:szCs w:val="22"/>
        </w:rPr>
        <w:t xml:space="preserve"> large scale responses and social transformation.</w:t>
      </w:r>
    </w:p>
    <w:p w14:paraId="37B34C34" w14:textId="77777777" w:rsidR="00A36198" w:rsidRPr="008C4139" w:rsidRDefault="00A36198" w:rsidP="000C6712">
      <w:pPr>
        <w:snapToGrid w:val="0"/>
        <w:spacing w:after="0" w:line="240" w:lineRule="auto"/>
        <w:ind w:left="850" w:hanging="425"/>
        <w:jc w:val="left"/>
        <w:rPr>
          <w:rFonts w:ascii="Avenir Book" w:hAnsi="Avenir Book" w:cs="Calibri"/>
          <w:sz w:val="22"/>
          <w:szCs w:val="22"/>
        </w:rPr>
      </w:pPr>
    </w:p>
    <w:p w14:paraId="747F3723" w14:textId="6B5D1CFC" w:rsidR="00A36198" w:rsidRPr="008C4139" w:rsidRDefault="00A36198" w:rsidP="00564172">
      <w:pPr>
        <w:pStyle w:val="ListParagraph"/>
        <w:numPr>
          <w:ilvl w:val="0"/>
          <w:numId w:val="8"/>
        </w:numPr>
        <w:snapToGrid w:val="0"/>
        <w:spacing w:after="120" w:line="240" w:lineRule="auto"/>
        <w:ind w:left="425" w:hanging="425"/>
        <w:contextualSpacing w:val="0"/>
        <w:jc w:val="left"/>
        <w:rPr>
          <w:rFonts w:ascii="Avenir Book" w:hAnsi="Avenir Book" w:cs="Calibri"/>
          <w:sz w:val="22"/>
          <w:szCs w:val="22"/>
        </w:rPr>
      </w:pPr>
      <w:r w:rsidRPr="008C4139">
        <w:rPr>
          <w:rFonts w:ascii="Avenir Book" w:hAnsi="Avenir Book" w:cs="Calibri"/>
          <w:sz w:val="22"/>
          <w:szCs w:val="22"/>
        </w:rPr>
        <w:t>A coordinated, nationally consistent violence prevention and response strategy should be developed by Australian governments, with active participation of people with disability</w:t>
      </w:r>
      <w:r w:rsidR="00CF7200">
        <w:rPr>
          <w:rFonts w:ascii="Avenir Book" w:hAnsi="Avenir Book" w:cs="Calibri"/>
          <w:sz w:val="22"/>
          <w:szCs w:val="22"/>
        </w:rPr>
        <w:t xml:space="preserve">, </w:t>
      </w:r>
      <w:r w:rsidRPr="008C4139">
        <w:rPr>
          <w:rFonts w:ascii="Avenir Book" w:hAnsi="Avenir Book" w:cs="Calibri"/>
          <w:sz w:val="22"/>
          <w:szCs w:val="22"/>
        </w:rPr>
        <w:t xml:space="preserve">that comprehensively combats ableism and intersecting forms of inequality and discrimination through a range of measures aimed at social transformation, </w:t>
      </w:r>
      <w:r w:rsidR="00CF7200">
        <w:rPr>
          <w:rFonts w:ascii="Avenir Book" w:hAnsi="Avenir Book" w:cs="Calibri"/>
          <w:sz w:val="22"/>
          <w:szCs w:val="22"/>
        </w:rPr>
        <w:t>such as</w:t>
      </w:r>
      <w:r w:rsidR="005C3925">
        <w:rPr>
          <w:rFonts w:ascii="Avenir Book" w:hAnsi="Avenir Book" w:cs="Calibri"/>
          <w:sz w:val="22"/>
          <w:szCs w:val="22"/>
        </w:rPr>
        <w:t xml:space="preserve"> through</w:t>
      </w:r>
      <w:r w:rsidRPr="008C4139">
        <w:rPr>
          <w:rFonts w:ascii="Avenir Book" w:hAnsi="Avenir Book" w:cs="Calibri"/>
          <w:sz w:val="22"/>
          <w:szCs w:val="22"/>
        </w:rPr>
        <w:t>:</w:t>
      </w:r>
    </w:p>
    <w:p w14:paraId="4F732829" w14:textId="6E2DF0A5" w:rsidR="00A36198" w:rsidRPr="00EA5017" w:rsidRDefault="00A36198" w:rsidP="00EA5017">
      <w:pPr>
        <w:pStyle w:val="ListParagraph"/>
        <w:numPr>
          <w:ilvl w:val="0"/>
          <w:numId w:val="8"/>
        </w:numPr>
        <w:snapToGrid w:val="0"/>
        <w:spacing w:after="120" w:line="240" w:lineRule="auto"/>
        <w:jc w:val="left"/>
        <w:rPr>
          <w:rFonts w:ascii="Avenir Book" w:hAnsi="Avenir Book" w:cs="Calibri"/>
          <w:sz w:val="22"/>
          <w:szCs w:val="22"/>
        </w:rPr>
      </w:pPr>
      <w:r w:rsidRPr="00EA5017">
        <w:rPr>
          <w:rFonts w:ascii="Avenir Book" w:hAnsi="Avenir Book" w:cs="Calibri"/>
          <w:sz w:val="22"/>
          <w:szCs w:val="22"/>
        </w:rPr>
        <w:t>Review, amend</w:t>
      </w:r>
      <w:r w:rsidR="001E40BB" w:rsidRPr="00EA5017">
        <w:rPr>
          <w:rFonts w:ascii="Avenir Book" w:hAnsi="Avenir Book" w:cs="Calibri"/>
          <w:sz w:val="22"/>
          <w:szCs w:val="22"/>
        </w:rPr>
        <w:t>ment</w:t>
      </w:r>
      <w:r w:rsidRPr="00EA5017">
        <w:rPr>
          <w:rFonts w:ascii="Avenir Book" w:hAnsi="Avenir Book" w:cs="Calibri"/>
          <w:sz w:val="22"/>
          <w:szCs w:val="22"/>
        </w:rPr>
        <w:t xml:space="preserve"> or repeal of laws, policies and practice that do not comply with the CRPD and that give rise to violence, abuse, neglect and exploitation of people with disability, including women and girls with disability;</w:t>
      </w:r>
    </w:p>
    <w:p w14:paraId="7375E8F1" w14:textId="73258D93" w:rsidR="005C3925" w:rsidRPr="00EA5017" w:rsidRDefault="005C3925" w:rsidP="00EA5017">
      <w:pPr>
        <w:pStyle w:val="ListParagraph"/>
        <w:numPr>
          <w:ilvl w:val="0"/>
          <w:numId w:val="8"/>
        </w:numPr>
        <w:snapToGrid w:val="0"/>
        <w:spacing w:after="120" w:line="240" w:lineRule="auto"/>
        <w:jc w:val="left"/>
        <w:rPr>
          <w:rFonts w:ascii="Avenir Book" w:hAnsi="Avenir Book" w:cs="Calibri"/>
          <w:sz w:val="22"/>
          <w:szCs w:val="22"/>
        </w:rPr>
      </w:pPr>
      <w:r w:rsidRPr="00EA5017">
        <w:rPr>
          <w:rFonts w:ascii="Avenir Book" w:hAnsi="Avenir Book" w:cs="Calibri"/>
          <w:sz w:val="22"/>
          <w:szCs w:val="22"/>
        </w:rPr>
        <w:t>Establishing independent bodies, such as an independent Office of Disability Inclusion</w:t>
      </w:r>
      <w:r w:rsidR="00216B3A" w:rsidRPr="00EA5017">
        <w:rPr>
          <w:rFonts w:ascii="Avenir Book" w:hAnsi="Avenir Book" w:cs="Calibri"/>
          <w:sz w:val="22"/>
          <w:szCs w:val="22"/>
        </w:rPr>
        <w:t>,</w:t>
      </w:r>
      <w:r w:rsidRPr="00EA5017">
        <w:rPr>
          <w:rFonts w:ascii="Avenir Book" w:hAnsi="Avenir Book" w:cs="Calibri"/>
          <w:sz w:val="22"/>
          <w:szCs w:val="22"/>
        </w:rPr>
        <w:t xml:space="preserve"> to </w:t>
      </w:r>
      <w:r w:rsidR="00216B3A" w:rsidRPr="00EA5017">
        <w:rPr>
          <w:rFonts w:ascii="Avenir Book" w:hAnsi="Avenir Book" w:cs="Calibri"/>
          <w:sz w:val="22"/>
          <w:szCs w:val="22"/>
        </w:rPr>
        <w:t xml:space="preserve">drive and </w:t>
      </w:r>
      <w:r w:rsidRPr="00EA5017">
        <w:rPr>
          <w:rFonts w:ascii="Avenir Book" w:hAnsi="Avenir Book" w:cs="Calibri"/>
          <w:sz w:val="22"/>
          <w:szCs w:val="22"/>
        </w:rPr>
        <w:t xml:space="preserve">coordinate intersectional research </w:t>
      </w:r>
      <w:r w:rsidR="00216B3A" w:rsidRPr="00EA5017">
        <w:rPr>
          <w:rFonts w:ascii="Avenir Book" w:hAnsi="Avenir Book" w:cs="Calibri"/>
          <w:sz w:val="22"/>
          <w:szCs w:val="22"/>
        </w:rPr>
        <w:t xml:space="preserve">and </w:t>
      </w:r>
      <w:r w:rsidRPr="00EA5017">
        <w:rPr>
          <w:rFonts w:ascii="Avenir Book" w:hAnsi="Avenir Book" w:cs="Calibri"/>
          <w:sz w:val="22"/>
          <w:szCs w:val="22"/>
        </w:rPr>
        <w:t>policy and law reform</w:t>
      </w:r>
      <w:r w:rsidR="00216B3A" w:rsidRPr="00EA5017">
        <w:rPr>
          <w:rFonts w:ascii="Avenir Book" w:hAnsi="Avenir Book" w:cs="Calibri"/>
          <w:sz w:val="22"/>
          <w:szCs w:val="22"/>
        </w:rPr>
        <w:t>;</w:t>
      </w:r>
      <w:r w:rsidRPr="00EA5017">
        <w:rPr>
          <w:rFonts w:ascii="Avenir Book" w:hAnsi="Avenir Book" w:cs="Calibri"/>
          <w:sz w:val="22"/>
          <w:szCs w:val="22"/>
        </w:rPr>
        <w:t xml:space="preserve"> </w:t>
      </w:r>
    </w:p>
    <w:p w14:paraId="02B53897" w14:textId="1F1D135B" w:rsidR="00890D72" w:rsidRPr="00EA5017" w:rsidRDefault="00890D72" w:rsidP="00EA5017">
      <w:pPr>
        <w:pStyle w:val="ListParagraph"/>
        <w:numPr>
          <w:ilvl w:val="0"/>
          <w:numId w:val="8"/>
        </w:numPr>
        <w:snapToGrid w:val="0"/>
        <w:spacing w:after="120" w:line="240" w:lineRule="auto"/>
        <w:jc w:val="left"/>
        <w:rPr>
          <w:rFonts w:ascii="Avenir Book" w:hAnsi="Avenir Book" w:cs="Calibri"/>
          <w:sz w:val="22"/>
          <w:szCs w:val="22"/>
        </w:rPr>
      </w:pPr>
      <w:r w:rsidRPr="00EA5017">
        <w:rPr>
          <w:rFonts w:ascii="Avenir Book" w:hAnsi="Avenir Book" w:cs="Calibri"/>
          <w:sz w:val="22"/>
          <w:szCs w:val="22"/>
        </w:rPr>
        <w:t xml:space="preserve">Co-designed violence prevention and response programs and resources; </w:t>
      </w:r>
    </w:p>
    <w:p w14:paraId="0FD87CD9" w14:textId="77777777" w:rsidR="00A36198" w:rsidRPr="00EA5017" w:rsidRDefault="00A36198" w:rsidP="00EA5017">
      <w:pPr>
        <w:pStyle w:val="ListParagraph"/>
        <w:numPr>
          <w:ilvl w:val="0"/>
          <w:numId w:val="8"/>
        </w:numPr>
        <w:snapToGrid w:val="0"/>
        <w:spacing w:after="120" w:line="240" w:lineRule="auto"/>
        <w:jc w:val="left"/>
        <w:rPr>
          <w:rFonts w:ascii="Avenir Book" w:hAnsi="Avenir Book" w:cs="Calibri"/>
          <w:sz w:val="22"/>
          <w:szCs w:val="22"/>
        </w:rPr>
      </w:pPr>
      <w:r w:rsidRPr="00EA5017">
        <w:rPr>
          <w:rFonts w:ascii="Avenir Book" w:hAnsi="Avenir Book" w:cs="Calibri"/>
          <w:sz w:val="22"/>
          <w:szCs w:val="22"/>
        </w:rPr>
        <w:t>National surveys and awareness raising campaigns;</w:t>
      </w:r>
    </w:p>
    <w:p w14:paraId="7F3A3D09" w14:textId="77777777" w:rsidR="00A36198" w:rsidRPr="00EA5017" w:rsidRDefault="00A36198" w:rsidP="00EA5017">
      <w:pPr>
        <w:pStyle w:val="ListParagraph"/>
        <w:numPr>
          <w:ilvl w:val="0"/>
          <w:numId w:val="8"/>
        </w:numPr>
        <w:snapToGrid w:val="0"/>
        <w:spacing w:after="120" w:line="240" w:lineRule="auto"/>
        <w:jc w:val="left"/>
        <w:rPr>
          <w:rFonts w:ascii="Avenir Book" w:hAnsi="Avenir Book" w:cs="Calibri"/>
          <w:sz w:val="22"/>
          <w:szCs w:val="22"/>
        </w:rPr>
      </w:pPr>
      <w:r w:rsidRPr="00EA5017">
        <w:rPr>
          <w:rFonts w:ascii="Avenir Book" w:hAnsi="Avenir Book" w:cs="Calibri"/>
          <w:sz w:val="22"/>
          <w:szCs w:val="22"/>
        </w:rPr>
        <w:t>Political commitments and leadership from governments;</w:t>
      </w:r>
    </w:p>
    <w:p w14:paraId="784488EA" w14:textId="77777777" w:rsidR="00A36198" w:rsidRPr="00EA5017" w:rsidRDefault="00A36198" w:rsidP="00EA5017">
      <w:pPr>
        <w:pStyle w:val="ListParagraph"/>
        <w:numPr>
          <w:ilvl w:val="0"/>
          <w:numId w:val="8"/>
        </w:numPr>
        <w:snapToGrid w:val="0"/>
        <w:spacing w:after="120" w:line="240" w:lineRule="auto"/>
        <w:jc w:val="left"/>
        <w:rPr>
          <w:rFonts w:ascii="Avenir Book" w:hAnsi="Avenir Book" w:cs="Calibri"/>
          <w:sz w:val="22"/>
          <w:szCs w:val="22"/>
        </w:rPr>
      </w:pPr>
      <w:r w:rsidRPr="00EA5017">
        <w:rPr>
          <w:rFonts w:ascii="Avenir Book" w:hAnsi="Avenir Book" w:cs="Calibri"/>
          <w:sz w:val="22"/>
          <w:szCs w:val="22"/>
        </w:rPr>
        <w:t>Budget allocations and resourcing;</w:t>
      </w:r>
    </w:p>
    <w:p w14:paraId="231DA0A3" w14:textId="4D1442DB" w:rsidR="00384638" w:rsidRPr="00EA5017" w:rsidRDefault="00A36198" w:rsidP="00EA5017">
      <w:pPr>
        <w:pStyle w:val="ListParagraph"/>
        <w:numPr>
          <w:ilvl w:val="0"/>
          <w:numId w:val="8"/>
        </w:numPr>
        <w:snapToGrid w:val="0"/>
        <w:spacing w:after="120" w:line="240" w:lineRule="auto"/>
        <w:jc w:val="left"/>
        <w:rPr>
          <w:rFonts w:ascii="Avenir Book" w:hAnsi="Avenir Book" w:cs="Calibri"/>
          <w:sz w:val="22"/>
          <w:szCs w:val="22"/>
        </w:rPr>
      </w:pPr>
      <w:r w:rsidRPr="00EA5017">
        <w:rPr>
          <w:rFonts w:ascii="Avenir Book" w:hAnsi="Avenir Book" w:cs="Calibri"/>
          <w:sz w:val="22"/>
          <w:szCs w:val="22"/>
        </w:rPr>
        <w:t>Educational programs delivered as part of early childhood, school and tertiary curricula</w:t>
      </w:r>
      <w:r w:rsidR="00384638" w:rsidRPr="00EA5017">
        <w:rPr>
          <w:rFonts w:ascii="Avenir Book" w:hAnsi="Avenir Book" w:cs="Calibri"/>
          <w:sz w:val="22"/>
          <w:szCs w:val="22"/>
        </w:rPr>
        <w:t>.</w:t>
      </w:r>
    </w:p>
    <w:p w14:paraId="6E309640" w14:textId="37AE0D46" w:rsidR="006A36AE" w:rsidRDefault="006A36AE" w:rsidP="002F4C4C">
      <w:pPr>
        <w:pStyle w:val="Heading2"/>
        <w:spacing w:line="240" w:lineRule="auto"/>
        <w:rPr>
          <w:rFonts w:ascii="Calibri" w:hAnsi="Calibri" w:cs="Calibri"/>
          <w:color w:val="7030A0"/>
        </w:rPr>
      </w:pPr>
    </w:p>
    <w:p w14:paraId="2B3FF539" w14:textId="77777777" w:rsidR="00D9276F" w:rsidRPr="00D9276F" w:rsidRDefault="00D9276F" w:rsidP="002F4C4C">
      <w:pPr>
        <w:spacing w:line="240" w:lineRule="auto"/>
        <w:jc w:val="left"/>
      </w:pPr>
    </w:p>
    <w:p w14:paraId="6F5F7044" w14:textId="77777777" w:rsidR="009C70FA" w:rsidRPr="000B5643" w:rsidRDefault="009C70FA" w:rsidP="002F4C4C">
      <w:pPr>
        <w:spacing w:line="240" w:lineRule="auto"/>
        <w:jc w:val="left"/>
        <w:rPr>
          <w:rFonts w:ascii="Avenir Book" w:hAnsi="Avenir Book"/>
          <w:sz w:val="22"/>
          <w:szCs w:val="22"/>
        </w:rPr>
      </w:pPr>
    </w:p>
    <w:p w14:paraId="0AEBB38F" w14:textId="397C5A28" w:rsidR="00764C27" w:rsidRDefault="00764C27" w:rsidP="002F4C4C">
      <w:pPr>
        <w:spacing w:line="240" w:lineRule="auto"/>
        <w:jc w:val="left"/>
        <w:rPr>
          <w:rFonts w:ascii="Calibri" w:eastAsiaTheme="minorHAnsi" w:hAnsi="Calibri" w:cs="Calibri"/>
          <w:b/>
          <w:color w:val="7030A0"/>
          <w:sz w:val="28"/>
        </w:rPr>
      </w:pPr>
      <w:r>
        <w:rPr>
          <w:rFonts w:ascii="Calibri" w:hAnsi="Calibri" w:cs="Calibri"/>
          <w:color w:val="7030A0"/>
        </w:rPr>
        <w:br w:type="page"/>
      </w:r>
    </w:p>
    <w:p w14:paraId="4E2248A3" w14:textId="7380F9D8" w:rsidR="003811AF" w:rsidRPr="000C6712" w:rsidRDefault="004C4470" w:rsidP="00564172">
      <w:pPr>
        <w:pStyle w:val="Heading2"/>
        <w:numPr>
          <w:ilvl w:val="0"/>
          <w:numId w:val="6"/>
        </w:numPr>
        <w:spacing w:line="240" w:lineRule="auto"/>
        <w:ind w:left="425" w:hanging="425"/>
        <w:rPr>
          <w:rFonts w:ascii="Avenir Roman" w:hAnsi="Avenir Roman" w:cs="Calibri"/>
          <w:color w:val="AC1F79"/>
        </w:rPr>
      </w:pPr>
      <w:bookmarkStart w:id="120" w:name="_Toc43919161"/>
      <w:r w:rsidRPr="00CD5241">
        <w:rPr>
          <w:rFonts w:ascii="Avenir Roman" w:hAnsi="Avenir Roman" w:cs="Calibri"/>
          <w:color w:val="AC1F79"/>
        </w:rPr>
        <w:lastRenderedPageBreak/>
        <w:t xml:space="preserve">Exposing </w:t>
      </w:r>
      <w:r w:rsidR="00F3084E" w:rsidRPr="00CD5241">
        <w:rPr>
          <w:rFonts w:ascii="Avenir Roman" w:hAnsi="Avenir Roman" w:cs="Calibri"/>
          <w:color w:val="AC1F79"/>
        </w:rPr>
        <w:t xml:space="preserve">and responding to </w:t>
      </w:r>
      <w:r w:rsidRPr="00CD5241">
        <w:rPr>
          <w:rFonts w:ascii="Avenir Roman" w:hAnsi="Avenir Roman" w:cs="Calibri"/>
          <w:color w:val="AC1F79"/>
        </w:rPr>
        <w:t>violence</w:t>
      </w:r>
      <w:r w:rsidR="00227497" w:rsidRPr="00CD5241">
        <w:rPr>
          <w:rFonts w:ascii="Avenir Roman" w:hAnsi="Avenir Roman" w:cs="Calibri"/>
          <w:color w:val="AC1F79"/>
        </w:rPr>
        <w:t>, abuse, neglect and exploitation</w:t>
      </w:r>
      <w:bookmarkEnd w:id="120"/>
      <w:r w:rsidRPr="00CD5241">
        <w:rPr>
          <w:rFonts w:ascii="Avenir Roman" w:hAnsi="Avenir Roman" w:cs="Calibri"/>
          <w:color w:val="AC1F79"/>
        </w:rPr>
        <w:t xml:space="preserve"> </w:t>
      </w:r>
    </w:p>
    <w:p w14:paraId="7FB79E25" w14:textId="52350806" w:rsidR="00CD124B" w:rsidRPr="007713E1" w:rsidRDefault="00A31E32" w:rsidP="00564172">
      <w:pPr>
        <w:pStyle w:val="Heading3"/>
        <w:numPr>
          <w:ilvl w:val="1"/>
          <w:numId w:val="23"/>
        </w:numPr>
        <w:spacing w:after="120" w:line="240" w:lineRule="auto"/>
        <w:ind w:left="1134" w:hanging="709"/>
        <w:rPr>
          <w:rFonts w:ascii="Avenir Roman" w:hAnsi="Avenir Roman"/>
          <w:i/>
        </w:rPr>
      </w:pPr>
      <w:bookmarkStart w:id="121" w:name="_Toc43919162"/>
      <w:r>
        <w:rPr>
          <w:rFonts w:ascii="Avenir Roman" w:hAnsi="Avenir Roman"/>
          <w:i/>
        </w:rPr>
        <w:t>Intersectional research and disaggregated data</w:t>
      </w:r>
      <w:bookmarkEnd w:id="121"/>
    </w:p>
    <w:p w14:paraId="2AA961EA" w14:textId="6894F0EB" w:rsidR="00E0322A" w:rsidRPr="00A31E32" w:rsidRDefault="00E0322A" w:rsidP="00564172">
      <w:pPr>
        <w:pStyle w:val="ListParagraph"/>
        <w:numPr>
          <w:ilvl w:val="2"/>
          <w:numId w:val="23"/>
        </w:numPr>
        <w:spacing w:line="240" w:lineRule="auto"/>
        <w:ind w:left="1134"/>
        <w:jc w:val="left"/>
        <w:rPr>
          <w:rFonts w:ascii="Avenir Book" w:hAnsi="Avenir Book" w:cstheme="minorHAnsi"/>
          <w:sz w:val="22"/>
          <w:szCs w:val="22"/>
        </w:rPr>
      </w:pPr>
      <w:r w:rsidRPr="00A31E32">
        <w:rPr>
          <w:rFonts w:ascii="Avenir Book" w:hAnsi="Avenir Book" w:cstheme="minorHAnsi"/>
          <w:color w:val="191619"/>
          <w:sz w:val="22"/>
          <w:szCs w:val="22"/>
        </w:rPr>
        <w:t>It is now well established that violence against women and girls with disability globally and in Australia is far more extensive, frequent and significantly more diverse in nature than violence amongst either their male counterparts or women without disability.</w:t>
      </w:r>
      <w:r w:rsidRPr="00DA4323">
        <w:rPr>
          <w:rStyle w:val="FootnoteReference"/>
          <w:rFonts w:ascii="Avenir Book" w:hAnsi="Avenir Book" w:cstheme="minorHAnsi"/>
          <w:color w:val="191619"/>
          <w:sz w:val="22"/>
          <w:szCs w:val="22"/>
        </w:rPr>
        <w:footnoteReference w:id="138"/>
      </w:r>
      <w:r w:rsidRPr="00A31E32">
        <w:rPr>
          <w:rFonts w:ascii="Avenir Book" w:hAnsi="Avenir Book" w:cstheme="minorHAnsi"/>
          <w:color w:val="191619"/>
          <w:sz w:val="22"/>
          <w:szCs w:val="22"/>
        </w:rPr>
        <w:t xml:space="preserve"> </w:t>
      </w:r>
    </w:p>
    <w:p w14:paraId="34EB688C" w14:textId="77777777" w:rsidR="00A31E32" w:rsidRPr="00A31E32" w:rsidRDefault="00A31E32" w:rsidP="000C6712">
      <w:pPr>
        <w:pStyle w:val="ListParagraph"/>
        <w:spacing w:line="240" w:lineRule="auto"/>
        <w:ind w:left="1134"/>
        <w:jc w:val="left"/>
        <w:rPr>
          <w:rFonts w:ascii="Avenir Book" w:hAnsi="Avenir Book" w:cstheme="minorHAnsi"/>
          <w:sz w:val="22"/>
          <w:szCs w:val="22"/>
        </w:rPr>
      </w:pPr>
    </w:p>
    <w:p w14:paraId="0EB06258" w14:textId="43393DBC" w:rsidR="0051259C" w:rsidRPr="00A31E32" w:rsidRDefault="00E0322A" w:rsidP="00564172">
      <w:pPr>
        <w:pStyle w:val="ListParagraph"/>
        <w:numPr>
          <w:ilvl w:val="2"/>
          <w:numId w:val="23"/>
        </w:numPr>
        <w:spacing w:line="240" w:lineRule="auto"/>
        <w:ind w:left="1134"/>
        <w:jc w:val="left"/>
        <w:rPr>
          <w:rFonts w:ascii="Avenir Book" w:hAnsi="Avenir Book" w:cstheme="minorHAnsi"/>
          <w:sz w:val="22"/>
          <w:szCs w:val="22"/>
        </w:rPr>
      </w:pPr>
      <w:r w:rsidRPr="00A31E32">
        <w:rPr>
          <w:rFonts w:ascii="Avenir Book" w:hAnsi="Avenir Book" w:cstheme="minorHAnsi"/>
          <w:color w:val="191619"/>
          <w:sz w:val="22"/>
          <w:szCs w:val="22"/>
        </w:rPr>
        <w:t>Nevertheless, t</w:t>
      </w:r>
      <w:r w:rsidR="00980B82" w:rsidRPr="00A31E32">
        <w:rPr>
          <w:rFonts w:ascii="Avenir Book" w:hAnsi="Avenir Book" w:cstheme="minorHAnsi"/>
          <w:color w:val="191619"/>
          <w:sz w:val="22"/>
          <w:szCs w:val="22"/>
        </w:rPr>
        <w:t>here is a significant lack of disaggregated data</w:t>
      </w:r>
      <w:r w:rsidR="00460F4F" w:rsidRPr="00A31E32">
        <w:rPr>
          <w:rFonts w:ascii="Avenir Book" w:hAnsi="Avenir Book" w:cstheme="minorHAnsi"/>
          <w:color w:val="191619"/>
          <w:sz w:val="22"/>
          <w:szCs w:val="22"/>
        </w:rPr>
        <w:t>, research and information</w:t>
      </w:r>
      <w:r w:rsidR="00980B82" w:rsidRPr="00A31E32">
        <w:rPr>
          <w:rFonts w:ascii="Avenir Book" w:hAnsi="Avenir Book" w:cstheme="minorHAnsi"/>
          <w:color w:val="191619"/>
          <w:sz w:val="22"/>
          <w:szCs w:val="22"/>
        </w:rPr>
        <w:t xml:space="preserve"> across all life domains t</w:t>
      </w:r>
      <w:r w:rsidR="00460F4F" w:rsidRPr="00A31E32">
        <w:rPr>
          <w:rFonts w:ascii="Avenir Book" w:hAnsi="Avenir Book" w:cstheme="minorHAnsi"/>
          <w:color w:val="191619"/>
          <w:sz w:val="22"/>
          <w:szCs w:val="22"/>
        </w:rPr>
        <w:t xml:space="preserve">hat prevents </w:t>
      </w:r>
      <w:r w:rsidR="00361D54" w:rsidRPr="00A31E32">
        <w:rPr>
          <w:rFonts w:ascii="Avenir Book" w:hAnsi="Avenir Book" w:cstheme="minorHAnsi"/>
          <w:color w:val="191619"/>
          <w:sz w:val="22"/>
          <w:szCs w:val="22"/>
        </w:rPr>
        <w:t xml:space="preserve">development of </w:t>
      </w:r>
      <w:r w:rsidR="00980B82" w:rsidRPr="00A31E32">
        <w:rPr>
          <w:rFonts w:ascii="Avenir Book" w:hAnsi="Avenir Book" w:cstheme="minorHAnsi"/>
          <w:color w:val="191619"/>
          <w:sz w:val="22"/>
          <w:szCs w:val="22"/>
        </w:rPr>
        <w:t xml:space="preserve">a comprehensive evidence base on the situation of women and girls </w:t>
      </w:r>
      <w:r w:rsidR="003D5317" w:rsidRPr="00A31E32">
        <w:rPr>
          <w:rFonts w:ascii="Avenir Book" w:hAnsi="Avenir Book" w:cstheme="minorHAnsi"/>
          <w:color w:val="191619"/>
          <w:sz w:val="22"/>
          <w:szCs w:val="22"/>
        </w:rPr>
        <w:t xml:space="preserve">with disability </w:t>
      </w:r>
      <w:r w:rsidR="00980B82" w:rsidRPr="00A31E32">
        <w:rPr>
          <w:rFonts w:ascii="Avenir Book" w:hAnsi="Avenir Book" w:cstheme="minorHAnsi"/>
          <w:color w:val="191619"/>
          <w:sz w:val="22"/>
          <w:szCs w:val="22"/>
        </w:rPr>
        <w:t>in Australia.</w:t>
      </w:r>
      <w:r w:rsidR="007750E6">
        <w:rPr>
          <w:rStyle w:val="FootnoteReference"/>
          <w:rFonts w:ascii="Avenir Book" w:hAnsi="Avenir Book" w:cstheme="minorHAnsi"/>
          <w:color w:val="191619"/>
          <w:sz w:val="22"/>
          <w:szCs w:val="22"/>
        </w:rPr>
        <w:footnoteReference w:id="139"/>
      </w:r>
      <w:r w:rsidR="00980B82" w:rsidRPr="00A31E32">
        <w:rPr>
          <w:rFonts w:ascii="Avenir Book" w:hAnsi="Avenir Book" w:cstheme="minorHAnsi"/>
          <w:color w:val="191619"/>
          <w:sz w:val="22"/>
          <w:szCs w:val="22"/>
        </w:rPr>
        <w:t xml:space="preserve"> </w:t>
      </w:r>
      <w:r w:rsidR="00460F4F" w:rsidRPr="00A31E32">
        <w:rPr>
          <w:rFonts w:ascii="Avenir Book" w:hAnsi="Avenir Book" w:cstheme="minorHAnsi"/>
          <w:color w:val="191619"/>
          <w:sz w:val="22"/>
          <w:szCs w:val="22"/>
        </w:rPr>
        <w:t xml:space="preserve">This results in women and girls with disability being invisible and marginalised in society and being largely excluded from policies, programs, services and measures to </w:t>
      </w:r>
      <w:r w:rsidR="0051259C" w:rsidRPr="00A31E32">
        <w:rPr>
          <w:rFonts w:ascii="Avenir Book" w:hAnsi="Avenir Book" w:cstheme="minorHAnsi"/>
          <w:color w:val="191619"/>
          <w:sz w:val="22"/>
          <w:szCs w:val="22"/>
        </w:rPr>
        <w:t>progress</w:t>
      </w:r>
      <w:r w:rsidR="00460F4F" w:rsidRPr="00A31E32">
        <w:rPr>
          <w:rFonts w:ascii="Avenir Book" w:hAnsi="Avenir Book" w:cstheme="minorHAnsi"/>
          <w:color w:val="191619"/>
          <w:sz w:val="22"/>
          <w:szCs w:val="22"/>
        </w:rPr>
        <w:t xml:space="preserve"> disability and gender equality.</w:t>
      </w:r>
      <w:r w:rsidR="007750E6">
        <w:rPr>
          <w:rStyle w:val="FootnoteReference"/>
          <w:rFonts w:ascii="Avenir Book" w:hAnsi="Avenir Book" w:cstheme="minorHAnsi"/>
          <w:color w:val="191619"/>
          <w:sz w:val="22"/>
          <w:szCs w:val="22"/>
        </w:rPr>
        <w:footnoteReference w:id="140"/>
      </w:r>
      <w:r w:rsidR="00460F4F" w:rsidRPr="00A31E32">
        <w:rPr>
          <w:rFonts w:ascii="Avenir Book" w:hAnsi="Avenir Book" w:cstheme="minorHAnsi"/>
          <w:color w:val="191619"/>
          <w:sz w:val="22"/>
          <w:szCs w:val="22"/>
        </w:rPr>
        <w:t xml:space="preserve">  </w:t>
      </w:r>
    </w:p>
    <w:p w14:paraId="1CBA64AF" w14:textId="77777777" w:rsidR="00A31E32" w:rsidRPr="00A31E32" w:rsidRDefault="00A31E32" w:rsidP="000C6712">
      <w:pPr>
        <w:pStyle w:val="ListParagraph"/>
        <w:spacing w:line="240" w:lineRule="auto"/>
        <w:jc w:val="left"/>
        <w:rPr>
          <w:rFonts w:ascii="Avenir Book" w:hAnsi="Avenir Book" w:cstheme="minorHAnsi"/>
          <w:sz w:val="22"/>
          <w:szCs w:val="22"/>
        </w:rPr>
      </w:pPr>
    </w:p>
    <w:p w14:paraId="203C93B5" w14:textId="0CD91307" w:rsidR="00460F4F" w:rsidRPr="00407FA1" w:rsidRDefault="00C827C1" w:rsidP="00564172">
      <w:pPr>
        <w:pStyle w:val="ListParagraph"/>
        <w:numPr>
          <w:ilvl w:val="2"/>
          <w:numId w:val="23"/>
        </w:numPr>
        <w:spacing w:line="240" w:lineRule="auto"/>
        <w:ind w:left="1134"/>
        <w:jc w:val="left"/>
        <w:rPr>
          <w:rFonts w:ascii="Avenir Book" w:hAnsi="Avenir Book" w:cstheme="minorHAnsi"/>
          <w:sz w:val="22"/>
          <w:szCs w:val="22"/>
        </w:rPr>
      </w:pPr>
      <w:r w:rsidRPr="00A31E32">
        <w:rPr>
          <w:rFonts w:ascii="Avenir Book" w:hAnsi="Avenir Book" w:cstheme="minorHAnsi"/>
          <w:color w:val="191619"/>
          <w:sz w:val="22"/>
          <w:szCs w:val="22"/>
        </w:rPr>
        <w:t xml:space="preserve">This issue has consistently been raised by </w:t>
      </w:r>
      <w:r w:rsidR="009E6450" w:rsidRPr="00A31E32">
        <w:rPr>
          <w:rFonts w:ascii="Avenir Book" w:hAnsi="Avenir Book" w:cstheme="minorHAnsi"/>
          <w:color w:val="191619"/>
          <w:sz w:val="22"/>
          <w:szCs w:val="22"/>
        </w:rPr>
        <w:t xml:space="preserve">WWDA </w:t>
      </w:r>
      <w:r w:rsidRPr="00A31E32">
        <w:rPr>
          <w:rFonts w:ascii="Avenir Book" w:hAnsi="Avenir Book" w:cstheme="minorHAnsi"/>
          <w:color w:val="191619"/>
          <w:sz w:val="22"/>
          <w:szCs w:val="22"/>
        </w:rPr>
        <w:t xml:space="preserve">over many decades, with few measures taken to rectify it.  WWDA </w:t>
      </w:r>
      <w:r w:rsidR="009E6450" w:rsidRPr="00A31E32">
        <w:rPr>
          <w:rFonts w:ascii="Avenir Book" w:hAnsi="Avenir Book" w:cstheme="minorHAnsi"/>
          <w:color w:val="191619"/>
          <w:sz w:val="22"/>
          <w:szCs w:val="22"/>
        </w:rPr>
        <w:t xml:space="preserve">has had to source and analyse a range of data sources, reports and information to compile </w:t>
      </w:r>
      <w:r w:rsidR="00407FA1">
        <w:rPr>
          <w:rFonts w:ascii="Avenir Book" w:hAnsi="Avenir Book" w:cstheme="minorHAnsi"/>
          <w:color w:val="191619"/>
          <w:sz w:val="22"/>
          <w:szCs w:val="22"/>
        </w:rPr>
        <w:t>comprehensive</w:t>
      </w:r>
      <w:r w:rsidR="009E6450" w:rsidRPr="00A31E32">
        <w:rPr>
          <w:rFonts w:ascii="Avenir Book" w:hAnsi="Avenir Book" w:cstheme="minorHAnsi"/>
          <w:color w:val="191619"/>
          <w:sz w:val="22"/>
          <w:szCs w:val="22"/>
        </w:rPr>
        <w:t xml:space="preserve"> data and information on the situation of women and girls with disability in Australia,</w:t>
      </w:r>
      <w:r w:rsidR="007750E6" w:rsidRPr="00A31E32">
        <w:rPr>
          <w:rFonts w:ascii="Avenir Book" w:hAnsi="Avenir Book" w:cstheme="minorHAnsi"/>
          <w:color w:val="191619"/>
          <w:sz w:val="22"/>
          <w:szCs w:val="22"/>
        </w:rPr>
        <w:t xml:space="preserve"> </w:t>
      </w:r>
      <w:r w:rsidR="009E6450" w:rsidRPr="00A31E32">
        <w:rPr>
          <w:rFonts w:ascii="Avenir Book" w:hAnsi="Avenir Book" w:cstheme="minorHAnsi"/>
          <w:color w:val="191619"/>
          <w:sz w:val="22"/>
          <w:szCs w:val="22"/>
        </w:rPr>
        <w:t>including in relation to violence, abuse, neglect and exploitation.</w:t>
      </w:r>
      <w:r w:rsidR="007750E6">
        <w:rPr>
          <w:rStyle w:val="FootnoteReference"/>
          <w:rFonts w:ascii="Avenir Book" w:hAnsi="Avenir Book" w:cstheme="minorHAnsi"/>
          <w:color w:val="191619"/>
          <w:sz w:val="22"/>
          <w:szCs w:val="22"/>
        </w:rPr>
        <w:footnoteReference w:id="141"/>
      </w:r>
    </w:p>
    <w:p w14:paraId="00119BD9" w14:textId="77777777" w:rsidR="00407FA1" w:rsidRPr="00407FA1" w:rsidRDefault="00407FA1" w:rsidP="000C6712">
      <w:pPr>
        <w:pStyle w:val="ListParagraph"/>
        <w:spacing w:line="240" w:lineRule="auto"/>
        <w:jc w:val="left"/>
        <w:rPr>
          <w:rFonts w:ascii="Avenir Book" w:hAnsi="Avenir Book" w:cstheme="minorHAnsi"/>
          <w:sz w:val="22"/>
          <w:szCs w:val="22"/>
        </w:rPr>
      </w:pPr>
    </w:p>
    <w:p w14:paraId="4466F4FC" w14:textId="1ED7360D" w:rsidR="004C4470" w:rsidRDefault="004C4470" w:rsidP="00564172">
      <w:pPr>
        <w:pStyle w:val="ListParagraph"/>
        <w:numPr>
          <w:ilvl w:val="2"/>
          <w:numId w:val="23"/>
        </w:numPr>
        <w:spacing w:line="240" w:lineRule="auto"/>
        <w:ind w:left="1134"/>
        <w:jc w:val="left"/>
        <w:rPr>
          <w:rFonts w:ascii="Avenir Book" w:hAnsi="Avenir Book" w:cstheme="minorHAnsi"/>
          <w:sz w:val="22"/>
          <w:szCs w:val="22"/>
        </w:rPr>
      </w:pPr>
      <w:r w:rsidRPr="00407FA1">
        <w:rPr>
          <w:rFonts w:ascii="Avenir Book" w:hAnsi="Avenir Book" w:cstheme="minorHAnsi"/>
          <w:sz w:val="22"/>
          <w:szCs w:val="22"/>
        </w:rPr>
        <w:t>There is little to no intersectional analysis, research or disaggregated data that examines the experience of violence, abuse</w:t>
      </w:r>
      <w:r w:rsidR="00CE13FB" w:rsidRPr="00407FA1">
        <w:rPr>
          <w:rFonts w:ascii="Avenir Book" w:hAnsi="Avenir Book" w:cstheme="minorHAnsi"/>
          <w:sz w:val="22"/>
          <w:szCs w:val="22"/>
        </w:rPr>
        <w:t>, neglect</w:t>
      </w:r>
      <w:r w:rsidRPr="00407FA1">
        <w:rPr>
          <w:rFonts w:ascii="Avenir Book" w:hAnsi="Avenir Book" w:cstheme="minorHAnsi"/>
          <w:sz w:val="22"/>
          <w:szCs w:val="22"/>
        </w:rPr>
        <w:t xml:space="preserve"> and exploitation by specific groups of women and girls with disability, such as those who are Indigenous, those from culturally and linguistically diverse backgrounds, those who are migrants, refugees or asylum seekers, those who are lesbian, gay, bisexual, transgender or intersex, or those living in rural and remote communities.</w:t>
      </w:r>
      <w:r w:rsidR="00E32407" w:rsidRPr="00DA4323">
        <w:rPr>
          <w:rStyle w:val="FootnoteReference"/>
          <w:rFonts w:ascii="Avenir Book" w:hAnsi="Avenir Book" w:cstheme="minorHAnsi"/>
          <w:sz w:val="22"/>
          <w:szCs w:val="22"/>
        </w:rPr>
        <w:footnoteReference w:id="142"/>
      </w:r>
      <w:r w:rsidRPr="00407FA1">
        <w:rPr>
          <w:rFonts w:ascii="Avenir Book" w:hAnsi="Avenir Book" w:cstheme="minorHAnsi"/>
          <w:sz w:val="22"/>
          <w:szCs w:val="22"/>
        </w:rPr>
        <w:t xml:space="preserve"> </w:t>
      </w:r>
    </w:p>
    <w:p w14:paraId="7F4F90CB" w14:textId="77777777" w:rsidR="00407FA1" w:rsidRPr="00407FA1" w:rsidRDefault="00407FA1" w:rsidP="000C6712">
      <w:pPr>
        <w:pStyle w:val="ListParagraph"/>
        <w:spacing w:line="240" w:lineRule="auto"/>
        <w:jc w:val="left"/>
        <w:rPr>
          <w:rFonts w:ascii="Avenir Book" w:hAnsi="Avenir Book" w:cstheme="minorHAnsi"/>
          <w:sz w:val="22"/>
          <w:szCs w:val="22"/>
        </w:rPr>
      </w:pPr>
    </w:p>
    <w:p w14:paraId="414DC902" w14:textId="07962CDD" w:rsidR="00CE13FB" w:rsidRDefault="00C71757" w:rsidP="00564172">
      <w:pPr>
        <w:pStyle w:val="ListParagraph"/>
        <w:numPr>
          <w:ilvl w:val="2"/>
          <w:numId w:val="23"/>
        </w:numPr>
        <w:spacing w:line="240" w:lineRule="auto"/>
        <w:ind w:left="1134"/>
        <w:jc w:val="left"/>
        <w:rPr>
          <w:rFonts w:ascii="Avenir Book" w:hAnsi="Avenir Book" w:cstheme="minorHAnsi"/>
          <w:sz w:val="22"/>
          <w:szCs w:val="22"/>
        </w:rPr>
      </w:pPr>
      <w:r w:rsidRPr="00407FA1">
        <w:rPr>
          <w:rFonts w:ascii="Avenir Book" w:hAnsi="Avenir Book" w:cstheme="minorHAnsi"/>
          <w:sz w:val="22"/>
          <w:szCs w:val="22"/>
        </w:rPr>
        <w:t>T</w:t>
      </w:r>
      <w:r w:rsidR="00764E0B" w:rsidRPr="00407FA1">
        <w:rPr>
          <w:rFonts w:ascii="Avenir Book" w:hAnsi="Avenir Book" w:cstheme="minorHAnsi"/>
          <w:sz w:val="22"/>
          <w:szCs w:val="22"/>
        </w:rPr>
        <w:t xml:space="preserve">he </w:t>
      </w:r>
      <w:r w:rsidRPr="00407FA1">
        <w:rPr>
          <w:rFonts w:ascii="Avenir Book" w:hAnsi="Avenir Book" w:cstheme="minorHAnsi"/>
          <w:sz w:val="22"/>
          <w:szCs w:val="22"/>
        </w:rPr>
        <w:t>ABS 2016 Personal Safety Survey (PSS) is a key source of data that collects information on the nature and extent of violence experienced by men and women aged 18 years and over.</w:t>
      </w:r>
      <w:r w:rsidR="001F667E">
        <w:rPr>
          <w:rStyle w:val="FootnoteReference"/>
          <w:rFonts w:ascii="Avenir Book" w:hAnsi="Avenir Book" w:cstheme="minorHAnsi"/>
          <w:sz w:val="22"/>
          <w:szCs w:val="22"/>
        </w:rPr>
        <w:footnoteReference w:id="143"/>
      </w:r>
      <w:r w:rsidRPr="00407FA1">
        <w:rPr>
          <w:rFonts w:ascii="Avenir Book" w:hAnsi="Avenir Book" w:cstheme="minorHAnsi"/>
          <w:sz w:val="22"/>
          <w:szCs w:val="22"/>
        </w:rPr>
        <w:t xml:space="preserve"> </w:t>
      </w:r>
      <w:r w:rsidR="001717BC" w:rsidRPr="00407FA1">
        <w:rPr>
          <w:rFonts w:ascii="Avenir Book" w:hAnsi="Avenir Book" w:cstheme="minorHAnsi"/>
          <w:sz w:val="22"/>
          <w:szCs w:val="22"/>
        </w:rPr>
        <w:t>T</w:t>
      </w:r>
      <w:r w:rsidRPr="00407FA1">
        <w:rPr>
          <w:rFonts w:ascii="Avenir Book" w:hAnsi="Avenir Book" w:cstheme="minorHAnsi"/>
          <w:sz w:val="22"/>
          <w:szCs w:val="22"/>
        </w:rPr>
        <w:t xml:space="preserve">he </w:t>
      </w:r>
      <w:r w:rsidR="00CE13FB" w:rsidRPr="00407FA1">
        <w:rPr>
          <w:rFonts w:ascii="Avenir Book" w:hAnsi="Avenir Book" w:cstheme="minorHAnsi"/>
          <w:sz w:val="22"/>
          <w:szCs w:val="22"/>
        </w:rPr>
        <w:t xml:space="preserve">most recent </w:t>
      </w:r>
      <w:r w:rsidRPr="00407FA1">
        <w:rPr>
          <w:rFonts w:ascii="Avenir Book" w:hAnsi="Avenir Book" w:cstheme="minorHAnsi"/>
          <w:sz w:val="22"/>
          <w:szCs w:val="22"/>
        </w:rPr>
        <w:t xml:space="preserve">PSS </w:t>
      </w:r>
      <w:r w:rsidR="00CE13FB" w:rsidRPr="00407FA1">
        <w:rPr>
          <w:rFonts w:ascii="Avenir Book" w:hAnsi="Avenir Book" w:cstheme="minorHAnsi"/>
          <w:sz w:val="22"/>
          <w:szCs w:val="22"/>
        </w:rPr>
        <w:t>has found</w:t>
      </w:r>
      <w:r w:rsidRPr="00407FA1">
        <w:rPr>
          <w:rFonts w:ascii="Avenir Book" w:hAnsi="Avenir Book" w:cstheme="minorHAnsi"/>
          <w:sz w:val="22"/>
          <w:szCs w:val="22"/>
        </w:rPr>
        <w:t xml:space="preserve"> that women with disability were more likely to have experienced vio</w:t>
      </w:r>
      <w:r w:rsidR="00FB28F9" w:rsidRPr="00407FA1">
        <w:rPr>
          <w:rFonts w:ascii="Avenir Book" w:hAnsi="Avenir Book" w:cstheme="minorHAnsi"/>
          <w:sz w:val="22"/>
          <w:szCs w:val="22"/>
        </w:rPr>
        <w:t>l</w:t>
      </w:r>
      <w:r w:rsidRPr="00407FA1">
        <w:rPr>
          <w:rFonts w:ascii="Avenir Book" w:hAnsi="Avenir Book" w:cstheme="minorHAnsi"/>
          <w:sz w:val="22"/>
          <w:szCs w:val="22"/>
        </w:rPr>
        <w:t>ence</w:t>
      </w:r>
      <w:r w:rsidR="00FB28F9" w:rsidRPr="00407FA1">
        <w:rPr>
          <w:rFonts w:ascii="Avenir Book" w:hAnsi="Avenir Book" w:cstheme="minorHAnsi"/>
          <w:sz w:val="22"/>
          <w:szCs w:val="22"/>
        </w:rPr>
        <w:t xml:space="preserve"> in the preceding 12 months than women without disability.</w:t>
      </w:r>
      <w:r w:rsidR="00A6091C">
        <w:rPr>
          <w:rStyle w:val="FootnoteReference"/>
          <w:rFonts w:ascii="Avenir Book" w:hAnsi="Avenir Book" w:cstheme="minorHAnsi"/>
          <w:sz w:val="22"/>
          <w:szCs w:val="22"/>
        </w:rPr>
        <w:footnoteReference w:id="144"/>
      </w:r>
      <w:r w:rsidR="00FB28F9" w:rsidRPr="00407FA1">
        <w:rPr>
          <w:rFonts w:ascii="Avenir Book" w:hAnsi="Avenir Book" w:cstheme="minorHAnsi"/>
          <w:sz w:val="22"/>
          <w:szCs w:val="22"/>
        </w:rPr>
        <w:t xml:space="preserve"> However, the PSS only surveys people living in private dwellings and excludes residential care and institutional facilities, such as group homes. </w:t>
      </w:r>
      <w:r w:rsidR="001717BC" w:rsidRPr="00407FA1">
        <w:rPr>
          <w:rFonts w:ascii="Avenir Book" w:hAnsi="Avenir Book" w:cstheme="minorHAnsi"/>
          <w:sz w:val="22"/>
          <w:szCs w:val="22"/>
        </w:rPr>
        <w:t xml:space="preserve">There is little to no disaggregated data or intersectional research available in </w:t>
      </w:r>
      <w:r w:rsidR="001717BC" w:rsidRPr="00407FA1">
        <w:rPr>
          <w:rFonts w:ascii="Avenir Book" w:hAnsi="Avenir Book" w:cstheme="minorHAnsi"/>
          <w:sz w:val="22"/>
          <w:szCs w:val="22"/>
        </w:rPr>
        <w:lastRenderedPageBreak/>
        <w:t>Australia on the experiences of violence, abuse and exploitation for women and girls with disability living in a broad range of accommodation settings, including group homes.</w:t>
      </w:r>
    </w:p>
    <w:p w14:paraId="6F5EE1D4" w14:textId="77777777" w:rsidR="00407FA1" w:rsidRPr="00407FA1" w:rsidRDefault="00407FA1" w:rsidP="000C6712">
      <w:pPr>
        <w:pStyle w:val="ListParagraph"/>
        <w:spacing w:line="240" w:lineRule="auto"/>
        <w:jc w:val="left"/>
        <w:rPr>
          <w:rFonts w:ascii="Avenir Book" w:hAnsi="Avenir Book" w:cstheme="minorHAnsi"/>
          <w:sz w:val="22"/>
          <w:szCs w:val="22"/>
        </w:rPr>
      </w:pPr>
    </w:p>
    <w:p w14:paraId="6B365321" w14:textId="6B94CBD4" w:rsidR="003F2BD6" w:rsidRPr="00407FA1" w:rsidRDefault="00CC7358" w:rsidP="00564172">
      <w:pPr>
        <w:pStyle w:val="ListParagraph"/>
        <w:numPr>
          <w:ilvl w:val="2"/>
          <w:numId w:val="23"/>
        </w:numPr>
        <w:spacing w:after="0" w:line="240" w:lineRule="auto"/>
        <w:ind w:left="1134"/>
        <w:contextualSpacing w:val="0"/>
        <w:jc w:val="left"/>
        <w:rPr>
          <w:rFonts w:ascii="Avenir Book" w:hAnsi="Avenir Book" w:cstheme="minorHAnsi"/>
          <w:sz w:val="22"/>
          <w:szCs w:val="22"/>
        </w:rPr>
      </w:pPr>
      <w:r w:rsidRPr="00407FA1">
        <w:rPr>
          <w:rFonts w:ascii="Avenir Book" w:hAnsi="Avenir Book"/>
          <w:sz w:val="22"/>
          <w:szCs w:val="22"/>
        </w:rPr>
        <w:t>The final report from t</w:t>
      </w:r>
      <w:r w:rsidR="00CE13FB" w:rsidRPr="00407FA1">
        <w:rPr>
          <w:rFonts w:ascii="Avenir Book" w:hAnsi="Avenir Book"/>
          <w:sz w:val="22"/>
          <w:szCs w:val="22"/>
        </w:rPr>
        <w:t>he Senate Inquiry</w:t>
      </w:r>
      <w:r w:rsidR="00DB1ACB" w:rsidRPr="00407FA1">
        <w:rPr>
          <w:rFonts w:ascii="Avenir Book" w:hAnsi="Avenir Book"/>
          <w:sz w:val="22"/>
          <w:szCs w:val="22"/>
        </w:rPr>
        <w:t xml:space="preserve"> </w:t>
      </w:r>
      <w:r w:rsidR="00A94287" w:rsidRPr="00407FA1">
        <w:rPr>
          <w:rFonts w:ascii="Avenir Book" w:hAnsi="Avenir Book"/>
          <w:sz w:val="22"/>
          <w:szCs w:val="22"/>
        </w:rPr>
        <w:t>found a</w:t>
      </w:r>
      <w:r w:rsidRPr="00407FA1">
        <w:rPr>
          <w:rFonts w:ascii="Avenir Book" w:hAnsi="Avenir Book"/>
          <w:sz w:val="22"/>
          <w:szCs w:val="22"/>
        </w:rPr>
        <w:t xml:space="preserve"> lack of nationally consistent data sets to “describe the extent of violence, abuse and neglect of people with disability”.</w:t>
      </w:r>
      <w:r w:rsidR="00A94287">
        <w:rPr>
          <w:rStyle w:val="FootnoteReference"/>
          <w:rFonts w:ascii="Avenir Book" w:hAnsi="Avenir Book"/>
          <w:sz w:val="22"/>
          <w:szCs w:val="22"/>
        </w:rPr>
        <w:footnoteReference w:id="145"/>
      </w:r>
      <w:r w:rsidRPr="00407FA1">
        <w:rPr>
          <w:rFonts w:ascii="Avenir Book" w:hAnsi="Avenir Book"/>
          <w:sz w:val="22"/>
          <w:szCs w:val="22"/>
        </w:rPr>
        <w:t xml:space="preserve"> Available data is often not disaggregated </w:t>
      </w:r>
      <w:r w:rsidR="003F2BD6" w:rsidRPr="00407FA1">
        <w:rPr>
          <w:rFonts w:ascii="Avenir Book" w:hAnsi="Avenir Book"/>
          <w:sz w:val="22"/>
          <w:szCs w:val="22"/>
        </w:rPr>
        <w:t>to capture the experiences of people with disability or the experiences of particular groups of people with disability, including women and girls with disability, children with disability, Aboriginal and Torres Strait Islander people with disability or people with disability from culturally and linguistically diverse backgrounds.</w:t>
      </w:r>
      <w:r w:rsidR="00A94287">
        <w:rPr>
          <w:rStyle w:val="FootnoteReference"/>
          <w:rFonts w:ascii="Avenir Book" w:hAnsi="Avenir Book"/>
          <w:sz w:val="22"/>
          <w:szCs w:val="22"/>
        </w:rPr>
        <w:footnoteReference w:id="146"/>
      </w:r>
    </w:p>
    <w:p w14:paraId="61838121" w14:textId="77777777" w:rsidR="00407FA1" w:rsidRPr="00407FA1" w:rsidRDefault="00407FA1" w:rsidP="000C6712">
      <w:pPr>
        <w:pStyle w:val="ListParagraph"/>
        <w:spacing w:after="0" w:line="240" w:lineRule="auto"/>
        <w:contextualSpacing w:val="0"/>
        <w:jc w:val="left"/>
        <w:rPr>
          <w:rFonts w:ascii="Avenir Book" w:hAnsi="Avenir Book" w:cstheme="minorHAnsi"/>
          <w:sz w:val="22"/>
          <w:szCs w:val="22"/>
        </w:rPr>
      </w:pPr>
    </w:p>
    <w:p w14:paraId="376E908D" w14:textId="479D71CF" w:rsidR="00407FA1" w:rsidRPr="007713E1" w:rsidRDefault="00407FA1" w:rsidP="00564172">
      <w:pPr>
        <w:pStyle w:val="Heading3"/>
        <w:numPr>
          <w:ilvl w:val="1"/>
          <w:numId w:val="23"/>
        </w:numPr>
        <w:spacing w:after="120" w:line="240" w:lineRule="auto"/>
        <w:ind w:left="1134" w:hanging="708"/>
        <w:rPr>
          <w:rFonts w:ascii="Avenir Roman" w:hAnsi="Avenir Roman"/>
          <w:i/>
        </w:rPr>
      </w:pPr>
      <w:bookmarkStart w:id="122" w:name="_Toc43919163"/>
      <w:r>
        <w:rPr>
          <w:rFonts w:ascii="Avenir Roman" w:hAnsi="Avenir Roman"/>
          <w:i/>
        </w:rPr>
        <w:t>Gender-based violence</w:t>
      </w:r>
      <w:bookmarkEnd w:id="122"/>
    </w:p>
    <w:p w14:paraId="78289055" w14:textId="781D80B6" w:rsidR="001554F7" w:rsidRPr="00407FA1" w:rsidRDefault="001554F7" w:rsidP="00564172">
      <w:pPr>
        <w:pStyle w:val="ListParagraph"/>
        <w:numPr>
          <w:ilvl w:val="2"/>
          <w:numId w:val="23"/>
        </w:numPr>
        <w:spacing w:after="120" w:line="240" w:lineRule="auto"/>
        <w:ind w:left="1134"/>
        <w:contextualSpacing w:val="0"/>
        <w:jc w:val="left"/>
        <w:rPr>
          <w:rFonts w:ascii="Avenir Book" w:hAnsi="Avenir Book" w:cstheme="minorHAnsi"/>
          <w:sz w:val="22"/>
          <w:szCs w:val="22"/>
        </w:rPr>
      </w:pPr>
      <w:r w:rsidRPr="00407FA1">
        <w:rPr>
          <w:rFonts w:ascii="Avenir Book" w:hAnsi="Avenir Book"/>
          <w:sz w:val="22"/>
          <w:szCs w:val="22"/>
        </w:rPr>
        <w:t xml:space="preserve">The final report from the Senate Inquiry highlighted </w:t>
      </w:r>
      <w:r w:rsidR="0085376E" w:rsidRPr="00407FA1">
        <w:rPr>
          <w:rFonts w:ascii="Avenir Book" w:hAnsi="Avenir Book"/>
          <w:sz w:val="22"/>
          <w:szCs w:val="22"/>
        </w:rPr>
        <w:t xml:space="preserve">the </w:t>
      </w:r>
      <w:r w:rsidRPr="00407FA1">
        <w:rPr>
          <w:rFonts w:ascii="Avenir Book" w:hAnsi="Avenir Book"/>
          <w:sz w:val="22"/>
          <w:szCs w:val="22"/>
        </w:rPr>
        <w:t xml:space="preserve">evidence </w:t>
      </w:r>
      <w:r w:rsidR="0085376E" w:rsidRPr="00407FA1">
        <w:rPr>
          <w:rFonts w:ascii="Avenir Book" w:hAnsi="Avenir Book"/>
          <w:sz w:val="22"/>
          <w:szCs w:val="22"/>
        </w:rPr>
        <w:t xml:space="preserve">it received </w:t>
      </w:r>
      <w:r w:rsidRPr="00407FA1">
        <w:rPr>
          <w:rFonts w:ascii="Avenir Book" w:hAnsi="Avenir Book"/>
          <w:sz w:val="22"/>
          <w:szCs w:val="22"/>
        </w:rPr>
        <w:t xml:space="preserve">about the gender-based nature and risks of violence in institutional settings.  This evidence illustrates the </w:t>
      </w:r>
      <w:r w:rsidR="00A76C84" w:rsidRPr="00407FA1">
        <w:rPr>
          <w:rFonts w:ascii="Avenir Book" w:hAnsi="Avenir Book"/>
          <w:sz w:val="22"/>
          <w:szCs w:val="22"/>
        </w:rPr>
        <w:t>governance</w:t>
      </w:r>
      <w:r w:rsidRPr="00407FA1">
        <w:rPr>
          <w:rFonts w:ascii="Avenir Book" w:hAnsi="Avenir Book"/>
          <w:sz w:val="22"/>
          <w:szCs w:val="22"/>
        </w:rPr>
        <w:t xml:space="preserve"> of service system processes </w:t>
      </w:r>
      <w:r w:rsidR="0085376E" w:rsidRPr="00407FA1">
        <w:rPr>
          <w:rFonts w:ascii="Avenir Book" w:hAnsi="Avenir Book"/>
          <w:sz w:val="22"/>
          <w:szCs w:val="22"/>
        </w:rPr>
        <w:t xml:space="preserve">over human dignity and </w:t>
      </w:r>
      <w:r w:rsidRPr="00407FA1">
        <w:rPr>
          <w:rFonts w:ascii="Avenir Book" w:hAnsi="Avenir Book"/>
          <w:sz w:val="22"/>
          <w:szCs w:val="22"/>
        </w:rPr>
        <w:t>individual autonomy</w:t>
      </w:r>
      <w:r w:rsidR="0085376E" w:rsidRPr="00407FA1">
        <w:rPr>
          <w:rFonts w:ascii="Avenir Book" w:hAnsi="Avenir Book"/>
          <w:sz w:val="22"/>
          <w:szCs w:val="22"/>
        </w:rPr>
        <w:t xml:space="preserve">, </w:t>
      </w:r>
      <w:r w:rsidR="00F616A5" w:rsidRPr="00407FA1">
        <w:rPr>
          <w:rFonts w:ascii="Avenir Book" w:hAnsi="Avenir Book"/>
          <w:sz w:val="22"/>
          <w:szCs w:val="22"/>
        </w:rPr>
        <w:t xml:space="preserve">the inherent risks of violence embedded in workplace practices, </w:t>
      </w:r>
      <w:r w:rsidR="00A378D0" w:rsidRPr="00407FA1">
        <w:rPr>
          <w:rFonts w:ascii="Avenir Book" w:hAnsi="Avenir Book"/>
          <w:sz w:val="22"/>
          <w:szCs w:val="22"/>
        </w:rPr>
        <w:t xml:space="preserve">the lack of gender-specific protocols and procedures </w:t>
      </w:r>
      <w:r w:rsidR="00F616A5" w:rsidRPr="00407FA1">
        <w:rPr>
          <w:rFonts w:ascii="Avenir Book" w:hAnsi="Avenir Book"/>
          <w:sz w:val="22"/>
          <w:szCs w:val="22"/>
        </w:rPr>
        <w:t xml:space="preserve">and </w:t>
      </w:r>
      <w:r w:rsidR="0085376E" w:rsidRPr="00407FA1">
        <w:rPr>
          <w:rFonts w:ascii="Avenir Book" w:hAnsi="Avenir Book"/>
          <w:sz w:val="22"/>
          <w:szCs w:val="22"/>
        </w:rPr>
        <w:t xml:space="preserve">the lack of trauma-informed support available to women with disability </w:t>
      </w:r>
      <w:r w:rsidR="00F616A5" w:rsidRPr="00407FA1">
        <w:rPr>
          <w:rFonts w:ascii="Avenir Book" w:hAnsi="Avenir Book"/>
          <w:sz w:val="22"/>
          <w:szCs w:val="22"/>
        </w:rPr>
        <w:t xml:space="preserve">that is well-established practice in the community.  </w:t>
      </w:r>
      <w:r w:rsidRPr="00407FA1">
        <w:rPr>
          <w:rFonts w:ascii="Avenir Book" w:hAnsi="Avenir Book"/>
          <w:sz w:val="22"/>
          <w:szCs w:val="22"/>
        </w:rPr>
        <w:t>This includes the following:</w:t>
      </w:r>
      <w:r w:rsidR="00A94287">
        <w:rPr>
          <w:rStyle w:val="FootnoteReference"/>
          <w:rFonts w:ascii="Avenir Book" w:hAnsi="Avenir Book"/>
          <w:sz w:val="22"/>
          <w:szCs w:val="22"/>
        </w:rPr>
        <w:footnoteReference w:id="147"/>
      </w:r>
      <w:r w:rsidRPr="00407FA1">
        <w:rPr>
          <w:rFonts w:ascii="Avenir Book" w:hAnsi="Avenir Book"/>
          <w:sz w:val="22"/>
          <w:szCs w:val="22"/>
        </w:rPr>
        <w:t xml:space="preserve"> </w:t>
      </w:r>
    </w:p>
    <w:p w14:paraId="4735FD1F" w14:textId="77777777" w:rsidR="001554F7" w:rsidRDefault="001554F7" w:rsidP="00564172">
      <w:pPr>
        <w:pStyle w:val="ListParagraph"/>
        <w:numPr>
          <w:ilvl w:val="0"/>
          <w:numId w:val="8"/>
        </w:numPr>
        <w:spacing w:after="120" w:line="240" w:lineRule="auto"/>
        <w:ind w:left="1560" w:hanging="425"/>
        <w:contextualSpacing w:val="0"/>
        <w:jc w:val="left"/>
        <w:rPr>
          <w:rFonts w:ascii="Avenir Book" w:hAnsi="Avenir Book"/>
          <w:sz w:val="22"/>
          <w:szCs w:val="22"/>
        </w:rPr>
      </w:pPr>
      <w:r>
        <w:rPr>
          <w:rFonts w:ascii="Avenir Book" w:hAnsi="Avenir Book"/>
          <w:sz w:val="22"/>
          <w:szCs w:val="22"/>
        </w:rPr>
        <w:t>Lack of gender-specific service policies and practices, particularly in relation to personal care and transportation, aimed at reducing the risks of perpetrators targeting women with disability;</w:t>
      </w:r>
    </w:p>
    <w:p w14:paraId="7D3C6BFE" w14:textId="0D8F8166" w:rsidR="001554F7" w:rsidRDefault="001554F7" w:rsidP="00564172">
      <w:pPr>
        <w:pStyle w:val="ListParagraph"/>
        <w:numPr>
          <w:ilvl w:val="0"/>
          <w:numId w:val="8"/>
        </w:numPr>
        <w:spacing w:after="120" w:line="240" w:lineRule="auto"/>
        <w:ind w:left="1560" w:hanging="425"/>
        <w:contextualSpacing w:val="0"/>
        <w:jc w:val="left"/>
        <w:rPr>
          <w:rFonts w:ascii="Avenir Book" w:hAnsi="Avenir Book"/>
          <w:sz w:val="22"/>
          <w:szCs w:val="22"/>
        </w:rPr>
      </w:pPr>
      <w:r>
        <w:rPr>
          <w:rFonts w:ascii="Avenir Book" w:hAnsi="Avenir Book"/>
          <w:sz w:val="22"/>
          <w:szCs w:val="22"/>
        </w:rPr>
        <w:t>Lack of privacy in bedrooms, including no personal room keys for residents</w:t>
      </w:r>
      <w:r w:rsidR="001F1440">
        <w:rPr>
          <w:rFonts w:ascii="Avenir Book" w:hAnsi="Avenir Book"/>
          <w:sz w:val="22"/>
          <w:szCs w:val="22"/>
        </w:rPr>
        <w:t xml:space="preserve"> and no respect for residents’ requests for privacy</w:t>
      </w:r>
      <w:r>
        <w:rPr>
          <w:rFonts w:ascii="Avenir Book" w:hAnsi="Avenir Book"/>
          <w:sz w:val="22"/>
          <w:szCs w:val="22"/>
        </w:rPr>
        <w:t>;</w:t>
      </w:r>
    </w:p>
    <w:p w14:paraId="1207F865" w14:textId="77777777" w:rsidR="001554F7" w:rsidRDefault="001554F7" w:rsidP="00564172">
      <w:pPr>
        <w:pStyle w:val="ListParagraph"/>
        <w:numPr>
          <w:ilvl w:val="0"/>
          <w:numId w:val="8"/>
        </w:numPr>
        <w:spacing w:after="120" w:line="240" w:lineRule="auto"/>
        <w:ind w:left="1560" w:hanging="425"/>
        <w:contextualSpacing w:val="0"/>
        <w:jc w:val="left"/>
        <w:rPr>
          <w:rFonts w:ascii="Avenir Book" w:hAnsi="Avenir Book"/>
          <w:sz w:val="22"/>
          <w:szCs w:val="22"/>
        </w:rPr>
      </w:pPr>
      <w:r>
        <w:rPr>
          <w:rFonts w:ascii="Avenir Book" w:hAnsi="Avenir Book"/>
          <w:sz w:val="22"/>
          <w:szCs w:val="22"/>
        </w:rPr>
        <w:t xml:space="preserve">Lack of privacy in bathrooms, with women being showered by men and/or in men’s bathrooms for staff member convenience; </w:t>
      </w:r>
    </w:p>
    <w:p w14:paraId="56D0FDC0" w14:textId="77777777" w:rsidR="001554F7" w:rsidRDefault="001554F7" w:rsidP="00564172">
      <w:pPr>
        <w:pStyle w:val="ListParagraph"/>
        <w:numPr>
          <w:ilvl w:val="0"/>
          <w:numId w:val="8"/>
        </w:numPr>
        <w:spacing w:after="120" w:line="240" w:lineRule="auto"/>
        <w:ind w:left="1560" w:hanging="425"/>
        <w:contextualSpacing w:val="0"/>
        <w:jc w:val="left"/>
        <w:rPr>
          <w:rFonts w:ascii="Avenir Book" w:hAnsi="Avenir Book"/>
          <w:sz w:val="22"/>
          <w:szCs w:val="22"/>
        </w:rPr>
      </w:pPr>
      <w:r>
        <w:rPr>
          <w:rFonts w:ascii="Avenir Book" w:hAnsi="Avenir Book"/>
          <w:sz w:val="22"/>
          <w:szCs w:val="22"/>
        </w:rPr>
        <w:t>The forced use of male staff to undertake overnight shifts with female residents, and to assist with toileting, menstrual care and showering, often against the expressed wishes of female residents;</w:t>
      </w:r>
    </w:p>
    <w:p w14:paraId="2AA39E65" w14:textId="3D755E8E" w:rsidR="001554F7" w:rsidRDefault="001554F7" w:rsidP="00564172">
      <w:pPr>
        <w:pStyle w:val="ListParagraph"/>
        <w:numPr>
          <w:ilvl w:val="0"/>
          <w:numId w:val="8"/>
        </w:numPr>
        <w:spacing w:after="120" w:line="240" w:lineRule="auto"/>
        <w:ind w:left="1560" w:hanging="425"/>
        <w:contextualSpacing w:val="0"/>
        <w:jc w:val="left"/>
        <w:rPr>
          <w:rFonts w:ascii="Avenir Book" w:hAnsi="Avenir Book"/>
          <w:sz w:val="22"/>
          <w:szCs w:val="22"/>
        </w:rPr>
      </w:pPr>
      <w:r>
        <w:rPr>
          <w:rFonts w:ascii="Avenir Book" w:hAnsi="Avenir Book"/>
          <w:sz w:val="22"/>
          <w:szCs w:val="22"/>
        </w:rPr>
        <w:t xml:space="preserve">‘Encouraging’ female residents to be ‘girlfriends’ to male residents, to participate in sex as a means to </w:t>
      </w:r>
      <w:r w:rsidR="0001220E">
        <w:rPr>
          <w:rFonts w:ascii="Avenir Book" w:hAnsi="Avenir Book"/>
          <w:sz w:val="22"/>
          <w:szCs w:val="22"/>
        </w:rPr>
        <w:t>‘</w:t>
      </w:r>
      <w:r>
        <w:rPr>
          <w:rFonts w:ascii="Avenir Book" w:hAnsi="Avenir Book"/>
          <w:sz w:val="22"/>
          <w:szCs w:val="22"/>
        </w:rPr>
        <w:t>manage</w:t>
      </w:r>
      <w:r w:rsidR="0001220E">
        <w:rPr>
          <w:rFonts w:ascii="Avenir Book" w:hAnsi="Avenir Book"/>
          <w:sz w:val="22"/>
          <w:szCs w:val="22"/>
        </w:rPr>
        <w:t>’</w:t>
      </w:r>
      <w:r>
        <w:rPr>
          <w:rFonts w:ascii="Avenir Book" w:hAnsi="Avenir Book"/>
          <w:sz w:val="22"/>
          <w:szCs w:val="22"/>
        </w:rPr>
        <w:t xml:space="preserve"> behaviour of male residents;</w:t>
      </w:r>
    </w:p>
    <w:p w14:paraId="620054E4" w14:textId="31979EAF" w:rsidR="001554F7" w:rsidRDefault="001554F7" w:rsidP="00564172">
      <w:pPr>
        <w:pStyle w:val="ListParagraph"/>
        <w:numPr>
          <w:ilvl w:val="0"/>
          <w:numId w:val="8"/>
        </w:numPr>
        <w:spacing w:line="240" w:lineRule="auto"/>
        <w:ind w:left="1560" w:hanging="425"/>
        <w:jc w:val="left"/>
        <w:rPr>
          <w:rFonts w:ascii="Avenir Book" w:hAnsi="Avenir Book"/>
          <w:sz w:val="22"/>
          <w:szCs w:val="22"/>
        </w:rPr>
      </w:pPr>
      <w:r>
        <w:rPr>
          <w:rFonts w:ascii="Avenir Book" w:hAnsi="Avenir Book"/>
          <w:sz w:val="22"/>
          <w:szCs w:val="22"/>
        </w:rPr>
        <w:t xml:space="preserve">Being forced to remain in the same room where sexual assaults have occurred, resulting in re-traumatisation and despite </w:t>
      </w:r>
      <w:r w:rsidR="005E4A0F">
        <w:rPr>
          <w:rFonts w:ascii="Avenir Book" w:hAnsi="Avenir Book"/>
          <w:sz w:val="22"/>
          <w:szCs w:val="22"/>
        </w:rPr>
        <w:t>repeated r</w:t>
      </w:r>
      <w:r>
        <w:rPr>
          <w:rFonts w:ascii="Avenir Book" w:hAnsi="Avenir Book"/>
          <w:sz w:val="22"/>
          <w:szCs w:val="22"/>
        </w:rPr>
        <w:t>equest</w:t>
      </w:r>
      <w:r w:rsidR="005E4A0F">
        <w:rPr>
          <w:rFonts w:ascii="Avenir Book" w:hAnsi="Avenir Book"/>
          <w:sz w:val="22"/>
          <w:szCs w:val="22"/>
        </w:rPr>
        <w:t>s</w:t>
      </w:r>
      <w:r>
        <w:rPr>
          <w:rFonts w:ascii="Avenir Book" w:hAnsi="Avenir Book"/>
          <w:sz w:val="22"/>
          <w:szCs w:val="22"/>
        </w:rPr>
        <w:t xml:space="preserve"> to be moved to a different room or location.</w:t>
      </w:r>
    </w:p>
    <w:p w14:paraId="41C5A49E" w14:textId="6DCE823C" w:rsidR="001554F7" w:rsidRDefault="001554F7" w:rsidP="000C6712">
      <w:pPr>
        <w:spacing w:line="240" w:lineRule="auto"/>
        <w:jc w:val="left"/>
        <w:rPr>
          <w:rFonts w:ascii="Avenir Book" w:hAnsi="Avenir Book"/>
          <w:sz w:val="22"/>
          <w:szCs w:val="22"/>
        </w:rPr>
      </w:pPr>
    </w:p>
    <w:p w14:paraId="1F5A3907" w14:textId="02133E9B" w:rsidR="00F616A5" w:rsidRDefault="00F616A5" w:rsidP="00564172">
      <w:pPr>
        <w:pStyle w:val="ListParagraph"/>
        <w:numPr>
          <w:ilvl w:val="2"/>
          <w:numId w:val="23"/>
        </w:numPr>
        <w:spacing w:after="0" w:line="240" w:lineRule="auto"/>
        <w:ind w:left="1134"/>
        <w:contextualSpacing w:val="0"/>
        <w:jc w:val="left"/>
        <w:rPr>
          <w:rFonts w:ascii="Avenir Book" w:hAnsi="Avenir Book" w:cstheme="minorHAnsi"/>
          <w:sz w:val="22"/>
          <w:szCs w:val="22"/>
        </w:rPr>
      </w:pPr>
      <w:r w:rsidRPr="00407FA1">
        <w:rPr>
          <w:rFonts w:ascii="Avenir Book" w:hAnsi="Avenir Book" w:cstheme="minorHAnsi"/>
          <w:sz w:val="22"/>
          <w:szCs w:val="22"/>
        </w:rPr>
        <w:lastRenderedPageBreak/>
        <w:t>Often, violence, abuse, neglect and exploitation, including gender-based violence are downplayed or sanitised as ‘service incidents’, ‘administrative infringements’, ‘workplace training matter</w:t>
      </w:r>
      <w:r w:rsidR="00267F85" w:rsidRPr="00407FA1">
        <w:rPr>
          <w:rFonts w:ascii="Avenir Book" w:hAnsi="Avenir Book" w:cstheme="minorHAnsi"/>
          <w:sz w:val="22"/>
          <w:szCs w:val="22"/>
        </w:rPr>
        <w:t>s</w:t>
      </w:r>
      <w:r w:rsidRPr="00407FA1">
        <w:rPr>
          <w:rFonts w:ascii="Avenir Book" w:hAnsi="Avenir Book" w:cstheme="minorHAnsi"/>
          <w:sz w:val="22"/>
          <w:szCs w:val="22"/>
        </w:rPr>
        <w:t>’ or ‘behaviour management’.</w:t>
      </w:r>
      <w:r w:rsidRPr="00411C1D">
        <w:rPr>
          <w:rStyle w:val="FootnoteReference"/>
          <w:rFonts w:ascii="Avenir Book" w:hAnsi="Avenir Book" w:cstheme="minorHAnsi"/>
          <w:sz w:val="22"/>
          <w:szCs w:val="22"/>
        </w:rPr>
        <w:footnoteReference w:id="148"/>
      </w:r>
      <w:r w:rsidRPr="00407FA1">
        <w:rPr>
          <w:rFonts w:ascii="Avenir Book" w:hAnsi="Avenir Book" w:cstheme="minorHAnsi"/>
          <w:sz w:val="22"/>
          <w:szCs w:val="22"/>
        </w:rPr>
        <w:t xml:space="preserve"> This </w:t>
      </w:r>
      <w:r w:rsidR="00FA1247" w:rsidRPr="00407FA1">
        <w:rPr>
          <w:rFonts w:ascii="Avenir Book" w:hAnsi="Avenir Book" w:cstheme="minorHAnsi"/>
          <w:sz w:val="22"/>
          <w:szCs w:val="22"/>
        </w:rPr>
        <w:t xml:space="preserve">issue </w:t>
      </w:r>
      <w:r w:rsidRPr="00407FA1">
        <w:rPr>
          <w:rFonts w:ascii="Avenir Book" w:hAnsi="Avenir Book" w:cstheme="minorHAnsi"/>
          <w:sz w:val="22"/>
          <w:szCs w:val="22"/>
        </w:rPr>
        <w:t>was illustrated during the Public Hearing when counsel for the Royal Commission</w:t>
      </w:r>
      <w:r w:rsidR="004162EB" w:rsidRPr="00407FA1">
        <w:rPr>
          <w:rFonts w:ascii="Avenir Book" w:hAnsi="Avenir Book" w:cstheme="minorHAnsi"/>
          <w:sz w:val="22"/>
          <w:szCs w:val="22"/>
        </w:rPr>
        <w:t xml:space="preserve"> </w:t>
      </w:r>
      <w:r w:rsidRPr="00407FA1">
        <w:rPr>
          <w:rFonts w:ascii="Avenir Book" w:hAnsi="Avenir Book" w:cstheme="minorHAnsi"/>
          <w:sz w:val="22"/>
          <w:szCs w:val="22"/>
        </w:rPr>
        <w:t xml:space="preserve">questioned the CEO of </w:t>
      </w:r>
      <w:proofErr w:type="spellStart"/>
      <w:r w:rsidRPr="00407FA1">
        <w:rPr>
          <w:rFonts w:ascii="Avenir Book" w:hAnsi="Avenir Book" w:cstheme="minorHAnsi"/>
          <w:sz w:val="22"/>
          <w:szCs w:val="22"/>
        </w:rPr>
        <w:t>Yoralla</w:t>
      </w:r>
      <w:proofErr w:type="spellEnd"/>
      <w:r w:rsidRPr="00407FA1">
        <w:rPr>
          <w:rFonts w:ascii="Avenir Book" w:hAnsi="Avenir Book" w:cstheme="minorHAnsi"/>
          <w:sz w:val="22"/>
          <w:szCs w:val="22"/>
        </w:rPr>
        <w:t xml:space="preserve"> about the choice of language used to describe criminal sexual acts committed by a former employee.  </w:t>
      </w:r>
      <w:r w:rsidR="004162EB" w:rsidRPr="00407FA1">
        <w:rPr>
          <w:rFonts w:ascii="Avenir Book" w:hAnsi="Avenir Book" w:cstheme="minorHAnsi"/>
          <w:sz w:val="22"/>
          <w:szCs w:val="22"/>
        </w:rPr>
        <w:t xml:space="preserve">It was </w:t>
      </w:r>
      <w:r w:rsidRPr="00407FA1">
        <w:rPr>
          <w:rFonts w:ascii="Avenir Book" w:hAnsi="Avenir Book" w:cstheme="minorHAnsi"/>
          <w:sz w:val="22"/>
          <w:szCs w:val="22"/>
        </w:rPr>
        <w:t xml:space="preserve">noted that in describing criminal sexual acts as “disclosures of acts of a sexual nature”, that the CEO could be viewed as “downplaying” the seriousness of the criminal sexual offences that were perpetrated against a number of </w:t>
      </w:r>
      <w:proofErr w:type="spellStart"/>
      <w:r w:rsidRPr="00407FA1">
        <w:rPr>
          <w:rFonts w:ascii="Avenir Book" w:hAnsi="Avenir Book" w:cstheme="minorHAnsi"/>
          <w:sz w:val="22"/>
          <w:szCs w:val="22"/>
        </w:rPr>
        <w:t>Yoralla</w:t>
      </w:r>
      <w:proofErr w:type="spellEnd"/>
      <w:r w:rsidRPr="00407FA1">
        <w:rPr>
          <w:rFonts w:ascii="Avenir Book" w:hAnsi="Avenir Book" w:cstheme="minorHAnsi"/>
          <w:sz w:val="22"/>
          <w:szCs w:val="22"/>
        </w:rPr>
        <w:t xml:space="preserve"> residents.</w:t>
      </w:r>
      <w:r w:rsidR="00FA1247">
        <w:rPr>
          <w:rStyle w:val="FootnoteReference"/>
          <w:rFonts w:ascii="Avenir Book" w:hAnsi="Avenir Book" w:cstheme="minorHAnsi"/>
          <w:sz w:val="22"/>
          <w:szCs w:val="22"/>
        </w:rPr>
        <w:footnoteReference w:id="149"/>
      </w:r>
      <w:r w:rsidRPr="00407FA1">
        <w:rPr>
          <w:rFonts w:ascii="Avenir Book" w:hAnsi="Avenir Book" w:cstheme="minorHAnsi"/>
          <w:sz w:val="22"/>
          <w:szCs w:val="22"/>
        </w:rPr>
        <w:t xml:space="preserve"> Commissioner Atkinson further questioned the CEO: “a rape of a woman in a closed environment by a man who is a personal carer offering the most intimate of circumstances, is an act of violence, is it not?”</w:t>
      </w:r>
      <w:r w:rsidR="00FA1247">
        <w:rPr>
          <w:rStyle w:val="FootnoteReference"/>
          <w:rFonts w:ascii="Avenir Book" w:hAnsi="Avenir Book" w:cstheme="minorHAnsi"/>
          <w:sz w:val="22"/>
          <w:szCs w:val="22"/>
        </w:rPr>
        <w:footnoteReference w:id="150"/>
      </w:r>
    </w:p>
    <w:p w14:paraId="37557043" w14:textId="77777777" w:rsidR="00407FA1" w:rsidRDefault="00407FA1" w:rsidP="000C6712">
      <w:pPr>
        <w:pStyle w:val="ListParagraph"/>
        <w:spacing w:after="0" w:line="240" w:lineRule="auto"/>
        <w:ind w:left="1134"/>
        <w:contextualSpacing w:val="0"/>
        <w:jc w:val="left"/>
        <w:rPr>
          <w:rFonts w:ascii="Avenir Book" w:hAnsi="Avenir Book" w:cstheme="minorHAnsi"/>
          <w:sz w:val="22"/>
          <w:szCs w:val="22"/>
        </w:rPr>
      </w:pPr>
    </w:p>
    <w:p w14:paraId="56CF2D63" w14:textId="6DF4A0B4" w:rsidR="00126CB3" w:rsidRDefault="00F616A5" w:rsidP="00564172">
      <w:pPr>
        <w:pStyle w:val="ListParagraph"/>
        <w:numPr>
          <w:ilvl w:val="2"/>
          <w:numId w:val="23"/>
        </w:numPr>
        <w:spacing w:after="0" w:line="240" w:lineRule="auto"/>
        <w:ind w:left="1134"/>
        <w:contextualSpacing w:val="0"/>
        <w:jc w:val="left"/>
        <w:rPr>
          <w:rFonts w:ascii="Avenir Book" w:hAnsi="Avenir Book" w:cstheme="minorHAnsi"/>
          <w:sz w:val="22"/>
          <w:szCs w:val="22"/>
        </w:rPr>
      </w:pPr>
      <w:r w:rsidRPr="00407FA1">
        <w:rPr>
          <w:rFonts w:ascii="Avenir Book" w:hAnsi="Avenir Book" w:cstheme="minorHAnsi"/>
          <w:sz w:val="22"/>
          <w:szCs w:val="22"/>
        </w:rPr>
        <w:t xml:space="preserve">The evidence provided by </w:t>
      </w:r>
      <w:proofErr w:type="spellStart"/>
      <w:r w:rsidRPr="00407FA1">
        <w:rPr>
          <w:rFonts w:ascii="Avenir Book" w:hAnsi="Avenir Book" w:cstheme="minorHAnsi"/>
          <w:sz w:val="22"/>
          <w:szCs w:val="22"/>
        </w:rPr>
        <w:t>Yoralla</w:t>
      </w:r>
      <w:proofErr w:type="spellEnd"/>
      <w:r w:rsidRPr="00407FA1">
        <w:rPr>
          <w:rFonts w:ascii="Avenir Book" w:hAnsi="Avenir Book" w:cstheme="minorHAnsi"/>
          <w:sz w:val="22"/>
          <w:szCs w:val="22"/>
        </w:rPr>
        <w:t xml:space="preserve"> during the Public Hearing clearly demonstrates how the downplaying of violence, abuse, neglect and exploitation results in inadequate and </w:t>
      </w:r>
      <w:r w:rsidR="00867F71" w:rsidRPr="00407FA1">
        <w:rPr>
          <w:rFonts w:ascii="Avenir Book" w:hAnsi="Avenir Book" w:cstheme="minorHAnsi"/>
          <w:sz w:val="22"/>
          <w:szCs w:val="22"/>
        </w:rPr>
        <w:t>re-traumatising</w:t>
      </w:r>
      <w:r w:rsidRPr="00407FA1">
        <w:rPr>
          <w:rFonts w:ascii="Avenir Book" w:hAnsi="Avenir Book" w:cstheme="minorHAnsi"/>
          <w:sz w:val="22"/>
          <w:szCs w:val="22"/>
        </w:rPr>
        <w:t xml:space="preserve"> responses to the survivors of violence. The priorities of the service clearly override those of the survivors, with the evidence demonstrating a lack of active support to listen to and support the survivors, assist in obtaining independent legal advice, assist with seeking compensation, to move</w:t>
      </w:r>
      <w:r w:rsidR="004162EB" w:rsidRPr="00407FA1">
        <w:rPr>
          <w:rFonts w:ascii="Avenir Book" w:hAnsi="Avenir Book" w:cstheme="minorHAnsi"/>
          <w:sz w:val="22"/>
          <w:szCs w:val="22"/>
        </w:rPr>
        <w:t xml:space="preserve"> survivors</w:t>
      </w:r>
      <w:r w:rsidRPr="00407FA1">
        <w:rPr>
          <w:rFonts w:ascii="Avenir Book" w:hAnsi="Avenir Book" w:cstheme="minorHAnsi"/>
          <w:sz w:val="22"/>
          <w:szCs w:val="22"/>
        </w:rPr>
        <w:t xml:space="preserve"> to different rooms and locations despite repeated requests over 8 years, to receive personal apologies and to receive </w:t>
      </w:r>
      <w:r w:rsidR="00794390" w:rsidRPr="00407FA1">
        <w:rPr>
          <w:rFonts w:ascii="Avenir Book" w:hAnsi="Avenir Book" w:cstheme="minorHAnsi"/>
          <w:sz w:val="22"/>
          <w:szCs w:val="22"/>
        </w:rPr>
        <w:t>the</w:t>
      </w:r>
      <w:r w:rsidRPr="00407FA1">
        <w:rPr>
          <w:rFonts w:ascii="Avenir Book" w:hAnsi="Avenir Book" w:cstheme="minorHAnsi"/>
          <w:sz w:val="22"/>
          <w:szCs w:val="22"/>
        </w:rPr>
        <w:t xml:space="preserve"> trauma-informed approach t</w:t>
      </w:r>
      <w:r w:rsidR="00794390" w:rsidRPr="00407FA1">
        <w:rPr>
          <w:rFonts w:ascii="Avenir Book" w:hAnsi="Avenir Book" w:cstheme="minorHAnsi"/>
          <w:sz w:val="22"/>
          <w:szCs w:val="22"/>
        </w:rPr>
        <w:t>hat would be expected for the</w:t>
      </w:r>
      <w:r w:rsidRPr="00407FA1">
        <w:rPr>
          <w:rFonts w:ascii="Avenir Book" w:hAnsi="Avenir Book" w:cstheme="minorHAnsi"/>
          <w:sz w:val="22"/>
          <w:szCs w:val="22"/>
        </w:rPr>
        <w:t xml:space="preserve"> care of a victim of sexual violence.</w:t>
      </w:r>
      <w:r w:rsidR="00FA1247">
        <w:rPr>
          <w:rStyle w:val="FootnoteReference"/>
          <w:rFonts w:ascii="Avenir Book" w:hAnsi="Avenir Book" w:cstheme="minorHAnsi"/>
          <w:sz w:val="22"/>
          <w:szCs w:val="22"/>
        </w:rPr>
        <w:footnoteReference w:id="151"/>
      </w:r>
      <w:r w:rsidR="00867F71" w:rsidRPr="00407FA1">
        <w:rPr>
          <w:rFonts w:ascii="Avenir Book" w:hAnsi="Avenir Book" w:cstheme="minorHAnsi"/>
          <w:sz w:val="22"/>
          <w:szCs w:val="22"/>
        </w:rPr>
        <w:t xml:space="preserve"> These practices within group homes and other supported accommodation are commonly and frequently reported to WWDA. </w:t>
      </w:r>
    </w:p>
    <w:p w14:paraId="3571FDBF" w14:textId="77777777" w:rsidR="00407FA1" w:rsidRPr="00407FA1" w:rsidRDefault="00407FA1" w:rsidP="000C6712">
      <w:pPr>
        <w:pStyle w:val="ListParagraph"/>
        <w:spacing w:after="0" w:line="240" w:lineRule="auto"/>
        <w:contextualSpacing w:val="0"/>
        <w:jc w:val="left"/>
        <w:rPr>
          <w:rFonts w:ascii="Avenir Book" w:hAnsi="Avenir Book" w:cstheme="minorHAnsi"/>
          <w:sz w:val="22"/>
          <w:szCs w:val="22"/>
        </w:rPr>
      </w:pPr>
    </w:p>
    <w:p w14:paraId="6F46666B" w14:textId="1809809E" w:rsidR="00407FA1" w:rsidRDefault="00407FA1" w:rsidP="00564172">
      <w:pPr>
        <w:pStyle w:val="ListParagraph"/>
        <w:numPr>
          <w:ilvl w:val="2"/>
          <w:numId w:val="23"/>
        </w:numPr>
        <w:spacing w:after="0" w:line="240" w:lineRule="auto"/>
        <w:ind w:left="1134"/>
        <w:contextualSpacing w:val="0"/>
        <w:jc w:val="left"/>
        <w:rPr>
          <w:rFonts w:ascii="Avenir Book" w:hAnsi="Avenir Book" w:cstheme="minorHAnsi"/>
          <w:sz w:val="22"/>
          <w:szCs w:val="22"/>
        </w:rPr>
      </w:pPr>
      <w:r w:rsidRPr="00407FA1">
        <w:rPr>
          <w:rFonts w:ascii="Avenir Book" w:hAnsi="Avenir Book" w:cstheme="minorHAnsi"/>
          <w:sz w:val="22"/>
          <w:szCs w:val="22"/>
        </w:rPr>
        <w:t>For many people with disability, their domestic setting is the institutional arrangement they live in, including group homes. However, violence perpetrated in these living arrangements is rarely understood as domestic and family violence and the responses to this violence rarely include domestic violence interventions.</w:t>
      </w:r>
      <w:r>
        <w:rPr>
          <w:rStyle w:val="FootnoteReference"/>
          <w:rFonts w:ascii="Avenir Book" w:hAnsi="Avenir Book" w:cstheme="minorHAnsi"/>
          <w:sz w:val="22"/>
          <w:szCs w:val="22"/>
        </w:rPr>
        <w:footnoteReference w:id="152"/>
      </w:r>
      <w:r w:rsidRPr="00407FA1">
        <w:rPr>
          <w:rFonts w:ascii="Avenir Book" w:hAnsi="Avenir Book" w:cstheme="minorHAnsi"/>
          <w:sz w:val="22"/>
          <w:szCs w:val="22"/>
        </w:rPr>
        <w:t xml:space="preserve"> There is no nationally consistent domestic violence legislation, and different jurisdictions have different definitions of what constitutes a domestic relationship and a domestic setting.</w:t>
      </w:r>
      <w:r>
        <w:rPr>
          <w:rStyle w:val="FootnoteReference"/>
          <w:rFonts w:ascii="Avenir Book" w:hAnsi="Avenir Book" w:cstheme="minorHAnsi"/>
          <w:sz w:val="22"/>
          <w:szCs w:val="22"/>
        </w:rPr>
        <w:footnoteReference w:id="153"/>
      </w:r>
      <w:r w:rsidRPr="00407FA1">
        <w:rPr>
          <w:rFonts w:ascii="Avenir Book" w:hAnsi="Avenir Book" w:cstheme="minorHAnsi"/>
          <w:sz w:val="22"/>
          <w:szCs w:val="22"/>
        </w:rPr>
        <w:t xml:space="preserve"> Even in the jurisdictions where domestic and family violence law does cover institutional settings and domestic relationships with support workers, co-residents and carers,</w:t>
      </w:r>
      <w:r>
        <w:rPr>
          <w:rStyle w:val="FootnoteReference"/>
          <w:rFonts w:ascii="Avenir Book" w:hAnsi="Avenir Book" w:cstheme="minorHAnsi"/>
          <w:sz w:val="22"/>
          <w:szCs w:val="22"/>
        </w:rPr>
        <w:footnoteReference w:id="154"/>
      </w:r>
      <w:r w:rsidRPr="00407FA1">
        <w:rPr>
          <w:rFonts w:ascii="Avenir Book" w:hAnsi="Avenir Book" w:cstheme="minorHAnsi"/>
          <w:sz w:val="22"/>
          <w:szCs w:val="22"/>
        </w:rPr>
        <w:t xml:space="preserve"> this has not been well understood or acted upon by first responders or domestic violence support services. The extremely few studies that have looked at the application of this legislation has found that it was rarely used to address domestic violence in institutional settings, with police reporting that a common barrier was the </w:t>
      </w:r>
      <w:r w:rsidRPr="00407FA1">
        <w:rPr>
          <w:rFonts w:ascii="Avenir Book" w:hAnsi="Avenir Book" w:cstheme="minorHAnsi"/>
          <w:sz w:val="22"/>
          <w:szCs w:val="22"/>
        </w:rPr>
        <w:lastRenderedPageBreak/>
        <w:t>risk of homelessness for victims and perpetrators with disability who rely on specific living arrangements for their accommodation and support.</w:t>
      </w:r>
      <w:r>
        <w:rPr>
          <w:rStyle w:val="FootnoteReference"/>
          <w:rFonts w:ascii="Avenir Book" w:hAnsi="Avenir Book" w:cstheme="minorHAnsi"/>
          <w:sz w:val="22"/>
          <w:szCs w:val="22"/>
        </w:rPr>
        <w:footnoteReference w:id="155"/>
      </w:r>
    </w:p>
    <w:p w14:paraId="3F97DD5A" w14:textId="77777777" w:rsidR="00407FA1" w:rsidRDefault="00407FA1" w:rsidP="000C6712">
      <w:pPr>
        <w:pStyle w:val="ListParagraph"/>
        <w:spacing w:after="0" w:line="240" w:lineRule="auto"/>
        <w:ind w:left="1134"/>
        <w:contextualSpacing w:val="0"/>
        <w:jc w:val="left"/>
        <w:rPr>
          <w:rFonts w:ascii="Avenir Book" w:hAnsi="Avenir Book" w:cstheme="minorHAnsi"/>
          <w:sz w:val="22"/>
          <w:szCs w:val="22"/>
        </w:rPr>
      </w:pPr>
    </w:p>
    <w:p w14:paraId="737973B2" w14:textId="77ECE043" w:rsidR="00407FA1" w:rsidRPr="00407FA1" w:rsidRDefault="00407FA1" w:rsidP="00564172">
      <w:pPr>
        <w:pStyle w:val="ListParagraph"/>
        <w:numPr>
          <w:ilvl w:val="2"/>
          <w:numId w:val="23"/>
        </w:numPr>
        <w:spacing w:after="0" w:line="240" w:lineRule="auto"/>
        <w:ind w:left="1134"/>
        <w:contextualSpacing w:val="0"/>
        <w:jc w:val="left"/>
        <w:rPr>
          <w:rFonts w:ascii="Avenir Book" w:hAnsi="Avenir Book" w:cstheme="minorHAnsi"/>
          <w:sz w:val="22"/>
          <w:szCs w:val="22"/>
        </w:rPr>
      </w:pPr>
      <w:r w:rsidRPr="00407FA1">
        <w:rPr>
          <w:rFonts w:ascii="Avenir Book" w:hAnsi="Avenir Book"/>
          <w:sz w:val="22"/>
          <w:szCs w:val="22"/>
        </w:rPr>
        <w:t>Violations of sexual and reproductive rights of people with disability, particularly women and girls with disability are rarely examined or researched in Australia. WWDA has consistently raised the fact that practices such as forced contraception are widespread for women and girls with disability, particularly in group homes and other institutional settings and that this practice is rarely subject to oversight, monitoring or review.</w:t>
      </w:r>
      <w:r>
        <w:rPr>
          <w:rStyle w:val="FootnoteReference"/>
          <w:rFonts w:ascii="Avenir Book" w:hAnsi="Avenir Book"/>
          <w:sz w:val="22"/>
          <w:szCs w:val="22"/>
        </w:rPr>
        <w:footnoteReference w:id="156"/>
      </w:r>
      <w:r w:rsidRPr="00407FA1">
        <w:rPr>
          <w:rFonts w:ascii="Avenir Book" w:hAnsi="Avenir Book"/>
          <w:sz w:val="22"/>
          <w:szCs w:val="22"/>
        </w:rPr>
        <w:t xml:space="preserve"> Forced contraception is a practice used to suppress menstruation or sexual expression, often to reduce the care ‘burden’ on staff in supporting women with menstrual care, and to prevent pregnancy, including pregnancy that results from rape and sexual assault.</w:t>
      </w:r>
      <w:r>
        <w:rPr>
          <w:rStyle w:val="FootnoteReference"/>
          <w:rFonts w:ascii="Avenir Book" w:hAnsi="Avenir Book"/>
          <w:sz w:val="22"/>
          <w:szCs w:val="22"/>
        </w:rPr>
        <w:footnoteReference w:id="157"/>
      </w:r>
      <w:r w:rsidRPr="00407FA1">
        <w:rPr>
          <w:rFonts w:ascii="Avenir Book" w:hAnsi="Avenir Book"/>
          <w:sz w:val="22"/>
          <w:szCs w:val="22"/>
        </w:rPr>
        <w:t xml:space="preserve"> This issue was raised by the Australian Civil Society CRPD Shadow Report Working Group for the September 2019 review of Australia by the CRPD Committee.</w:t>
      </w:r>
      <w:r>
        <w:rPr>
          <w:rStyle w:val="FootnoteReference"/>
          <w:rFonts w:ascii="Avenir Book" w:hAnsi="Avenir Book"/>
          <w:sz w:val="22"/>
          <w:szCs w:val="22"/>
        </w:rPr>
        <w:footnoteReference w:id="158"/>
      </w:r>
      <w:r w:rsidRPr="00407FA1">
        <w:rPr>
          <w:rFonts w:ascii="Avenir Book" w:hAnsi="Avenir Book"/>
          <w:sz w:val="22"/>
          <w:szCs w:val="22"/>
        </w:rPr>
        <w:t xml:space="preserve">  The CRPD Committee recommended that Australia end the forced “administration of contraception and the imposition of abortion procedures on women and girls with disabilities”.</w:t>
      </w:r>
      <w:r>
        <w:rPr>
          <w:rStyle w:val="FootnoteReference"/>
          <w:rFonts w:ascii="Avenir Book" w:hAnsi="Avenir Book"/>
          <w:sz w:val="22"/>
          <w:szCs w:val="22"/>
        </w:rPr>
        <w:footnoteReference w:id="159"/>
      </w:r>
      <w:r w:rsidRPr="00407FA1">
        <w:rPr>
          <w:rFonts w:ascii="Avenir Book" w:hAnsi="Avenir Book"/>
          <w:sz w:val="22"/>
          <w:szCs w:val="22"/>
        </w:rPr>
        <w:t xml:space="preserve"> The significant lack of transparency, oversight and monitoring of these practices requires urgent interrogation by the Royal Commission within a broader examination of violations of sexual and reproductive rights of people with disability, in particular women and girls with disability.</w:t>
      </w:r>
    </w:p>
    <w:p w14:paraId="55646AB1" w14:textId="77777777" w:rsidR="00407FA1" w:rsidRPr="00407FA1" w:rsidRDefault="00407FA1" w:rsidP="000C6712">
      <w:pPr>
        <w:pStyle w:val="ListParagraph"/>
        <w:spacing w:after="0" w:line="240" w:lineRule="auto"/>
        <w:ind w:left="1134"/>
        <w:contextualSpacing w:val="0"/>
        <w:jc w:val="left"/>
        <w:rPr>
          <w:rFonts w:ascii="Avenir Book" w:hAnsi="Avenir Book" w:cstheme="minorHAnsi"/>
          <w:sz w:val="22"/>
          <w:szCs w:val="22"/>
        </w:rPr>
      </w:pPr>
    </w:p>
    <w:p w14:paraId="7C4BB822" w14:textId="6A32A27C" w:rsidR="00DB0B0D" w:rsidRDefault="00347AF6" w:rsidP="00564172">
      <w:pPr>
        <w:pStyle w:val="ListParagraph"/>
        <w:numPr>
          <w:ilvl w:val="2"/>
          <w:numId w:val="23"/>
        </w:numPr>
        <w:spacing w:after="0" w:line="240" w:lineRule="auto"/>
        <w:ind w:left="1134"/>
        <w:contextualSpacing w:val="0"/>
        <w:jc w:val="left"/>
        <w:rPr>
          <w:rFonts w:ascii="Avenir Book" w:hAnsi="Avenir Book" w:cstheme="minorHAnsi"/>
          <w:sz w:val="22"/>
          <w:szCs w:val="22"/>
        </w:rPr>
      </w:pPr>
      <w:r w:rsidRPr="005D3FA4">
        <w:rPr>
          <w:rFonts w:ascii="Avenir Book" w:hAnsi="Avenir Book" w:cstheme="minorHAnsi"/>
          <w:sz w:val="22"/>
          <w:szCs w:val="22"/>
        </w:rPr>
        <w:t xml:space="preserve">There </w:t>
      </w:r>
      <w:r w:rsidR="00E44D73" w:rsidRPr="005D3FA4">
        <w:rPr>
          <w:rFonts w:ascii="Avenir Book" w:hAnsi="Avenir Book" w:cstheme="minorHAnsi"/>
          <w:sz w:val="22"/>
          <w:szCs w:val="22"/>
        </w:rPr>
        <w:t>are</w:t>
      </w:r>
      <w:r w:rsidR="00B016E2" w:rsidRPr="005D3FA4">
        <w:rPr>
          <w:rFonts w:ascii="Avenir Book" w:hAnsi="Avenir Book" w:cstheme="minorHAnsi"/>
          <w:sz w:val="22"/>
          <w:szCs w:val="22"/>
        </w:rPr>
        <w:t xml:space="preserve"> no</w:t>
      </w:r>
      <w:r w:rsidRPr="005D3FA4">
        <w:rPr>
          <w:rFonts w:ascii="Avenir Book" w:hAnsi="Avenir Book" w:cstheme="minorHAnsi"/>
          <w:sz w:val="22"/>
          <w:szCs w:val="22"/>
        </w:rPr>
        <w:t xml:space="preserve"> comprehensive </w:t>
      </w:r>
      <w:r w:rsidR="00422FB8" w:rsidRPr="005D3FA4">
        <w:rPr>
          <w:rFonts w:ascii="Avenir Book" w:hAnsi="Avenir Book" w:cstheme="minorHAnsi"/>
          <w:sz w:val="22"/>
          <w:szCs w:val="22"/>
        </w:rPr>
        <w:t>programs</w:t>
      </w:r>
      <w:r w:rsidRPr="005D3FA4">
        <w:rPr>
          <w:rFonts w:ascii="Avenir Book" w:hAnsi="Avenir Book" w:cstheme="minorHAnsi"/>
          <w:sz w:val="22"/>
          <w:szCs w:val="22"/>
        </w:rPr>
        <w:t xml:space="preserve"> focused on </w:t>
      </w:r>
      <w:r w:rsidR="00E44D73" w:rsidRPr="005D3FA4">
        <w:rPr>
          <w:rFonts w:ascii="Avenir Book" w:hAnsi="Avenir Book" w:cstheme="minorHAnsi"/>
          <w:sz w:val="22"/>
          <w:szCs w:val="22"/>
        </w:rPr>
        <w:t>preventing and responding to violence, abuse, neglect and exploitation</w:t>
      </w:r>
      <w:r w:rsidR="00422FB8" w:rsidRPr="005D3FA4">
        <w:rPr>
          <w:rFonts w:ascii="Avenir Book" w:hAnsi="Avenir Book" w:cstheme="minorHAnsi"/>
          <w:sz w:val="22"/>
          <w:szCs w:val="22"/>
        </w:rPr>
        <w:t xml:space="preserve"> that are </w:t>
      </w:r>
      <w:r w:rsidR="00E44D73" w:rsidRPr="005D3FA4">
        <w:rPr>
          <w:rFonts w:ascii="Avenir Book" w:hAnsi="Avenir Book" w:cstheme="minorHAnsi"/>
          <w:sz w:val="22"/>
          <w:szCs w:val="22"/>
        </w:rPr>
        <w:t xml:space="preserve">targeted at </w:t>
      </w:r>
      <w:r w:rsidRPr="005D3FA4">
        <w:rPr>
          <w:rFonts w:ascii="Avenir Book" w:hAnsi="Avenir Book" w:cstheme="minorHAnsi"/>
          <w:sz w:val="22"/>
          <w:szCs w:val="22"/>
        </w:rPr>
        <w:t>women and girls with disability</w:t>
      </w:r>
      <w:r w:rsidR="00E44D73" w:rsidRPr="005D3FA4">
        <w:rPr>
          <w:rFonts w:ascii="Avenir Book" w:hAnsi="Avenir Book" w:cstheme="minorHAnsi"/>
          <w:sz w:val="22"/>
          <w:szCs w:val="22"/>
        </w:rPr>
        <w:t xml:space="preserve">, particularly those living in institutional settings, such as group homes. Gender-specific respectful relationships programs </w:t>
      </w:r>
      <w:r w:rsidR="0097723A" w:rsidRPr="005D3FA4">
        <w:rPr>
          <w:rFonts w:ascii="Avenir Book" w:hAnsi="Avenir Book" w:cstheme="minorHAnsi"/>
          <w:sz w:val="22"/>
          <w:szCs w:val="22"/>
        </w:rPr>
        <w:t xml:space="preserve">designed and delivered by women with disability are invaluable and </w:t>
      </w:r>
      <w:r w:rsidR="00E44D73" w:rsidRPr="005D3FA4">
        <w:rPr>
          <w:rFonts w:ascii="Avenir Book" w:hAnsi="Avenir Book" w:cstheme="minorHAnsi"/>
          <w:sz w:val="22"/>
          <w:szCs w:val="22"/>
        </w:rPr>
        <w:t>aim to develop a sense of bodily integrity and an understanding of what constitutes violence, abuse, neglect and exploitation</w:t>
      </w:r>
      <w:r w:rsidR="0097723A" w:rsidRPr="005D3FA4">
        <w:rPr>
          <w:rFonts w:ascii="Avenir Book" w:hAnsi="Avenir Book" w:cstheme="minorHAnsi"/>
          <w:sz w:val="22"/>
          <w:szCs w:val="22"/>
        </w:rPr>
        <w:t xml:space="preserve">, however they </w:t>
      </w:r>
      <w:r w:rsidR="00E44D73" w:rsidRPr="005D3FA4">
        <w:rPr>
          <w:rFonts w:ascii="Avenir Book" w:hAnsi="Avenir Book" w:cstheme="minorHAnsi"/>
          <w:sz w:val="22"/>
          <w:szCs w:val="22"/>
        </w:rPr>
        <w:t>are extremely limited and rarely provided to residents</w:t>
      </w:r>
      <w:r w:rsidRPr="005D3FA4">
        <w:rPr>
          <w:rFonts w:ascii="Avenir Book" w:hAnsi="Avenir Book" w:cstheme="minorHAnsi"/>
          <w:sz w:val="22"/>
          <w:szCs w:val="22"/>
        </w:rPr>
        <w:t xml:space="preserve"> </w:t>
      </w:r>
      <w:r w:rsidR="00E44D73" w:rsidRPr="005D3FA4">
        <w:rPr>
          <w:rFonts w:ascii="Avenir Book" w:hAnsi="Avenir Book" w:cstheme="minorHAnsi"/>
          <w:sz w:val="22"/>
          <w:szCs w:val="22"/>
        </w:rPr>
        <w:t>within institutional settings.</w:t>
      </w:r>
      <w:r w:rsidR="00E44D73">
        <w:rPr>
          <w:rStyle w:val="FootnoteReference"/>
          <w:rFonts w:ascii="Avenir Book" w:hAnsi="Avenir Book" w:cstheme="minorHAnsi"/>
          <w:sz w:val="22"/>
          <w:szCs w:val="22"/>
        </w:rPr>
        <w:footnoteReference w:id="160"/>
      </w:r>
      <w:r w:rsidR="00E44D73" w:rsidRPr="005D3FA4">
        <w:rPr>
          <w:rFonts w:ascii="Avenir Book" w:hAnsi="Avenir Book" w:cstheme="minorHAnsi"/>
          <w:sz w:val="22"/>
          <w:szCs w:val="22"/>
        </w:rPr>
        <w:t xml:space="preserve"> </w:t>
      </w:r>
      <w:r w:rsidR="0097723A" w:rsidRPr="005D3FA4">
        <w:rPr>
          <w:rFonts w:ascii="Avenir Book" w:hAnsi="Avenir Book" w:cstheme="minorHAnsi"/>
          <w:sz w:val="22"/>
          <w:szCs w:val="22"/>
        </w:rPr>
        <w:t xml:space="preserve">Resources aimed at disability service providers and support workers are not gender-specific, do not </w:t>
      </w:r>
      <w:r w:rsidR="002906C7" w:rsidRPr="005D3FA4">
        <w:rPr>
          <w:rFonts w:ascii="Avenir Book" w:hAnsi="Avenir Book" w:cstheme="minorHAnsi"/>
          <w:sz w:val="22"/>
          <w:szCs w:val="22"/>
        </w:rPr>
        <w:t>understand</w:t>
      </w:r>
      <w:r w:rsidR="0097723A" w:rsidRPr="005D3FA4">
        <w:rPr>
          <w:rFonts w:ascii="Avenir Book" w:hAnsi="Avenir Book" w:cstheme="minorHAnsi"/>
          <w:sz w:val="22"/>
          <w:szCs w:val="22"/>
        </w:rPr>
        <w:t xml:space="preserve"> gender-based violence and </w:t>
      </w:r>
      <w:r w:rsidR="00890B33" w:rsidRPr="005D3FA4">
        <w:rPr>
          <w:rFonts w:ascii="Avenir Book" w:hAnsi="Avenir Book" w:cstheme="minorHAnsi"/>
          <w:sz w:val="22"/>
          <w:szCs w:val="22"/>
        </w:rPr>
        <w:t>rarely</w:t>
      </w:r>
      <w:r w:rsidR="0097723A" w:rsidRPr="005D3FA4">
        <w:rPr>
          <w:rFonts w:ascii="Avenir Book" w:hAnsi="Avenir Book" w:cstheme="minorHAnsi"/>
          <w:sz w:val="22"/>
          <w:szCs w:val="22"/>
        </w:rPr>
        <w:t xml:space="preserve"> link to gender-</w:t>
      </w:r>
      <w:r w:rsidR="00890B33" w:rsidRPr="005D3FA4">
        <w:rPr>
          <w:rFonts w:ascii="Avenir Book" w:hAnsi="Avenir Book" w:cstheme="minorHAnsi"/>
          <w:sz w:val="22"/>
          <w:szCs w:val="22"/>
        </w:rPr>
        <w:t xml:space="preserve">specific, trauma-informed </w:t>
      </w:r>
      <w:r w:rsidR="0097723A" w:rsidRPr="005D3FA4">
        <w:rPr>
          <w:rFonts w:ascii="Avenir Book" w:hAnsi="Avenir Book" w:cstheme="minorHAnsi"/>
          <w:sz w:val="22"/>
          <w:szCs w:val="22"/>
        </w:rPr>
        <w:t>supports.</w:t>
      </w:r>
      <w:r w:rsidR="0097723A">
        <w:rPr>
          <w:rStyle w:val="FootnoteReference"/>
          <w:rFonts w:ascii="Avenir Book" w:hAnsi="Avenir Book" w:cstheme="minorHAnsi"/>
          <w:sz w:val="22"/>
          <w:szCs w:val="22"/>
        </w:rPr>
        <w:footnoteReference w:id="161"/>
      </w:r>
      <w:r w:rsidR="0097723A" w:rsidRPr="005D3FA4">
        <w:rPr>
          <w:rFonts w:ascii="Avenir Book" w:hAnsi="Avenir Book" w:cstheme="minorHAnsi"/>
          <w:sz w:val="22"/>
          <w:szCs w:val="22"/>
        </w:rPr>
        <w:t xml:space="preserve"> </w:t>
      </w:r>
      <w:r w:rsidR="00E44D73" w:rsidRPr="005D3FA4">
        <w:rPr>
          <w:rFonts w:ascii="Avenir Book" w:hAnsi="Avenir Book" w:cstheme="minorHAnsi"/>
          <w:sz w:val="22"/>
          <w:szCs w:val="22"/>
        </w:rPr>
        <w:t xml:space="preserve"> </w:t>
      </w:r>
      <w:r w:rsidR="00B016E2" w:rsidRPr="005D3FA4">
        <w:rPr>
          <w:rFonts w:ascii="Avenir Book" w:hAnsi="Avenir Book" w:cstheme="minorHAnsi"/>
          <w:sz w:val="22"/>
          <w:szCs w:val="22"/>
        </w:rPr>
        <w:t>There are other valuable resources and projects</w:t>
      </w:r>
      <w:r w:rsidR="002E684E" w:rsidRPr="005D3FA4">
        <w:rPr>
          <w:rFonts w:ascii="Avenir Book" w:hAnsi="Avenir Book" w:cstheme="minorHAnsi"/>
          <w:sz w:val="22"/>
          <w:szCs w:val="22"/>
        </w:rPr>
        <w:t xml:space="preserve"> </w:t>
      </w:r>
      <w:r w:rsidR="00DB0B0D" w:rsidRPr="005D3FA4">
        <w:rPr>
          <w:rFonts w:ascii="Avenir Book" w:hAnsi="Avenir Book" w:cstheme="minorHAnsi"/>
          <w:sz w:val="22"/>
          <w:szCs w:val="22"/>
        </w:rPr>
        <w:t xml:space="preserve">that aim to </w:t>
      </w:r>
      <w:r w:rsidR="005A76A8" w:rsidRPr="005D3FA4">
        <w:rPr>
          <w:rFonts w:ascii="Avenir Book" w:hAnsi="Avenir Book" w:cstheme="minorHAnsi"/>
          <w:sz w:val="22"/>
          <w:szCs w:val="22"/>
        </w:rPr>
        <w:t xml:space="preserve">build knowledge and </w:t>
      </w:r>
      <w:r w:rsidR="002E684E" w:rsidRPr="005D3FA4">
        <w:rPr>
          <w:rFonts w:ascii="Avenir Book" w:hAnsi="Avenir Book" w:cstheme="minorHAnsi"/>
          <w:sz w:val="22"/>
          <w:szCs w:val="22"/>
        </w:rPr>
        <w:t xml:space="preserve">enhance </w:t>
      </w:r>
      <w:r w:rsidR="005B3098" w:rsidRPr="005D3FA4">
        <w:rPr>
          <w:rFonts w:ascii="Avenir Book" w:hAnsi="Avenir Book" w:cstheme="minorHAnsi"/>
          <w:sz w:val="22"/>
          <w:szCs w:val="22"/>
        </w:rPr>
        <w:t>support</w:t>
      </w:r>
      <w:r w:rsidR="002E684E" w:rsidRPr="005D3FA4">
        <w:rPr>
          <w:rFonts w:ascii="Avenir Book" w:hAnsi="Avenir Book" w:cstheme="minorHAnsi"/>
          <w:sz w:val="22"/>
          <w:szCs w:val="22"/>
        </w:rPr>
        <w:t xml:space="preserve"> for women with disability,</w:t>
      </w:r>
      <w:r w:rsidR="002E684E">
        <w:rPr>
          <w:rStyle w:val="FootnoteReference"/>
          <w:rFonts w:ascii="Avenir Book" w:hAnsi="Avenir Book" w:cstheme="minorHAnsi"/>
          <w:sz w:val="22"/>
          <w:szCs w:val="22"/>
        </w:rPr>
        <w:footnoteReference w:id="162"/>
      </w:r>
      <w:r w:rsidR="002E684E" w:rsidRPr="005D3FA4">
        <w:rPr>
          <w:rFonts w:ascii="Avenir Book" w:hAnsi="Avenir Book" w:cstheme="minorHAnsi"/>
          <w:sz w:val="22"/>
          <w:szCs w:val="22"/>
        </w:rPr>
        <w:t xml:space="preserve"> </w:t>
      </w:r>
      <w:r w:rsidR="00DB0B0D" w:rsidRPr="005D3FA4">
        <w:rPr>
          <w:rFonts w:ascii="Avenir Book" w:hAnsi="Avenir Book" w:cstheme="minorHAnsi"/>
          <w:sz w:val="22"/>
          <w:szCs w:val="22"/>
        </w:rPr>
        <w:lastRenderedPageBreak/>
        <w:t>enhance accessibility of domestic violence services</w:t>
      </w:r>
      <w:r w:rsidR="00DB0B0D">
        <w:rPr>
          <w:rStyle w:val="FootnoteReference"/>
          <w:rFonts w:ascii="Avenir Book" w:hAnsi="Avenir Book" w:cstheme="minorHAnsi"/>
          <w:sz w:val="22"/>
          <w:szCs w:val="22"/>
        </w:rPr>
        <w:footnoteReference w:id="163"/>
      </w:r>
      <w:r w:rsidR="00DB0B0D" w:rsidRPr="005D3FA4">
        <w:rPr>
          <w:rFonts w:ascii="Avenir Book" w:hAnsi="Avenir Book" w:cstheme="minorHAnsi"/>
          <w:sz w:val="22"/>
          <w:szCs w:val="22"/>
        </w:rPr>
        <w:t xml:space="preserve"> and support women with disability</w:t>
      </w:r>
      <w:r w:rsidR="002E684E" w:rsidRPr="005D3FA4">
        <w:rPr>
          <w:rFonts w:ascii="Avenir Book" w:hAnsi="Avenir Book" w:cstheme="minorHAnsi"/>
          <w:sz w:val="22"/>
          <w:szCs w:val="22"/>
        </w:rPr>
        <w:t xml:space="preserve"> experiencing domestic and family violence</w:t>
      </w:r>
      <w:r w:rsidR="00B016E2" w:rsidRPr="005D3FA4">
        <w:rPr>
          <w:rFonts w:ascii="Avenir Book" w:hAnsi="Avenir Book" w:cstheme="minorHAnsi"/>
          <w:sz w:val="22"/>
          <w:szCs w:val="22"/>
        </w:rPr>
        <w:t xml:space="preserve">, such as </w:t>
      </w:r>
      <w:r w:rsidR="002906C7" w:rsidRPr="005D3FA4">
        <w:rPr>
          <w:rFonts w:ascii="Avenir Book" w:hAnsi="Avenir Book" w:cstheme="minorHAnsi"/>
          <w:sz w:val="22"/>
          <w:szCs w:val="22"/>
        </w:rPr>
        <w:t xml:space="preserve">WWDA’s and </w:t>
      </w:r>
      <w:r w:rsidR="00B016E2" w:rsidRPr="005D3FA4">
        <w:rPr>
          <w:rFonts w:ascii="Avenir Book" w:hAnsi="Avenir Book" w:cstheme="minorHAnsi"/>
          <w:sz w:val="22"/>
          <w:szCs w:val="22"/>
        </w:rPr>
        <w:t>1800RESPECT’s Sunny app</w:t>
      </w:r>
      <w:r w:rsidR="002E684E" w:rsidRPr="005D3FA4">
        <w:rPr>
          <w:rFonts w:ascii="Avenir Book" w:hAnsi="Avenir Book" w:cstheme="minorHAnsi"/>
          <w:sz w:val="22"/>
          <w:szCs w:val="22"/>
        </w:rPr>
        <w:t>.</w:t>
      </w:r>
      <w:r w:rsidR="002906C7">
        <w:rPr>
          <w:rStyle w:val="FootnoteReference"/>
          <w:rFonts w:ascii="Avenir Book" w:hAnsi="Avenir Book" w:cstheme="minorHAnsi"/>
          <w:sz w:val="22"/>
          <w:szCs w:val="22"/>
        </w:rPr>
        <w:footnoteReference w:id="164"/>
      </w:r>
      <w:r w:rsidR="00DB0B0D" w:rsidRPr="005D3FA4">
        <w:rPr>
          <w:rFonts w:ascii="Avenir Book" w:hAnsi="Avenir Book" w:cstheme="minorHAnsi"/>
          <w:sz w:val="22"/>
          <w:szCs w:val="22"/>
        </w:rPr>
        <w:t xml:space="preserve"> </w:t>
      </w:r>
      <w:r w:rsidR="002E684E" w:rsidRPr="005D3FA4">
        <w:rPr>
          <w:rFonts w:ascii="Avenir Book" w:hAnsi="Avenir Book" w:cstheme="minorHAnsi"/>
          <w:sz w:val="22"/>
          <w:szCs w:val="22"/>
        </w:rPr>
        <w:t>H</w:t>
      </w:r>
      <w:r w:rsidR="00DB0B0D" w:rsidRPr="005D3FA4">
        <w:rPr>
          <w:rFonts w:ascii="Avenir Book" w:hAnsi="Avenir Book" w:cstheme="minorHAnsi"/>
          <w:sz w:val="22"/>
          <w:szCs w:val="22"/>
        </w:rPr>
        <w:t>owever</w:t>
      </w:r>
      <w:r w:rsidR="002E684E" w:rsidRPr="005D3FA4">
        <w:rPr>
          <w:rFonts w:ascii="Avenir Book" w:hAnsi="Avenir Book" w:cstheme="minorHAnsi"/>
          <w:sz w:val="22"/>
          <w:szCs w:val="22"/>
        </w:rPr>
        <w:t>,</w:t>
      </w:r>
      <w:r w:rsidR="00DB0B0D" w:rsidRPr="005D3FA4">
        <w:rPr>
          <w:rFonts w:ascii="Avenir Book" w:hAnsi="Avenir Book" w:cstheme="minorHAnsi"/>
          <w:sz w:val="22"/>
          <w:szCs w:val="22"/>
        </w:rPr>
        <w:t xml:space="preserve"> these </w:t>
      </w:r>
      <w:r w:rsidR="002906C7" w:rsidRPr="005D3FA4">
        <w:rPr>
          <w:rFonts w:ascii="Avenir Book" w:hAnsi="Avenir Book" w:cstheme="minorHAnsi"/>
          <w:sz w:val="22"/>
          <w:szCs w:val="22"/>
        </w:rPr>
        <w:t xml:space="preserve">are not part of a coordinated, comprehensive plan to prevent and respond to violence experienced by women and girls with disability in Australia and </w:t>
      </w:r>
      <w:r w:rsidR="00DB0B0D" w:rsidRPr="005D3FA4">
        <w:rPr>
          <w:rFonts w:ascii="Avenir Book" w:hAnsi="Avenir Book" w:cstheme="minorHAnsi"/>
          <w:sz w:val="22"/>
          <w:szCs w:val="22"/>
        </w:rPr>
        <w:t>do not necessarily reach women with disability in institutional</w:t>
      </w:r>
      <w:r w:rsidR="00B016E2" w:rsidRPr="005D3FA4">
        <w:rPr>
          <w:rFonts w:ascii="Avenir Book" w:hAnsi="Avenir Book" w:cstheme="minorHAnsi"/>
          <w:sz w:val="22"/>
          <w:szCs w:val="22"/>
        </w:rPr>
        <w:t xml:space="preserve"> settings</w:t>
      </w:r>
      <w:r w:rsidR="00DB0B0D" w:rsidRPr="005D3FA4">
        <w:rPr>
          <w:rFonts w:ascii="Avenir Book" w:hAnsi="Avenir Book" w:cstheme="minorHAnsi"/>
          <w:sz w:val="22"/>
          <w:szCs w:val="22"/>
        </w:rPr>
        <w:t xml:space="preserve">. </w:t>
      </w:r>
    </w:p>
    <w:p w14:paraId="1DD4093E" w14:textId="70D3A19C" w:rsidR="005D3FA4" w:rsidRDefault="005D3FA4" w:rsidP="000C6712">
      <w:pPr>
        <w:spacing w:after="0" w:line="240" w:lineRule="auto"/>
        <w:jc w:val="left"/>
        <w:rPr>
          <w:rFonts w:ascii="Avenir Book" w:hAnsi="Avenir Book" w:cstheme="minorHAnsi"/>
          <w:sz w:val="22"/>
          <w:szCs w:val="22"/>
        </w:rPr>
      </w:pPr>
    </w:p>
    <w:p w14:paraId="5C4AF29B" w14:textId="1141D19D" w:rsidR="005D3FA4" w:rsidRPr="007713E1" w:rsidRDefault="005D3FA4" w:rsidP="00564172">
      <w:pPr>
        <w:pStyle w:val="Heading3"/>
        <w:numPr>
          <w:ilvl w:val="1"/>
          <w:numId w:val="23"/>
        </w:numPr>
        <w:spacing w:after="120" w:line="240" w:lineRule="auto"/>
        <w:ind w:left="1134" w:hanging="708"/>
        <w:rPr>
          <w:rFonts w:ascii="Avenir Roman" w:hAnsi="Avenir Roman"/>
          <w:i/>
        </w:rPr>
      </w:pPr>
      <w:bookmarkStart w:id="123" w:name="_Toc43919164"/>
      <w:r>
        <w:rPr>
          <w:rFonts w:ascii="Avenir Roman" w:hAnsi="Avenir Roman"/>
          <w:i/>
        </w:rPr>
        <w:t>Torture and ill-treatment</w:t>
      </w:r>
      <w:bookmarkEnd w:id="123"/>
    </w:p>
    <w:p w14:paraId="7D25128D" w14:textId="0865E42B" w:rsidR="005D3FA4" w:rsidRDefault="005D3FA4" w:rsidP="00564172">
      <w:pPr>
        <w:pStyle w:val="ListParagraph"/>
        <w:numPr>
          <w:ilvl w:val="2"/>
          <w:numId w:val="23"/>
        </w:numPr>
        <w:spacing w:line="240" w:lineRule="auto"/>
        <w:ind w:left="1134"/>
        <w:jc w:val="left"/>
        <w:rPr>
          <w:rFonts w:ascii="Avenir Book" w:hAnsi="Avenir Book" w:cstheme="minorHAnsi"/>
          <w:sz w:val="22"/>
          <w:szCs w:val="22"/>
        </w:rPr>
      </w:pPr>
      <w:r w:rsidRPr="005D3FA4">
        <w:rPr>
          <w:rFonts w:ascii="Avenir Book" w:hAnsi="Avenir Book" w:cstheme="minorHAnsi"/>
          <w:sz w:val="22"/>
          <w:szCs w:val="22"/>
        </w:rPr>
        <w:t>People with disability are subjected to restrictive practices in a range of settings, including in family homes, mental health facilities, large residential institutions, group homes, boarding and rooming houses, aged care facilities, schools, prisons and juvenile justice facilities. The UN Special Rapporteur on Torture and Other Cruel, Inhuman or Degrading Treatment or Punishment (Special Rapporteur on Torture) has noted that restrictive practices “remain invisible or are being justified” as legitimate treatment, behaviour modification or management when “perpetrated against persons with disabilities” instead of being recognised as torture or other cruel, inhuman or degrading treatment or punishment (torture and ill-treatment).</w:t>
      </w:r>
      <w:r w:rsidRPr="00411C1D">
        <w:rPr>
          <w:rStyle w:val="FootnoteReference"/>
          <w:rFonts w:ascii="Avenir Book" w:hAnsi="Avenir Book" w:cstheme="minorHAnsi"/>
          <w:sz w:val="22"/>
          <w:szCs w:val="22"/>
        </w:rPr>
        <w:footnoteReference w:id="165"/>
      </w:r>
      <w:r w:rsidRPr="005D3FA4">
        <w:rPr>
          <w:rFonts w:ascii="Avenir Book" w:hAnsi="Avenir Book" w:cstheme="minorHAnsi"/>
          <w:sz w:val="22"/>
          <w:szCs w:val="22"/>
        </w:rPr>
        <w:t xml:space="preserve"> </w:t>
      </w:r>
    </w:p>
    <w:p w14:paraId="47EEE7DD" w14:textId="77777777" w:rsidR="005D3FA4" w:rsidRPr="005D3FA4" w:rsidRDefault="005D3FA4" w:rsidP="000C6712">
      <w:pPr>
        <w:pStyle w:val="ListParagraph"/>
        <w:spacing w:line="240" w:lineRule="auto"/>
        <w:ind w:left="1134"/>
        <w:jc w:val="left"/>
        <w:rPr>
          <w:rFonts w:ascii="Avenir Book" w:hAnsi="Avenir Book" w:cstheme="minorHAnsi"/>
          <w:sz w:val="22"/>
          <w:szCs w:val="22"/>
        </w:rPr>
      </w:pPr>
    </w:p>
    <w:p w14:paraId="1701D896" w14:textId="24A53F46" w:rsidR="005D3FA4" w:rsidRDefault="005D3FA4" w:rsidP="00564172">
      <w:pPr>
        <w:pStyle w:val="ListParagraph"/>
        <w:numPr>
          <w:ilvl w:val="2"/>
          <w:numId w:val="23"/>
        </w:numPr>
        <w:spacing w:line="240" w:lineRule="auto"/>
        <w:ind w:left="1134"/>
        <w:jc w:val="left"/>
        <w:rPr>
          <w:rFonts w:ascii="Avenir Book" w:hAnsi="Avenir Book" w:cstheme="minorHAnsi"/>
          <w:sz w:val="22"/>
          <w:szCs w:val="22"/>
        </w:rPr>
      </w:pPr>
      <w:r w:rsidRPr="005D3FA4">
        <w:rPr>
          <w:rFonts w:ascii="Avenir Book" w:hAnsi="Avenir Book" w:cstheme="minorHAnsi"/>
          <w:sz w:val="22"/>
          <w:szCs w:val="22"/>
        </w:rPr>
        <w:t>Despite women and girls with disability disproportionately impacted by all forms of violence, abuse, neglect and exploitation, including torture and ill-treatment,</w:t>
      </w:r>
      <w:r w:rsidRPr="00411C1D">
        <w:rPr>
          <w:rStyle w:val="FootnoteReference"/>
          <w:rFonts w:ascii="Avenir Book" w:hAnsi="Avenir Book" w:cstheme="minorHAnsi"/>
          <w:sz w:val="22"/>
          <w:szCs w:val="22"/>
        </w:rPr>
        <w:footnoteReference w:id="166"/>
      </w:r>
      <w:r w:rsidRPr="005D3FA4">
        <w:rPr>
          <w:rFonts w:ascii="Avenir Book" w:hAnsi="Avenir Book" w:cstheme="minorHAnsi"/>
          <w:sz w:val="22"/>
          <w:szCs w:val="22"/>
        </w:rPr>
        <w:t xml:space="preserve"> there is little to no intersectional analysis, research or disaggregated data on the gendered nature of restrictive practices or the experiences of women and girls with disability in relation to restrictive practices. </w:t>
      </w:r>
    </w:p>
    <w:p w14:paraId="2B003151" w14:textId="77777777" w:rsidR="005D3FA4" w:rsidRPr="005D3FA4" w:rsidRDefault="005D3FA4" w:rsidP="000C6712">
      <w:pPr>
        <w:pStyle w:val="ListParagraph"/>
        <w:spacing w:line="240" w:lineRule="auto"/>
        <w:jc w:val="left"/>
        <w:rPr>
          <w:rFonts w:ascii="Avenir Book" w:hAnsi="Avenir Book" w:cstheme="minorHAnsi"/>
          <w:sz w:val="22"/>
          <w:szCs w:val="22"/>
        </w:rPr>
      </w:pPr>
    </w:p>
    <w:p w14:paraId="43C01635" w14:textId="4B199838" w:rsidR="005D3FA4" w:rsidRDefault="005D3FA4" w:rsidP="00564172">
      <w:pPr>
        <w:pStyle w:val="ListParagraph"/>
        <w:numPr>
          <w:ilvl w:val="2"/>
          <w:numId w:val="23"/>
        </w:numPr>
        <w:spacing w:line="240" w:lineRule="auto"/>
        <w:ind w:left="1134"/>
        <w:jc w:val="left"/>
        <w:rPr>
          <w:rFonts w:ascii="Avenir Book" w:hAnsi="Avenir Book" w:cstheme="minorHAnsi"/>
          <w:sz w:val="22"/>
          <w:szCs w:val="22"/>
        </w:rPr>
      </w:pPr>
      <w:r w:rsidRPr="005D3FA4">
        <w:rPr>
          <w:rFonts w:ascii="Avenir Book" w:hAnsi="Avenir Book"/>
          <w:sz w:val="22"/>
          <w:szCs w:val="22"/>
        </w:rPr>
        <w:t xml:space="preserve">Evidence has shown that there is an insidious </w:t>
      </w:r>
      <w:r w:rsidRPr="005D3FA4">
        <w:rPr>
          <w:rFonts w:ascii="Avenir Book" w:hAnsi="Avenir Book" w:cstheme="minorHAnsi"/>
          <w:sz w:val="22"/>
          <w:szCs w:val="22"/>
        </w:rPr>
        <w:t>relationship between the use of restrictive practices and other forms of violence within institutional settings – the use of restrictive practices desensitises both disability support workers and residents so that they are unable to recognise violence, abuse, neglect and exploitation, they view it as acceptable and it becomes normalised within daily life.</w:t>
      </w:r>
      <w:r>
        <w:rPr>
          <w:rStyle w:val="FootnoteReference"/>
          <w:rFonts w:ascii="Avenir Book" w:hAnsi="Avenir Book" w:cstheme="minorHAnsi"/>
          <w:sz w:val="22"/>
          <w:szCs w:val="22"/>
        </w:rPr>
        <w:footnoteReference w:id="167"/>
      </w:r>
      <w:r w:rsidRPr="005D3FA4">
        <w:rPr>
          <w:rFonts w:ascii="Avenir Book" w:hAnsi="Avenir Book" w:cstheme="minorHAnsi"/>
          <w:sz w:val="22"/>
          <w:szCs w:val="22"/>
        </w:rPr>
        <w:t xml:space="preserve"> During the Public Hearing, evidence highlighted that restrictive practices reinforce the control and management of people with disability in group homes, and that the elimination of restrictive practices also requires the end of institutional living arrangements, such as group homes.</w:t>
      </w:r>
      <w:r>
        <w:rPr>
          <w:rStyle w:val="FootnoteReference"/>
          <w:rFonts w:ascii="Avenir Book" w:hAnsi="Avenir Book" w:cstheme="minorHAnsi"/>
          <w:sz w:val="22"/>
          <w:szCs w:val="22"/>
        </w:rPr>
        <w:footnoteReference w:id="168"/>
      </w:r>
      <w:r w:rsidRPr="005D3FA4">
        <w:rPr>
          <w:rFonts w:ascii="Avenir Book" w:hAnsi="Avenir Book" w:cstheme="minorHAnsi"/>
          <w:sz w:val="22"/>
          <w:szCs w:val="22"/>
        </w:rPr>
        <w:t xml:space="preserve"> </w:t>
      </w:r>
    </w:p>
    <w:p w14:paraId="5CC00136" w14:textId="77777777" w:rsidR="005D3FA4" w:rsidRPr="005D3FA4" w:rsidRDefault="005D3FA4" w:rsidP="000C6712">
      <w:pPr>
        <w:pStyle w:val="ListParagraph"/>
        <w:spacing w:line="240" w:lineRule="auto"/>
        <w:jc w:val="left"/>
        <w:rPr>
          <w:rFonts w:ascii="Avenir Book" w:hAnsi="Avenir Book" w:cstheme="minorHAnsi"/>
          <w:sz w:val="22"/>
          <w:szCs w:val="22"/>
        </w:rPr>
      </w:pPr>
    </w:p>
    <w:p w14:paraId="72D55AA4" w14:textId="23949320" w:rsidR="005D3FA4" w:rsidRDefault="005D3FA4" w:rsidP="00564172">
      <w:pPr>
        <w:pStyle w:val="ListParagraph"/>
        <w:numPr>
          <w:ilvl w:val="2"/>
          <w:numId w:val="23"/>
        </w:numPr>
        <w:spacing w:line="240" w:lineRule="auto"/>
        <w:ind w:left="1134"/>
        <w:jc w:val="left"/>
        <w:rPr>
          <w:rFonts w:ascii="Avenir Book" w:hAnsi="Avenir Book" w:cstheme="minorHAnsi"/>
          <w:sz w:val="22"/>
          <w:szCs w:val="22"/>
        </w:rPr>
      </w:pPr>
      <w:r w:rsidRPr="005D3FA4">
        <w:rPr>
          <w:rFonts w:ascii="Avenir Book" w:hAnsi="Avenir Book"/>
          <w:sz w:val="22"/>
          <w:szCs w:val="22"/>
        </w:rPr>
        <w:lastRenderedPageBreak/>
        <w:t xml:space="preserve">Article 15 of the CRPD reaffirms the right of persons with disability to freedom from torture or cruel, inhuman or degrading treatment or punishment. </w:t>
      </w:r>
      <w:r w:rsidRPr="005D3FA4">
        <w:rPr>
          <w:rFonts w:ascii="Avenir Book" w:hAnsi="Avenir Book" w:cstheme="minorHAnsi"/>
          <w:sz w:val="22"/>
          <w:szCs w:val="22"/>
        </w:rPr>
        <w:t xml:space="preserve">Australia ratified the Optional Protocol to the Convention Against Torture and Other Cruel, Inhuman or Degrading Treatment or Punishment (OPCAT) in December 2017.  OPCAT obliges Australia to implement a National Preventive Mechanism (NPM) with powers to inspect, monitor and report on people in detention and people deprived of their liberty.  OPCAT applies more broadly than just to traditional places of detention, such as prisons and immigration detention, which is critical for people with disability who are over-represented in traditional places of detention, such as prisons and juvenile detention centres, but who are also detained in disability specific and related institutions, such as locked dementia wards, mental health facilities, residential </w:t>
      </w:r>
      <w:r w:rsidRPr="005D3FA4">
        <w:rPr>
          <w:rFonts w:ascii="Avenir Roman" w:hAnsi="Avenir Roman" w:cstheme="minorHAnsi"/>
          <w:sz w:val="22"/>
          <w:szCs w:val="22"/>
        </w:rPr>
        <w:t>accommodation, including group homes as well as educational settings, particularly</w:t>
      </w:r>
      <w:r w:rsidRPr="005D3FA4">
        <w:rPr>
          <w:rFonts w:ascii="Avenir Book" w:hAnsi="Avenir Book" w:cstheme="minorHAnsi"/>
          <w:sz w:val="22"/>
          <w:szCs w:val="22"/>
        </w:rPr>
        <w:t xml:space="preserve"> ‘time out’ and seclusion rooms and segregated areas.</w:t>
      </w:r>
      <w:r w:rsidRPr="00411C1D">
        <w:rPr>
          <w:rStyle w:val="FootnoteReference"/>
          <w:rFonts w:ascii="Avenir Book" w:hAnsi="Avenir Book" w:cstheme="minorHAnsi"/>
          <w:sz w:val="22"/>
          <w:szCs w:val="22"/>
        </w:rPr>
        <w:footnoteReference w:id="169"/>
      </w:r>
      <w:r w:rsidRPr="005D3FA4">
        <w:rPr>
          <w:rFonts w:ascii="Avenir Book" w:hAnsi="Avenir Book" w:cstheme="minorHAnsi"/>
          <w:sz w:val="22"/>
          <w:szCs w:val="22"/>
        </w:rPr>
        <w:t xml:space="preserve"> Australia is yet to finalise the design and scope of the NPM, but people with disability through their representative organisations, including WWDA, are strongly arguing for a disability inclusive NPM.</w:t>
      </w:r>
      <w:r w:rsidRPr="00411C1D">
        <w:rPr>
          <w:rStyle w:val="FootnoteReference"/>
          <w:rFonts w:ascii="Avenir Book" w:hAnsi="Avenir Book" w:cstheme="minorHAnsi"/>
          <w:sz w:val="22"/>
          <w:szCs w:val="22"/>
        </w:rPr>
        <w:footnoteReference w:id="170"/>
      </w:r>
      <w:r w:rsidRPr="005D3FA4">
        <w:rPr>
          <w:rFonts w:ascii="Avenir Book" w:hAnsi="Avenir Book" w:cstheme="minorHAnsi"/>
          <w:sz w:val="22"/>
          <w:szCs w:val="22"/>
        </w:rPr>
        <w:t xml:space="preserve"> </w:t>
      </w:r>
    </w:p>
    <w:p w14:paraId="15DD0965" w14:textId="77777777" w:rsidR="005D3FA4" w:rsidRDefault="005D3FA4" w:rsidP="000C6712">
      <w:pPr>
        <w:pStyle w:val="ListParagraph"/>
        <w:spacing w:line="240" w:lineRule="auto"/>
        <w:ind w:left="1134"/>
        <w:jc w:val="left"/>
        <w:rPr>
          <w:rFonts w:ascii="Avenir Book" w:hAnsi="Avenir Book" w:cstheme="minorHAnsi"/>
          <w:sz w:val="22"/>
          <w:szCs w:val="22"/>
        </w:rPr>
      </w:pPr>
    </w:p>
    <w:p w14:paraId="4BE3C1A2" w14:textId="185E1CAE" w:rsidR="00126CB3" w:rsidRPr="003E1526" w:rsidRDefault="005D3FA4" w:rsidP="000C6712">
      <w:pPr>
        <w:pStyle w:val="ListParagraph"/>
        <w:numPr>
          <w:ilvl w:val="2"/>
          <w:numId w:val="23"/>
        </w:numPr>
        <w:spacing w:line="240" w:lineRule="auto"/>
        <w:ind w:left="1134"/>
        <w:jc w:val="left"/>
        <w:rPr>
          <w:rFonts w:ascii="Avenir Book" w:hAnsi="Avenir Book" w:cstheme="minorHAnsi"/>
          <w:sz w:val="22"/>
          <w:szCs w:val="22"/>
        </w:rPr>
      </w:pPr>
      <w:r w:rsidRPr="005D3FA4">
        <w:rPr>
          <w:rFonts w:ascii="Avenir Book" w:hAnsi="Avenir Book" w:cstheme="minorHAnsi"/>
          <w:sz w:val="22"/>
          <w:szCs w:val="22"/>
        </w:rPr>
        <w:t>The Office of the Commonwealth Ombudsman is the NPM Coordinator for the implementation of Australia’s NPM, and it has established a civil society OPCAT Advisory Group to provide advice and guidance.</w:t>
      </w:r>
      <w:r>
        <w:rPr>
          <w:rStyle w:val="FootnoteReference"/>
          <w:rFonts w:ascii="Avenir Book" w:hAnsi="Avenir Book" w:cstheme="minorHAnsi"/>
          <w:sz w:val="22"/>
          <w:szCs w:val="22"/>
        </w:rPr>
        <w:footnoteReference w:id="171"/>
      </w:r>
      <w:r w:rsidRPr="005D3FA4">
        <w:rPr>
          <w:rFonts w:ascii="Avenir Book" w:hAnsi="Avenir Book" w:cstheme="minorHAnsi"/>
          <w:sz w:val="22"/>
          <w:szCs w:val="22"/>
        </w:rPr>
        <w:t xml:space="preserve"> OPCAT also obliges Australia to accept visits from the UN Subcommittee on the Prevention of Torture and other Cruel, Inhuman or Degrading Treatment or Punishment (SPT), and submissions for a disability inclusive NPM have been submitted to the SPT by civil society, including DPOs as part of the Australian OPCAT Network.</w:t>
      </w:r>
      <w:r w:rsidRPr="00411C1D">
        <w:rPr>
          <w:rStyle w:val="FootnoteReference"/>
          <w:rFonts w:ascii="Avenir Book" w:hAnsi="Avenir Book" w:cstheme="minorHAnsi"/>
          <w:sz w:val="22"/>
          <w:szCs w:val="22"/>
        </w:rPr>
        <w:footnoteReference w:id="172"/>
      </w:r>
      <w:r w:rsidRPr="005D3FA4">
        <w:rPr>
          <w:rFonts w:ascii="Avenir Book" w:hAnsi="Avenir Book" w:cstheme="minorHAnsi"/>
          <w:sz w:val="22"/>
          <w:szCs w:val="22"/>
        </w:rPr>
        <w:t xml:space="preserve">  While the scheduled 2020 visit to Australia by the SPT has been postponed due to the COVID-19 pandemic, the Royal Commission should constructively engage with the Commonwealth Ombudsman and the OPCAT Advisory Group in relation to the role of the NPM in preventing and monitoring places of detention for people with disability. </w:t>
      </w:r>
    </w:p>
    <w:p w14:paraId="745B63F7" w14:textId="4391EDA2" w:rsidR="005D3FA4" w:rsidRPr="007713E1" w:rsidRDefault="005D3FA4" w:rsidP="00564172">
      <w:pPr>
        <w:pStyle w:val="Heading3"/>
        <w:numPr>
          <w:ilvl w:val="1"/>
          <w:numId w:val="23"/>
        </w:numPr>
        <w:spacing w:after="120" w:line="240" w:lineRule="auto"/>
        <w:ind w:left="1134" w:hanging="708"/>
        <w:rPr>
          <w:rFonts w:ascii="Avenir Roman" w:hAnsi="Avenir Roman"/>
          <w:i/>
        </w:rPr>
      </w:pPr>
      <w:bookmarkStart w:id="124" w:name="_Toc43919165"/>
      <w:r>
        <w:rPr>
          <w:rFonts w:ascii="Avenir Roman" w:hAnsi="Avenir Roman"/>
          <w:i/>
        </w:rPr>
        <w:t>Law, policy and practice responses</w:t>
      </w:r>
      <w:bookmarkEnd w:id="124"/>
    </w:p>
    <w:p w14:paraId="44E71FF4" w14:textId="2D6140C3" w:rsidR="005D3FA4" w:rsidRDefault="00F616A5" w:rsidP="00564172">
      <w:pPr>
        <w:pStyle w:val="ListParagraph"/>
        <w:numPr>
          <w:ilvl w:val="2"/>
          <w:numId w:val="23"/>
        </w:numPr>
        <w:spacing w:line="240" w:lineRule="auto"/>
        <w:ind w:left="1134"/>
        <w:jc w:val="left"/>
        <w:rPr>
          <w:rFonts w:ascii="Avenir Book" w:hAnsi="Avenir Book" w:cstheme="minorHAnsi"/>
          <w:color w:val="191619"/>
          <w:sz w:val="22"/>
          <w:szCs w:val="22"/>
        </w:rPr>
      </w:pPr>
      <w:r w:rsidRPr="005D3FA4">
        <w:rPr>
          <w:rFonts w:ascii="Avenir Book" w:hAnsi="Avenir Book" w:cstheme="minorHAnsi"/>
          <w:color w:val="191619"/>
          <w:sz w:val="22"/>
          <w:szCs w:val="22"/>
        </w:rPr>
        <w:t>While research studies have begun to focus on the experience of violence for women and girls with disability over the past decade, the focus of these studies has largely been on the incidence and experiences of women with disability in the area of domestic and family violence.</w:t>
      </w:r>
      <w:r w:rsidRPr="00DA4323">
        <w:rPr>
          <w:rStyle w:val="FootnoteReference"/>
          <w:rFonts w:ascii="Avenir Book" w:hAnsi="Avenir Book" w:cstheme="minorHAnsi"/>
          <w:color w:val="191619"/>
          <w:sz w:val="22"/>
          <w:szCs w:val="22"/>
        </w:rPr>
        <w:footnoteReference w:id="173"/>
      </w:r>
      <w:r w:rsidRPr="005D3FA4">
        <w:rPr>
          <w:rFonts w:ascii="Avenir Book" w:hAnsi="Avenir Book" w:cstheme="minorHAnsi"/>
          <w:color w:val="191619"/>
          <w:sz w:val="22"/>
          <w:szCs w:val="22"/>
        </w:rPr>
        <w:t xml:space="preserve"> These are critical research studies largely </w:t>
      </w:r>
      <w:r w:rsidRPr="005D3FA4">
        <w:rPr>
          <w:rFonts w:ascii="Avenir Book" w:hAnsi="Avenir Book" w:cstheme="minorHAnsi"/>
          <w:color w:val="191619"/>
          <w:sz w:val="22"/>
          <w:szCs w:val="22"/>
        </w:rPr>
        <w:lastRenderedPageBreak/>
        <w:t xml:space="preserve">commissioned under the </w:t>
      </w:r>
      <w:r w:rsidRPr="005D3FA4">
        <w:rPr>
          <w:rFonts w:ascii="Avenir Book" w:hAnsi="Avenir Book" w:cstheme="minorHAnsi"/>
          <w:i/>
          <w:color w:val="191619"/>
          <w:sz w:val="22"/>
          <w:szCs w:val="22"/>
        </w:rPr>
        <w:t xml:space="preserve">National Plan to Reduce Violence Against Women and their Children 2010-2020 </w:t>
      </w:r>
      <w:r w:rsidRPr="005D3FA4">
        <w:rPr>
          <w:rFonts w:ascii="Avenir Book" w:hAnsi="Avenir Book" w:cstheme="minorHAnsi"/>
          <w:color w:val="191619"/>
          <w:sz w:val="22"/>
          <w:szCs w:val="22"/>
        </w:rPr>
        <w:t>(the National Plan</w:t>
      </w:r>
      <w:r w:rsidRPr="005D3FA4">
        <w:rPr>
          <w:rFonts w:ascii="Avenir Book" w:hAnsi="Avenir Book" w:cstheme="minorHAnsi"/>
          <w:i/>
          <w:color w:val="191619"/>
          <w:sz w:val="22"/>
          <w:szCs w:val="22"/>
        </w:rPr>
        <w:t>)</w:t>
      </w:r>
      <w:r w:rsidRPr="005D3FA4">
        <w:rPr>
          <w:rFonts w:ascii="Avenir Book" w:hAnsi="Avenir Book" w:cstheme="minorHAnsi"/>
          <w:color w:val="191619"/>
          <w:sz w:val="22"/>
          <w:szCs w:val="22"/>
        </w:rPr>
        <w:t>. However, the National Plan only focuses on domestic and family violence and sexual assault in the context of intimate partner violence and these studies reflect this context. The National Plan does not cover all forms of gender-based violence, nor the many settings and spaces in which gender-based violence occurs.  This conceals and renders invisible many of the structural, systemic and institutional forms of gender-based violence that are experienced by women and girls with disability, such as forced sterilisation, forced contraception, denial of legal capacity, forced treatment and restrictive practices;</w:t>
      </w:r>
      <w:r w:rsidR="00126CB3" w:rsidRPr="005D3FA4">
        <w:rPr>
          <w:rFonts w:ascii="Avenir Book" w:hAnsi="Avenir Book" w:cstheme="minorHAnsi"/>
          <w:color w:val="191619"/>
          <w:sz w:val="22"/>
          <w:szCs w:val="22"/>
        </w:rPr>
        <w:t xml:space="preserve"> </w:t>
      </w:r>
      <w:r w:rsidRPr="005D3FA4">
        <w:rPr>
          <w:rFonts w:ascii="Avenir Book" w:hAnsi="Avenir Book" w:cstheme="minorHAnsi"/>
          <w:color w:val="191619"/>
          <w:sz w:val="22"/>
          <w:szCs w:val="22"/>
        </w:rPr>
        <w:t>and excludes women with disability experiencing violence in institutional settings, including group homes.</w:t>
      </w:r>
      <w:r w:rsidR="00126CB3">
        <w:rPr>
          <w:rStyle w:val="FootnoteReference"/>
          <w:rFonts w:ascii="Avenir Book" w:hAnsi="Avenir Book" w:cstheme="minorHAnsi"/>
          <w:color w:val="191619"/>
          <w:sz w:val="22"/>
          <w:szCs w:val="22"/>
        </w:rPr>
        <w:footnoteReference w:id="174"/>
      </w:r>
    </w:p>
    <w:p w14:paraId="06FE34C9" w14:textId="77777777" w:rsidR="005D3FA4" w:rsidRPr="005D3FA4" w:rsidRDefault="005D3FA4" w:rsidP="000C6712">
      <w:pPr>
        <w:pStyle w:val="ListParagraph"/>
        <w:spacing w:line="240" w:lineRule="auto"/>
        <w:ind w:left="1134"/>
        <w:jc w:val="left"/>
        <w:rPr>
          <w:rFonts w:ascii="Avenir Book" w:hAnsi="Avenir Book" w:cstheme="minorHAnsi"/>
          <w:color w:val="191619"/>
          <w:sz w:val="22"/>
          <w:szCs w:val="22"/>
        </w:rPr>
      </w:pPr>
    </w:p>
    <w:p w14:paraId="0F87D562" w14:textId="71D3B60C" w:rsidR="00EF3D50" w:rsidRPr="005D3FA4" w:rsidRDefault="006737D3" w:rsidP="00564172">
      <w:pPr>
        <w:pStyle w:val="ListParagraph"/>
        <w:numPr>
          <w:ilvl w:val="2"/>
          <w:numId w:val="23"/>
        </w:numPr>
        <w:spacing w:line="240" w:lineRule="auto"/>
        <w:ind w:left="1134"/>
        <w:jc w:val="left"/>
        <w:rPr>
          <w:rFonts w:ascii="Avenir Book" w:hAnsi="Avenir Book" w:cstheme="minorHAnsi"/>
          <w:sz w:val="22"/>
          <w:szCs w:val="22"/>
        </w:rPr>
      </w:pPr>
      <w:r w:rsidRPr="005D3FA4">
        <w:rPr>
          <w:rFonts w:ascii="Avenir Roman" w:hAnsi="Avenir Roman"/>
          <w:sz w:val="22"/>
          <w:szCs w:val="22"/>
        </w:rPr>
        <w:t>The NDS acknowledges the range of evidence that demonstrates that people with disability are at greater risk of violence, abuse, neglect and exploitation, that violence is more common in institutional contexts and that women with disability face greater risks.</w:t>
      </w:r>
      <w:r w:rsidR="000F69F6">
        <w:rPr>
          <w:rStyle w:val="FootnoteReference"/>
          <w:rFonts w:ascii="Avenir Roman" w:hAnsi="Avenir Roman"/>
          <w:sz w:val="22"/>
          <w:szCs w:val="22"/>
        </w:rPr>
        <w:footnoteReference w:id="175"/>
      </w:r>
      <w:r w:rsidRPr="005D3FA4">
        <w:rPr>
          <w:rFonts w:ascii="Avenir Roman" w:hAnsi="Avenir Roman"/>
          <w:sz w:val="22"/>
          <w:szCs w:val="22"/>
        </w:rPr>
        <w:t xml:space="preserve"> However, over the ten-year life of the NDS, the only actions outlined to address this situation have focused on the implementation of the National Plan and consideration of the recommendations from the Senate Inquiry.  As noted, the National Plan only addresses intimate partner violence to the exclusion of </w:t>
      </w:r>
      <w:r w:rsidR="00890B33" w:rsidRPr="005D3FA4">
        <w:rPr>
          <w:rFonts w:ascii="Avenir Roman" w:hAnsi="Avenir Roman"/>
          <w:sz w:val="22"/>
          <w:szCs w:val="22"/>
        </w:rPr>
        <w:t>other forms of</w:t>
      </w:r>
      <w:r w:rsidRPr="005D3FA4">
        <w:rPr>
          <w:rFonts w:ascii="Avenir Roman" w:hAnsi="Avenir Roman"/>
          <w:sz w:val="22"/>
          <w:szCs w:val="22"/>
        </w:rPr>
        <w:t xml:space="preserve"> gender-based violence experienced by women with disability </w:t>
      </w:r>
      <w:r w:rsidR="00890B33" w:rsidRPr="005D3FA4">
        <w:rPr>
          <w:rFonts w:ascii="Avenir Roman" w:hAnsi="Avenir Roman"/>
          <w:sz w:val="22"/>
          <w:szCs w:val="22"/>
        </w:rPr>
        <w:t xml:space="preserve">within </w:t>
      </w:r>
      <w:r w:rsidRPr="005D3FA4">
        <w:rPr>
          <w:rFonts w:ascii="Avenir Roman" w:hAnsi="Avenir Roman"/>
          <w:sz w:val="22"/>
          <w:szCs w:val="22"/>
        </w:rPr>
        <w:t xml:space="preserve">the variety of settings where they live. The Australian Government’s response to the recommendations from the Senate Inquiry was the establishment of the NDIS Quality and Safeguards Commission, and the referral of </w:t>
      </w:r>
      <w:r w:rsidR="000F69F6" w:rsidRPr="005D3FA4">
        <w:rPr>
          <w:rFonts w:ascii="Avenir Roman" w:hAnsi="Avenir Roman"/>
          <w:sz w:val="22"/>
          <w:szCs w:val="22"/>
        </w:rPr>
        <w:t xml:space="preserve">the </w:t>
      </w:r>
      <w:r w:rsidRPr="005D3FA4">
        <w:rPr>
          <w:rFonts w:ascii="Avenir Roman" w:hAnsi="Avenir Roman"/>
          <w:sz w:val="22"/>
          <w:szCs w:val="22"/>
        </w:rPr>
        <w:t>majority of recommendations to the States and Territories.  The coverage of the NDIS Quality and Safeguards Commission is limited to NDIS service providers and participants</w:t>
      </w:r>
      <w:r w:rsidR="00890B33" w:rsidRPr="005D3FA4">
        <w:rPr>
          <w:rFonts w:ascii="Avenir Roman" w:hAnsi="Avenir Roman"/>
          <w:sz w:val="22"/>
          <w:szCs w:val="22"/>
        </w:rPr>
        <w:t>,</w:t>
      </w:r>
      <w:r w:rsidRPr="005D3FA4">
        <w:rPr>
          <w:rFonts w:ascii="Avenir Roman" w:hAnsi="Avenir Roman"/>
          <w:sz w:val="22"/>
          <w:szCs w:val="22"/>
        </w:rPr>
        <w:t xml:space="preserve"> and does not have a clear focus on the gender dimensions of violence, abuse, neglect and exploitation. </w:t>
      </w:r>
    </w:p>
    <w:p w14:paraId="61FBDB59" w14:textId="77777777" w:rsidR="005D3FA4" w:rsidRPr="005D3FA4" w:rsidRDefault="005D3FA4" w:rsidP="000C6712">
      <w:pPr>
        <w:pStyle w:val="ListParagraph"/>
        <w:spacing w:line="240" w:lineRule="auto"/>
        <w:ind w:left="1134"/>
        <w:jc w:val="left"/>
        <w:rPr>
          <w:rFonts w:ascii="Avenir Book" w:hAnsi="Avenir Book" w:cstheme="minorHAnsi"/>
          <w:sz w:val="22"/>
          <w:szCs w:val="22"/>
        </w:rPr>
      </w:pPr>
    </w:p>
    <w:p w14:paraId="0FFCE594" w14:textId="666F07F1" w:rsidR="00F616A5" w:rsidRDefault="006737D3" w:rsidP="00564172">
      <w:pPr>
        <w:pStyle w:val="ListParagraph"/>
        <w:numPr>
          <w:ilvl w:val="2"/>
          <w:numId w:val="23"/>
        </w:numPr>
        <w:spacing w:line="240" w:lineRule="auto"/>
        <w:ind w:left="1134"/>
        <w:jc w:val="left"/>
        <w:rPr>
          <w:rFonts w:ascii="Avenir Book" w:hAnsi="Avenir Book" w:cstheme="minorHAnsi"/>
          <w:sz w:val="22"/>
          <w:szCs w:val="22"/>
        </w:rPr>
      </w:pPr>
      <w:r w:rsidRPr="005D3FA4">
        <w:rPr>
          <w:rFonts w:ascii="Avenir Roman" w:hAnsi="Avenir Roman" w:cstheme="minorHAnsi"/>
          <w:sz w:val="22"/>
          <w:szCs w:val="22"/>
        </w:rPr>
        <w:t xml:space="preserve">The </w:t>
      </w:r>
      <w:r w:rsidR="008961F9" w:rsidRPr="005D3FA4">
        <w:rPr>
          <w:rFonts w:ascii="Avenir Roman" w:hAnsi="Avenir Roman" w:cstheme="minorHAnsi"/>
          <w:sz w:val="22"/>
          <w:szCs w:val="22"/>
        </w:rPr>
        <w:t xml:space="preserve">report from the </w:t>
      </w:r>
      <w:r w:rsidRPr="005D3FA4">
        <w:rPr>
          <w:rFonts w:ascii="Avenir Roman" w:hAnsi="Avenir Roman" w:cstheme="minorHAnsi"/>
          <w:sz w:val="22"/>
          <w:szCs w:val="22"/>
        </w:rPr>
        <w:t>Sena</w:t>
      </w:r>
      <w:r w:rsidRPr="005D3FA4">
        <w:rPr>
          <w:rFonts w:ascii="Avenir Book" w:hAnsi="Avenir Book" w:cstheme="minorHAnsi"/>
          <w:sz w:val="22"/>
          <w:szCs w:val="22"/>
        </w:rPr>
        <w:t xml:space="preserve">te Inquiry recommended that the NDS should be amended to ensure </w:t>
      </w:r>
      <w:r w:rsidR="005821C8" w:rsidRPr="005D3FA4">
        <w:rPr>
          <w:rFonts w:ascii="Avenir Book" w:hAnsi="Avenir Book" w:cstheme="minorHAnsi"/>
          <w:sz w:val="22"/>
          <w:szCs w:val="22"/>
        </w:rPr>
        <w:t xml:space="preserve">linkages with domestic violence frameworks and implementation of </w:t>
      </w:r>
      <w:r w:rsidRPr="005D3FA4">
        <w:rPr>
          <w:rFonts w:ascii="Avenir Book" w:hAnsi="Avenir Book" w:cstheme="minorHAnsi"/>
          <w:sz w:val="22"/>
          <w:szCs w:val="22"/>
        </w:rPr>
        <w:t>specific actions to address violence, abuse and neglect of people with disability</w:t>
      </w:r>
      <w:r w:rsidR="005821C8" w:rsidRPr="005D3FA4">
        <w:rPr>
          <w:rFonts w:ascii="Avenir Book" w:hAnsi="Avenir Book" w:cstheme="minorHAnsi"/>
          <w:sz w:val="22"/>
          <w:szCs w:val="22"/>
        </w:rPr>
        <w:t xml:space="preserve">; and </w:t>
      </w:r>
      <w:r w:rsidR="000F69F6" w:rsidRPr="005D3FA4">
        <w:rPr>
          <w:rFonts w:ascii="Avenir Book" w:hAnsi="Avenir Book" w:cstheme="minorHAnsi"/>
          <w:sz w:val="22"/>
          <w:szCs w:val="22"/>
        </w:rPr>
        <w:t xml:space="preserve">that </w:t>
      </w:r>
      <w:r w:rsidRPr="005D3FA4">
        <w:rPr>
          <w:rFonts w:ascii="Avenir Book" w:hAnsi="Avenir Book" w:cstheme="minorHAnsi"/>
          <w:sz w:val="22"/>
          <w:szCs w:val="22"/>
        </w:rPr>
        <w:t xml:space="preserve">the National Plan should be amended to </w:t>
      </w:r>
      <w:r w:rsidR="005821C8" w:rsidRPr="005D3FA4">
        <w:rPr>
          <w:rFonts w:ascii="Avenir Book" w:hAnsi="Avenir Book" w:cstheme="minorHAnsi"/>
          <w:sz w:val="22"/>
          <w:szCs w:val="22"/>
        </w:rPr>
        <w:t>cover</w:t>
      </w:r>
      <w:r w:rsidRPr="005D3FA4">
        <w:rPr>
          <w:rFonts w:ascii="Avenir Book" w:hAnsi="Avenir Book" w:cstheme="minorHAnsi"/>
          <w:sz w:val="22"/>
          <w:szCs w:val="22"/>
        </w:rPr>
        <w:t xml:space="preserve"> institutional accommodation settings.</w:t>
      </w:r>
      <w:r w:rsidR="005821C8">
        <w:rPr>
          <w:rStyle w:val="FootnoteReference"/>
          <w:rFonts w:ascii="Avenir Book" w:hAnsi="Avenir Book" w:cstheme="minorHAnsi"/>
          <w:sz w:val="22"/>
          <w:szCs w:val="22"/>
        </w:rPr>
        <w:footnoteReference w:id="176"/>
      </w:r>
      <w:r w:rsidR="009122FA" w:rsidRPr="005D3FA4">
        <w:rPr>
          <w:rFonts w:ascii="Avenir Book" w:hAnsi="Avenir Book" w:cstheme="minorHAnsi"/>
          <w:sz w:val="22"/>
          <w:szCs w:val="22"/>
        </w:rPr>
        <w:t xml:space="preserve"> </w:t>
      </w:r>
    </w:p>
    <w:p w14:paraId="61CCA6A2" w14:textId="77777777" w:rsidR="005D3FA4" w:rsidRPr="005D3FA4" w:rsidRDefault="005D3FA4" w:rsidP="000C6712">
      <w:pPr>
        <w:pStyle w:val="ListParagraph"/>
        <w:spacing w:line="240" w:lineRule="auto"/>
        <w:jc w:val="left"/>
        <w:rPr>
          <w:rFonts w:ascii="Avenir Book" w:hAnsi="Avenir Book" w:cstheme="minorHAnsi"/>
          <w:sz w:val="22"/>
          <w:szCs w:val="22"/>
        </w:rPr>
      </w:pPr>
    </w:p>
    <w:p w14:paraId="7C70278A" w14:textId="4935488C" w:rsidR="004C198B" w:rsidRDefault="004C198B" w:rsidP="00564172">
      <w:pPr>
        <w:pStyle w:val="ListParagraph"/>
        <w:numPr>
          <w:ilvl w:val="2"/>
          <w:numId w:val="23"/>
        </w:numPr>
        <w:spacing w:after="0" w:line="240" w:lineRule="auto"/>
        <w:ind w:left="1134"/>
        <w:contextualSpacing w:val="0"/>
        <w:jc w:val="left"/>
        <w:rPr>
          <w:rFonts w:ascii="Avenir Book" w:hAnsi="Avenir Book" w:cstheme="minorHAnsi"/>
          <w:sz w:val="22"/>
          <w:szCs w:val="22"/>
        </w:rPr>
      </w:pPr>
      <w:r w:rsidRPr="005D3FA4">
        <w:rPr>
          <w:rFonts w:ascii="Avenir Book" w:hAnsi="Avenir Book" w:cstheme="minorHAnsi"/>
          <w:sz w:val="22"/>
          <w:szCs w:val="22"/>
        </w:rPr>
        <w:t xml:space="preserve">The NDIS does not have a risk assessment process for identifying and responding to violence against people with disability, including identifying and responding to gender-based violence. Although the NDIS provides information on safeguards for </w:t>
      </w:r>
      <w:r w:rsidRPr="005D3FA4">
        <w:rPr>
          <w:rFonts w:ascii="Avenir Book" w:hAnsi="Avenir Book" w:cstheme="minorHAnsi"/>
          <w:sz w:val="22"/>
          <w:szCs w:val="22"/>
        </w:rPr>
        <w:lastRenderedPageBreak/>
        <w:t>NDIS participants to prevent the “risk of harm, abuse, neglect or exploitation”,</w:t>
      </w:r>
      <w:r>
        <w:rPr>
          <w:rStyle w:val="FootnoteReference"/>
          <w:rFonts w:ascii="Avenir Book" w:hAnsi="Avenir Book" w:cstheme="minorHAnsi"/>
          <w:sz w:val="22"/>
          <w:szCs w:val="22"/>
        </w:rPr>
        <w:footnoteReference w:id="177"/>
      </w:r>
      <w:r w:rsidRPr="005D3FA4">
        <w:rPr>
          <w:rFonts w:ascii="Avenir Book" w:hAnsi="Avenir Book" w:cstheme="minorHAnsi"/>
          <w:sz w:val="22"/>
          <w:szCs w:val="22"/>
        </w:rPr>
        <w:t xml:space="preserve"> and to identify individualised strategies within the planning process, these strategies are focused on the provision of advocates, guardians, nominees, service system protocols and external monitoring and complaints mechanisms. </w:t>
      </w:r>
    </w:p>
    <w:p w14:paraId="06EC996D" w14:textId="77777777" w:rsidR="00A86322" w:rsidRPr="00A86322" w:rsidRDefault="00A86322" w:rsidP="00A86322">
      <w:pPr>
        <w:pStyle w:val="ListParagraph"/>
        <w:rPr>
          <w:rFonts w:ascii="Avenir Book" w:hAnsi="Avenir Book" w:cstheme="minorHAnsi"/>
          <w:sz w:val="22"/>
          <w:szCs w:val="22"/>
        </w:rPr>
      </w:pPr>
    </w:p>
    <w:p w14:paraId="3EF5B891" w14:textId="46D80774" w:rsidR="00BF4A0F" w:rsidRPr="000C6712" w:rsidRDefault="00BF4A0F" w:rsidP="000C6712">
      <w:pPr>
        <w:spacing w:line="240" w:lineRule="auto"/>
        <w:jc w:val="left"/>
        <w:rPr>
          <w:rFonts w:ascii="Avenir Roman" w:hAnsi="Avenir Roman" w:cstheme="minorHAnsi"/>
          <w:b/>
          <w:color w:val="AC1F79"/>
          <w:sz w:val="22"/>
          <w:szCs w:val="22"/>
        </w:rPr>
      </w:pPr>
      <w:r w:rsidRPr="000C6712">
        <w:rPr>
          <w:rFonts w:ascii="Avenir Roman" w:hAnsi="Avenir Roman" w:cstheme="minorHAnsi"/>
          <w:b/>
          <w:color w:val="AC1F79"/>
          <w:sz w:val="22"/>
          <w:szCs w:val="22"/>
        </w:rPr>
        <w:t>Recommendations</w:t>
      </w:r>
    </w:p>
    <w:p w14:paraId="3C147594" w14:textId="4E5B9F7D" w:rsidR="004C4470" w:rsidRPr="000C6712" w:rsidRDefault="00BE053D" w:rsidP="00564172">
      <w:pPr>
        <w:pStyle w:val="ListParagraph"/>
        <w:numPr>
          <w:ilvl w:val="0"/>
          <w:numId w:val="12"/>
        </w:numPr>
        <w:snapToGrid w:val="0"/>
        <w:spacing w:line="240" w:lineRule="auto"/>
        <w:ind w:left="426" w:hanging="426"/>
        <w:jc w:val="left"/>
        <w:rPr>
          <w:rFonts w:ascii="Avenir Roman" w:hAnsi="Avenir Roman" w:cstheme="minorHAnsi"/>
          <w:sz w:val="22"/>
          <w:szCs w:val="22"/>
        </w:rPr>
      </w:pPr>
      <w:r w:rsidRPr="000C6712">
        <w:rPr>
          <w:rFonts w:ascii="Avenir Roman" w:hAnsi="Avenir Roman" w:cstheme="minorHAnsi"/>
          <w:sz w:val="22"/>
          <w:szCs w:val="22"/>
        </w:rPr>
        <w:t>Australia should c</w:t>
      </w:r>
      <w:r w:rsidR="00BF4A0F" w:rsidRPr="000C6712">
        <w:rPr>
          <w:rFonts w:ascii="Avenir Roman" w:hAnsi="Avenir Roman" w:cstheme="minorHAnsi"/>
          <w:sz w:val="22"/>
          <w:szCs w:val="22"/>
        </w:rPr>
        <w:t xml:space="preserve">ommission a comprehensive assessment, using intersectional research methodologies, on the situation and rights of women and girls with disability in Australia, in order to establish a baseline of disaggregated data and intersectional evidence to measure progress toward implementation of CRPD in all areas, including in the area of </w:t>
      </w:r>
      <w:r w:rsidR="00792CAC" w:rsidRPr="000C6712">
        <w:rPr>
          <w:rFonts w:ascii="Avenir Roman" w:hAnsi="Avenir Roman" w:cstheme="minorHAnsi"/>
          <w:sz w:val="22"/>
          <w:szCs w:val="22"/>
        </w:rPr>
        <w:t>independently living and being included in the community.</w:t>
      </w:r>
    </w:p>
    <w:p w14:paraId="2AA7E9CA" w14:textId="77777777" w:rsidR="00FE09EF" w:rsidRPr="000C6712" w:rsidRDefault="00FE09EF" w:rsidP="000C6712">
      <w:pPr>
        <w:pStyle w:val="ListParagraph"/>
        <w:snapToGrid w:val="0"/>
        <w:spacing w:line="240" w:lineRule="auto"/>
        <w:ind w:left="0"/>
        <w:jc w:val="left"/>
        <w:rPr>
          <w:rFonts w:ascii="Avenir Roman" w:hAnsi="Avenir Roman" w:cstheme="minorHAnsi"/>
          <w:sz w:val="22"/>
          <w:szCs w:val="22"/>
        </w:rPr>
      </w:pPr>
    </w:p>
    <w:p w14:paraId="4451CB2E" w14:textId="7A0B20FC" w:rsidR="00BF4A0F" w:rsidRPr="000C6712" w:rsidRDefault="00BE053D" w:rsidP="00564172">
      <w:pPr>
        <w:pStyle w:val="ListParagraph"/>
        <w:numPr>
          <w:ilvl w:val="0"/>
          <w:numId w:val="12"/>
        </w:numPr>
        <w:snapToGrid w:val="0"/>
        <w:spacing w:line="240" w:lineRule="auto"/>
        <w:ind w:left="426" w:hanging="426"/>
        <w:jc w:val="left"/>
        <w:rPr>
          <w:rFonts w:ascii="Avenir Roman" w:hAnsi="Avenir Roman" w:cstheme="minorHAnsi"/>
          <w:sz w:val="22"/>
          <w:szCs w:val="22"/>
        </w:rPr>
      </w:pPr>
      <w:r w:rsidRPr="000C6712">
        <w:rPr>
          <w:rFonts w:ascii="Avenir Roman" w:hAnsi="Avenir Roman" w:cstheme="minorHAnsi"/>
          <w:sz w:val="22"/>
          <w:szCs w:val="22"/>
        </w:rPr>
        <w:t>Australian governments should i</w:t>
      </w:r>
      <w:r w:rsidR="00BF4A0F" w:rsidRPr="000C6712">
        <w:rPr>
          <w:rFonts w:ascii="Avenir Roman" w:hAnsi="Avenir Roman" w:cstheme="minorHAnsi"/>
          <w:sz w:val="22"/>
          <w:szCs w:val="22"/>
        </w:rPr>
        <w:t>mplement a nationally consistent framework to enable the collection</w:t>
      </w:r>
      <w:r w:rsidR="003B1AFE" w:rsidRPr="000C6712">
        <w:rPr>
          <w:rFonts w:ascii="Avenir Roman" w:hAnsi="Avenir Roman" w:cstheme="minorHAnsi"/>
          <w:sz w:val="22"/>
          <w:szCs w:val="22"/>
        </w:rPr>
        <w:t xml:space="preserve">, </w:t>
      </w:r>
      <w:r w:rsidR="00BF4A0F" w:rsidRPr="000C6712">
        <w:rPr>
          <w:rFonts w:ascii="Avenir Roman" w:hAnsi="Avenir Roman" w:cstheme="minorHAnsi"/>
          <w:sz w:val="22"/>
          <w:szCs w:val="22"/>
        </w:rPr>
        <w:t xml:space="preserve">analysis </w:t>
      </w:r>
      <w:r w:rsidR="003B1AFE" w:rsidRPr="000C6712">
        <w:rPr>
          <w:rFonts w:ascii="Avenir Roman" w:hAnsi="Avenir Roman" w:cstheme="minorHAnsi"/>
          <w:sz w:val="22"/>
          <w:szCs w:val="22"/>
        </w:rPr>
        <w:t xml:space="preserve">and public reporting </w:t>
      </w:r>
      <w:r w:rsidR="00BF4A0F" w:rsidRPr="000C6712">
        <w:rPr>
          <w:rFonts w:ascii="Avenir Roman" w:hAnsi="Avenir Roman" w:cstheme="minorHAnsi"/>
          <w:sz w:val="22"/>
          <w:szCs w:val="22"/>
        </w:rPr>
        <w:t>of disaggregated data across all jurisdictions, on all forms of gender</w:t>
      </w:r>
      <w:r w:rsidR="00792CAC" w:rsidRPr="000C6712">
        <w:rPr>
          <w:rFonts w:ascii="Avenir Roman" w:hAnsi="Avenir Roman" w:cstheme="minorHAnsi"/>
          <w:sz w:val="22"/>
          <w:szCs w:val="22"/>
        </w:rPr>
        <w:t>-based</w:t>
      </w:r>
      <w:r w:rsidR="00BF4A0F" w:rsidRPr="000C6712">
        <w:rPr>
          <w:rFonts w:ascii="Avenir Roman" w:hAnsi="Avenir Roman" w:cstheme="minorHAnsi"/>
          <w:sz w:val="22"/>
          <w:szCs w:val="22"/>
        </w:rPr>
        <w:t xml:space="preserve"> violence, abuse, neglect and exploitation experienced by women and girls with disability. </w:t>
      </w:r>
    </w:p>
    <w:p w14:paraId="6E34E69D" w14:textId="77777777" w:rsidR="00D9276F" w:rsidRPr="000C6712" w:rsidRDefault="00D9276F" w:rsidP="000C6712">
      <w:pPr>
        <w:pStyle w:val="ListParagraph"/>
        <w:spacing w:line="240" w:lineRule="auto"/>
        <w:jc w:val="left"/>
        <w:rPr>
          <w:rFonts w:ascii="Avenir Roman" w:hAnsi="Avenir Roman" w:cstheme="minorHAnsi"/>
          <w:sz w:val="22"/>
          <w:szCs w:val="22"/>
        </w:rPr>
      </w:pPr>
    </w:p>
    <w:p w14:paraId="7A4127D7" w14:textId="2609FFC7" w:rsidR="00DA1A2C" w:rsidRPr="000C6712" w:rsidRDefault="00D9276F" w:rsidP="00564172">
      <w:pPr>
        <w:pStyle w:val="ListParagraph"/>
        <w:numPr>
          <w:ilvl w:val="0"/>
          <w:numId w:val="12"/>
        </w:numPr>
        <w:snapToGrid w:val="0"/>
        <w:spacing w:after="0" w:line="240" w:lineRule="auto"/>
        <w:ind w:left="426" w:hanging="426"/>
        <w:contextualSpacing w:val="0"/>
        <w:jc w:val="left"/>
        <w:rPr>
          <w:rFonts w:ascii="Avenir Roman" w:hAnsi="Avenir Roman" w:cstheme="minorHAnsi"/>
          <w:sz w:val="22"/>
          <w:szCs w:val="22"/>
        </w:rPr>
      </w:pPr>
      <w:r w:rsidRPr="000C6712">
        <w:rPr>
          <w:rFonts w:ascii="Avenir Roman" w:hAnsi="Avenir Roman" w:cstheme="minorHAnsi"/>
          <w:sz w:val="22"/>
          <w:szCs w:val="22"/>
        </w:rPr>
        <w:t xml:space="preserve">The Australian Bureau of Statistics (ABS) should address the methodological restrictions and limitations of the Personal Safety Survey (PSS) </w:t>
      </w:r>
      <w:r w:rsidR="00DA1A2C" w:rsidRPr="000C6712">
        <w:rPr>
          <w:rFonts w:ascii="Avenir Roman" w:hAnsi="Avenir Roman" w:cs="Arial"/>
          <w:bCs/>
          <w:sz w:val="22"/>
          <w:szCs w:val="22"/>
        </w:rPr>
        <w:t xml:space="preserve">in order to ensure a more accurate and comprehensive picture of gender-based violence in Australia. </w:t>
      </w:r>
    </w:p>
    <w:p w14:paraId="68A643AA" w14:textId="77777777" w:rsidR="00192CF6" w:rsidRPr="000C6712" w:rsidRDefault="00192CF6" w:rsidP="000C6712">
      <w:pPr>
        <w:snapToGrid w:val="0"/>
        <w:spacing w:after="0" w:line="240" w:lineRule="auto"/>
        <w:jc w:val="left"/>
        <w:rPr>
          <w:rFonts w:ascii="Avenir Roman" w:hAnsi="Avenir Roman" w:cstheme="minorHAnsi"/>
          <w:sz w:val="22"/>
          <w:szCs w:val="22"/>
        </w:rPr>
      </w:pPr>
    </w:p>
    <w:p w14:paraId="1253F186" w14:textId="66B47424" w:rsidR="00D9276F" w:rsidRPr="000C6712" w:rsidRDefault="00D9276F" w:rsidP="00564172">
      <w:pPr>
        <w:pStyle w:val="ListParagraph"/>
        <w:numPr>
          <w:ilvl w:val="0"/>
          <w:numId w:val="12"/>
        </w:numPr>
        <w:snapToGrid w:val="0"/>
        <w:spacing w:line="240" w:lineRule="auto"/>
        <w:ind w:left="426" w:hanging="426"/>
        <w:jc w:val="left"/>
        <w:rPr>
          <w:rFonts w:ascii="Avenir Roman" w:hAnsi="Avenir Roman" w:cstheme="minorHAnsi"/>
          <w:sz w:val="22"/>
          <w:szCs w:val="22"/>
        </w:rPr>
      </w:pPr>
      <w:r w:rsidRPr="000C6712">
        <w:rPr>
          <w:rFonts w:ascii="Avenir Roman" w:hAnsi="Avenir Roman" w:cs="Calibri"/>
          <w:sz w:val="22"/>
          <w:szCs w:val="22"/>
        </w:rPr>
        <w:t xml:space="preserve">Australian governments should develop nationally consistent legislation on the prevention of all forms of gender-based violence for all women and girls that reflects the definition of ‘gender-based violence’ outlined in the </w:t>
      </w:r>
      <w:r w:rsidRPr="000C6712">
        <w:rPr>
          <w:rFonts w:ascii="Avenir Roman" w:hAnsi="Avenir Roman"/>
          <w:sz w:val="22"/>
          <w:szCs w:val="22"/>
        </w:rPr>
        <w:t>Committee on the Elimination of All Forms of Discrimination Against Women (CEDAW) General Recommendation 35 ‘Gender-based Violence Against Women’ (2017).</w:t>
      </w:r>
    </w:p>
    <w:p w14:paraId="116E4AFE" w14:textId="77777777" w:rsidR="00192CF6" w:rsidRPr="000C6712" w:rsidRDefault="00192CF6" w:rsidP="000C6712">
      <w:pPr>
        <w:pStyle w:val="ListParagraph"/>
        <w:spacing w:line="240" w:lineRule="auto"/>
        <w:jc w:val="left"/>
        <w:rPr>
          <w:rFonts w:ascii="Avenir Roman" w:hAnsi="Avenir Roman" w:cstheme="minorHAnsi"/>
          <w:sz w:val="22"/>
          <w:szCs w:val="22"/>
        </w:rPr>
      </w:pPr>
    </w:p>
    <w:p w14:paraId="031A7362" w14:textId="77777777" w:rsidR="00192CF6" w:rsidRPr="000C6712" w:rsidRDefault="00192CF6" w:rsidP="00564172">
      <w:pPr>
        <w:pStyle w:val="ListParagraph"/>
        <w:numPr>
          <w:ilvl w:val="0"/>
          <w:numId w:val="30"/>
        </w:numPr>
        <w:snapToGrid w:val="0"/>
        <w:spacing w:after="0" w:line="240" w:lineRule="auto"/>
        <w:ind w:left="426" w:hanging="426"/>
        <w:contextualSpacing w:val="0"/>
        <w:jc w:val="left"/>
        <w:rPr>
          <w:rFonts w:ascii="Avenir Roman" w:hAnsi="Avenir Roman" w:cstheme="minorHAnsi"/>
          <w:sz w:val="22"/>
          <w:szCs w:val="22"/>
        </w:rPr>
      </w:pPr>
      <w:r w:rsidRPr="000C6712">
        <w:rPr>
          <w:rFonts w:ascii="Avenir Roman" w:hAnsi="Avenir Roman" w:cstheme="minorHAnsi"/>
          <w:sz w:val="22"/>
          <w:szCs w:val="22"/>
        </w:rPr>
        <w:t xml:space="preserve">The Royal Commission should specifically examine the area of sexual and reproductive rights for people with disability, with a particular focus on women and girls with disability. </w:t>
      </w:r>
    </w:p>
    <w:p w14:paraId="28C9389D" w14:textId="77777777" w:rsidR="00192CF6" w:rsidRPr="000C6712" w:rsidRDefault="00192CF6" w:rsidP="00A86322">
      <w:pPr>
        <w:spacing w:after="0" w:line="240" w:lineRule="auto"/>
        <w:jc w:val="left"/>
        <w:rPr>
          <w:rFonts w:ascii="Avenir Roman" w:hAnsi="Avenir Roman" w:cstheme="minorHAnsi"/>
          <w:sz w:val="22"/>
          <w:szCs w:val="22"/>
        </w:rPr>
      </w:pPr>
    </w:p>
    <w:p w14:paraId="4A8DB9DA" w14:textId="77777777" w:rsidR="00192CF6" w:rsidRPr="000C6712" w:rsidRDefault="00192CF6" w:rsidP="00564172">
      <w:pPr>
        <w:pStyle w:val="ListParagraph"/>
        <w:numPr>
          <w:ilvl w:val="0"/>
          <w:numId w:val="8"/>
        </w:numPr>
        <w:snapToGrid w:val="0"/>
        <w:spacing w:after="120" w:line="240" w:lineRule="auto"/>
        <w:ind w:left="425" w:hanging="425"/>
        <w:contextualSpacing w:val="0"/>
        <w:jc w:val="left"/>
        <w:rPr>
          <w:rFonts w:ascii="Avenir Roman" w:hAnsi="Avenir Roman" w:cstheme="minorHAnsi"/>
          <w:sz w:val="22"/>
          <w:szCs w:val="22"/>
        </w:rPr>
      </w:pPr>
      <w:r w:rsidRPr="000C6712">
        <w:rPr>
          <w:rFonts w:ascii="Avenir Roman" w:hAnsi="Avenir Roman" w:cstheme="minorHAnsi"/>
          <w:sz w:val="22"/>
          <w:szCs w:val="22"/>
        </w:rPr>
        <w:t>The Royal Commission should explicitly recognise restrictive practices as violations of article 15 of the CRPD and violations of the Convention against Torture and other Cruel, Inhuman or Degrading Treatment or Punishment (CAT), and as part of its examination of these practices, it should:</w:t>
      </w:r>
    </w:p>
    <w:p w14:paraId="3A1FB05F" w14:textId="77777777" w:rsidR="00192CF6" w:rsidRPr="00EA5017" w:rsidRDefault="00192CF6" w:rsidP="00EA5017">
      <w:pPr>
        <w:pStyle w:val="ListParagraph"/>
        <w:numPr>
          <w:ilvl w:val="0"/>
          <w:numId w:val="8"/>
        </w:numPr>
        <w:spacing w:after="120" w:line="240" w:lineRule="auto"/>
        <w:jc w:val="left"/>
        <w:rPr>
          <w:rFonts w:ascii="Avenir Roman" w:hAnsi="Avenir Roman" w:cstheme="minorHAnsi"/>
          <w:sz w:val="22"/>
          <w:szCs w:val="22"/>
        </w:rPr>
      </w:pPr>
      <w:r w:rsidRPr="00EA5017">
        <w:rPr>
          <w:rFonts w:ascii="Avenir Roman" w:hAnsi="Avenir Roman" w:cstheme="minorHAnsi"/>
          <w:sz w:val="22"/>
          <w:szCs w:val="22"/>
        </w:rPr>
        <w:t>Examine the adequacy of the oversight function of the NDIS Quality and Safeguards Commission in relation to the elimination of restrictive practices, and the gaps in oversight for people with disability who are not NDIS participants;</w:t>
      </w:r>
    </w:p>
    <w:p w14:paraId="6CBDED9F" w14:textId="77777777" w:rsidR="00192CF6" w:rsidRPr="00EA5017" w:rsidRDefault="00192CF6" w:rsidP="00EA5017">
      <w:pPr>
        <w:pStyle w:val="ListParagraph"/>
        <w:numPr>
          <w:ilvl w:val="0"/>
          <w:numId w:val="8"/>
        </w:numPr>
        <w:spacing w:after="120" w:line="240" w:lineRule="auto"/>
        <w:jc w:val="left"/>
        <w:rPr>
          <w:rFonts w:ascii="Avenir Roman" w:hAnsi="Avenir Roman" w:cstheme="minorHAnsi"/>
          <w:sz w:val="22"/>
          <w:szCs w:val="22"/>
        </w:rPr>
      </w:pPr>
      <w:r w:rsidRPr="00EA5017">
        <w:rPr>
          <w:rFonts w:ascii="Avenir Roman" w:hAnsi="Avenir Roman" w:cstheme="minorHAnsi"/>
          <w:sz w:val="22"/>
          <w:szCs w:val="22"/>
        </w:rPr>
        <w:t xml:space="preserve">Actively engage with the Commonwealth Ombudsman and its OPCAT Advisory Group, with the aim of discussing the evidence it has received regarding torture and ill-treatment, and to demonstrate support for the design and scope of the Australian National </w:t>
      </w:r>
      <w:r w:rsidRPr="00EA5017">
        <w:rPr>
          <w:rFonts w:ascii="Avenir Roman" w:hAnsi="Avenir Roman" w:cstheme="minorHAnsi"/>
          <w:sz w:val="22"/>
          <w:szCs w:val="22"/>
        </w:rPr>
        <w:lastRenderedPageBreak/>
        <w:t xml:space="preserve">Preventive Mechanism (NPM) to be disability inclusive, including for the inclusion of disability specific places of detention, such as segregated living arrangements; </w:t>
      </w:r>
    </w:p>
    <w:p w14:paraId="4D51E70B" w14:textId="77777777" w:rsidR="00192CF6" w:rsidRPr="00EA5017" w:rsidRDefault="00192CF6" w:rsidP="00EA5017">
      <w:pPr>
        <w:pStyle w:val="ListParagraph"/>
        <w:numPr>
          <w:ilvl w:val="0"/>
          <w:numId w:val="8"/>
        </w:numPr>
        <w:spacing w:line="240" w:lineRule="auto"/>
        <w:jc w:val="left"/>
        <w:rPr>
          <w:rFonts w:ascii="Avenir Roman" w:hAnsi="Avenir Roman" w:cstheme="minorHAnsi"/>
          <w:sz w:val="22"/>
          <w:szCs w:val="22"/>
        </w:rPr>
      </w:pPr>
      <w:r w:rsidRPr="00EA5017">
        <w:rPr>
          <w:rFonts w:ascii="Avenir Roman" w:hAnsi="Avenir Roman" w:cstheme="minorHAnsi"/>
          <w:sz w:val="22"/>
          <w:szCs w:val="22"/>
        </w:rPr>
        <w:t xml:space="preserve">Make findings and recommendations for the urgent and immediate elimination of restrictive practices. </w:t>
      </w:r>
    </w:p>
    <w:p w14:paraId="5A197B9E" w14:textId="77777777" w:rsidR="00192CF6" w:rsidRPr="000C6712" w:rsidRDefault="00192CF6" w:rsidP="000C6712">
      <w:pPr>
        <w:pStyle w:val="ListParagraph"/>
        <w:snapToGrid w:val="0"/>
        <w:spacing w:line="240" w:lineRule="auto"/>
        <w:ind w:left="0"/>
        <w:jc w:val="left"/>
        <w:rPr>
          <w:rFonts w:ascii="Avenir Roman" w:hAnsi="Avenir Roman" w:cs="Calibri"/>
          <w:color w:val="000000" w:themeColor="text1"/>
          <w:sz w:val="22"/>
          <w:szCs w:val="22"/>
        </w:rPr>
      </w:pPr>
    </w:p>
    <w:p w14:paraId="1EA84873" w14:textId="77777777" w:rsidR="00192CF6" w:rsidRPr="000C6712" w:rsidRDefault="00192CF6" w:rsidP="00564172">
      <w:pPr>
        <w:pStyle w:val="ListParagraph"/>
        <w:numPr>
          <w:ilvl w:val="0"/>
          <w:numId w:val="13"/>
        </w:numPr>
        <w:snapToGrid w:val="0"/>
        <w:spacing w:after="120" w:line="240" w:lineRule="auto"/>
        <w:ind w:left="425" w:hanging="425"/>
        <w:contextualSpacing w:val="0"/>
        <w:jc w:val="left"/>
        <w:rPr>
          <w:rFonts w:ascii="Avenir Roman" w:hAnsi="Avenir Roman" w:cs="Calibri"/>
          <w:color w:val="000000" w:themeColor="text1"/>
          <w:sz w:val="22"/>
          <w:szCs w:val="22"/>
        </w:rPr>
      </w:pPr>
      <w:r w:rsidRPr="000C6712">
        <w:rPr>
          <w:rFonts w:ascii="Avenir Roman" w:hAnsi="Avenir Roman" w:cs="Calibri"/>
          <w:color w:val="000000" w:themeColor="text1"/>
          <w:sz w:val="22"/>
          <w:szCs w:val="22"/>
        </w:rPr>
        <w:t>A comprehensive suite of violence prevention and response programs and resources should be funded by Australian governments, co-designed with women with disability for women with disability, and delivered across the life span and in institutional settings with the aim of:</w:t>
      </w:r>
    </w:p>
    <w:p w14:paraId="38F01468" w14:textId="77777777" w:rsidR="00192CF6" w:rsidRPr="00EA5017" w:rsidRDefault="00192CF6" w:rsidP="00EA5017">
      <w:pPr>
        <w:pStyle w:val="ListParagraph"/>
        <w:numPr>
          <w:ilvl w:val="0"/>
          <w:numId w:val="13"/>
        </w:numPr>
        <w:spacing w:after="120" w:line="240" w:lineRule="auto"/>
        <w:jc w:val="left"/>
        <w:rPr>
          <w:rFonts w:ascii="Avenir Roman" w:hAnsi="Avenir Roman" w:cs="Calibri"/>
          <w:color w:val="000000" w:themeColor="text1"/>
          <w:sz w:val="22"/>
          <w:szCs w:val="22"/>
        </w:rPr>
      </w:pPr>
      <w:r w:rsidRPr="00EA5017">
        <w:rPr>
          <w:rFonts w:ascii="Avenir Roman" w:hAnsi="Avenir Roman" w:cs="Calibri"/>
          <w:color w:val="000000" w:themeColor="text1"/>
          <w:sz w:val="22"/>
          <w:szCs w:val="22"/>
        </w:rPr>
        <w:t>Fostering and valuing diversity and inclusion;</w:t>
      </w:r>
    </w:p>
    <w:p w14:paraId="6D4BAF32" w14:textId="77777777" w:rsidR="00192CF6" w:rsidRPr="00EA5017" w:rsidRDefault="00192CF6" w:rsidP="00EA5017">
      <w:pPr>
        <w:pStyle w:val="ListParagraph"/>
        <w:numPr>
          <w:ilvl w:val="0"/>
          <w:numId w:val="13"/>
        </w:numPr>
        <w:spacing w:after="120" w:line="240" w:lineRule="auto"/>
        <w:jc w:val="left"/>
        <w:rPr>
          <w:rFonts w:ascii="Avenir Roman" w:hAnsi="Avenir Roman" w:cs="Calibri"/>
          <w:color w:val="000000" w:themeColor="text1"/>
          <w:sz w:val="22"/>
          <w:szCs w:val="22"/>
        </w:rPr>
      </w:pPr>
      <w:r w:rsidRPr="00EA5017">
        <w:rPr>
          <w:rFonts w:ascii="Avenir Roman" w:hAnsi="Avenir Roman" w:cs="Calibri"/>
          <w:color w:val="000000" w:themeColor="text1"/>
          <w:sz w:val="22"/>
          <w:szCs w:val="22"/>
        </w:rPr>
        <w:t>Challenging ableism and intersecting forms of inequality and discrimination, including for women and girls with disability;</w:t>
      </w:r>
    </w:p>
    <w:p w14:paraId="0B8D1411" w14:textId="595A335F" w:rsidR="00192CF6" w:rsidRPr="00EA5017" w:rsidRDefault="00192CF6" w:rsidP="00EA5017">
      <w:pPr>
        <w:pStyle w:val="ListParagraph"/>
        <w:numPr>
          <w:ilvl w:val="0"/>
          <w:numId w:val="13"/>
        </w:numPr>
        <w:spacing w:after="120" w:line="240" w:lineRule="auto"/>
        <w:jc w:val="left"/>
        <w:rPr>
          <w:rFonts w:ascii="Avenir Roman" w:hAnsi="Avenir Roman" w:cs="Calibri"/>
          <w:color w:val="000000" w:themeColor="text1"/>
          <w:sz w:val="22"/>
          <w:szCs w:val="22"/>
        </w:rPr>
      </w:pPr>
      <w:r w:rsidRPr="00EA5017">
        <w:rPr>
          <w:rFonts w:ascii="Avenir Roman" w:hAnsi="Avenir Roman" w:cs="Calibri"/>
          <w:color w:val="000000" w:themeColor="text1"/>
          <w:sz w:val="22"/>
          <w:szCs w:val="22"/>
        </w:rPr>
        <w:t>Building knowledge, skills and strengths in recognising rights to bodily integrity, to be free from violence, abuse, neglect and exploitation, and to be free from torture and ill-trea</w:t>
      </w:r>
      <w:r w:rsidR="00CE4E92" w:rsidRPr="00EA5017">
        <w:rPr>
          <w:rFonts w:ascii="Avenir Roman" w:hAnsi="Avenir Roman" w:cs="Calibri"/>
          <w:color w:val="000000" w:themeColor="text1"/>
          <w:sz w:val="22"/>
          <w:szCs w:val="22"/>
        </w:rPr>
        <w:t>t</w:t>
      </w:r>
      <w:r w:rsidRPr="00EA5017">
        <w:rPr>
          <w:rFonts w:ascii="Avenir Roman" w:hAnsi="Avenir Roman" w:cs="Calibri"/>
          <w:color w:val="000000" w:themeColor="text1"/>
          <w:sz w:val="22"/>
          <w:szCs w:val="22"/>
        </w:rPr>
        <w:t>ment;</w:t>
      </w:r>
    </w:p>
    <w:p w14:paraId="33D870DB" w14:textId="643A7B8D" w:rsidR="00192CF6" w:rsidRPr="00EA5017" w:rsidRDefault="00192CF6" w:rsidP="00EA5017">
      <w:pPr>
        <w:pStyle w:val="ListParagraph"/>
        <w:numPr>
          <w:ilvl w:val="0"/>
          <w:numId w:val="13"/>
        </w:numPr>
        <w:spacing w:line="240" w:lineRule="auto"/>
        <w:jc w:val="left"/>
        <w:rPr>
          <w:rFonts w:ascii="Avenir Roman" w:hAnsi="Avenir Roman" w:cs="Calibri"/>
          <w:color w:val="000000" w:themeColor="text1"/>
          <w:sz w:val="22"/>
          <w:szCs w:val="22"/>
        </w:rPr>
      </w:pPr>
      <w:r w:rsidRPr="00EA5017">
        <w:rPr>
          <w:rFonts w:ascii="Avenir Roman" w:hAnsi="Avenir Roman" w:cs="Calibri"/>
          <w:color w:val="000000" w:themeColor="text1"/>
          <w:sz w:val="22"/>
          <w:szCs w:val="22"/>
        </w:rPr>
        <w:t>Increasing opportunities and participation in decision-making and in speaking up about rights.</w:t>
      </w:r>
    </w:p>
    <w:p w14:paraId="6F4F57A8" w14:textId="77777777" w:rsidR="00D9276F" w:rsidRPr="000C6712" w:rsidRDefault="00D9276F" w:rsidP="000C6712">
      <w:pPr>
        <w:pStyle w:val="ListParagraph"/>
        <w:snapToGrid w:val="0"/>
        <w:spacing w:line="240" w:lineRule="auto"/>
        <w:ind w:left="426"/>
        <w:jc w:val="left"/>
        <w:rPr>
          <w:rFonts w:ascii="Avenir Roman" w:hAnsi="Avenir Roman" w:cstheme="minorHAnsi"/>
          <w:sz w:val="22"/>
          <w:szCs w:val="22"/>
        </w:rPr>
      </w:pPr>
    </w:p>
    <w:p w14:paraId="6FA9EDF4" w14:textId="4FAF476D" w:rsidR="002D55E7" w:rsidRPr="00EA5017" w:rsidRDefault="002D55E7" w:rsidP="00EA5017">
      <w:pPr>
        <w:pStyle w:val="ListParagraph"/>
        <w:numPr>
          <w:ilvl w:val="0"/>
          <w:numId w:val="32"/>
        </w:numPr>
        <w:snapToGrid w:val="0"/>
        <w:spacing w:line="240" w:lineRule="auto"/>
        <w:ind w:left="360"/>
        <w:jc w:val="left"/>
        <w:rPr>
          <w:rFonts w:ascii="Avenir Roman" w:hAnsi="Avenir Roman" w:cstheme="minorHAnsi"/>
          <w:sz w:val="22"/>
          <w:szCs w:val="22"/>
        </w:rPr>
      </w:pPr>
      <w:r w:rsidRPr="00EA5017">
        <w:rPr>
          <w:rFonts w:ascii="Avenir Roman" w:hAnsi="Avenir Roman" w:cstheme="minorHAnsi"/>
          <w:sz w:val="22"/>
          <w:szCs w:val="22"/>
        </w:rPr>
        <w:t xml:space="preserve">Australian governments should develop nationally consistent domestic and family violence legislation that covers institutional settings and </w:t>
      </w:r>
      <w:r w:rsidR="009F6483" w:rsidRPr="00EA5017">
        <w:rPr>
          <w:rFonts w:ascii="Avenir Roman" w:hAnsi="Avenir Roman" w:cstheme="minorHAnsi"/>
          <w:sz w:val="22"/>
          <w:szCs w:val="22"/>
        </w:rPr>
        <w:t xml:space="preserve">includes a broad definition of </w:t>
      </w:r>
      <w:r w:rsidRPr="00EA5017">
        <w:rPr>
          <w:rFonts w:ascii="Avenir Roman" w:hAnsi="Avenir Roman" w:cstheme="minorHAnsi"/>
          <w:sz w:val="22"/>
          <w:szCs w:val="22"/>
        </w:rPr>
        <w:t>domestic relationships</w:t>
      </w:r>
      <w:r w:rsidR="009F6483" w:rsidRPr="00EA5017">
        <w:rPr>
          <w:rFonts w:ascii="Avenir Roman" w:hAnsi="Avenir Roman" w:cstheme="minorHAnsi"/>
          <w:sz w:val="22"/>
          <w:szCs w:val="22"/>
        </w:rPr>
        <w:t>; ensure this legislation is integrated into domestic and family violence response training for police, the judiciary and domestic and family violence services</w:t>
      </w:r>
      <w:r w:rsidR="0074083D" w:rsidRPr="00EA5017">
        <w:rPr>
          <w:rFonts w:ascii="Avenir Roman" w:hAnsi="Avenir Roman" w:cstheme="minorHAnsi"/>
          <w:sz w:val="22"/>
          <w:szCs w:val="22"/>
        </w:rPr>
        <w:t xml:space="preserve">; and ensure that the </w:t>
      </w:r>
      <w:r w:rsidRPr="00EA5017">
        <w:rPr>
          <w:rFonts w:ascii="Avenir Roman" w:hAnsi="Avenir Roman" w:cstheme="minorHAnsi"/>
          <w:i/>
          <w:sz w:val="22"/>
          <w:szCs w:val="22"/>
        </w:rPr>
        <w:t>National Plan to Reduce Violence Against Women and Their Children</w:t>
      </w:r>
      <w:r w:rsidRPr="00EA5017">
        <w:rPr>
          <w:rFonts w:ascii="Avenir Roman" w:hAnsi="Avenir Roman" w:cstheme="minorHAnsi"/>
          <w:sz w:val="22"/>
          <w:szCs w:val="22"/>
        </w:rPr>
        <w:t xml:space="preserve"> </w:t>
      </w:r>
      <w:r w:rsidR="0074083D" w:rsidRPr="00EA5017">
        <w:rPr>
          <w:rFonts w:ascii="Avenir Roman" w:hAnsi="Avenir Roman" w:cstheme="minorHAnsi"/>
          <w:sz w:val="22"/>
          <w:szCs w:val="22"/>
        </w:rPr>
        <w:t>is amended to reflect th</w:t>
      </w:r>
      <w:r w:rsidR="001B5E85" w:rsidRPr="00EA5017">
        <w:rPr>
          <w:rFonts w:ascii="Avenir Roman" w:hAnsi="Avenir Roman" w:cstheme="minorHAnsi"/>
          <w:sz w:val="22"/>
          <w:szCs w:val="22"/>
        </w:rPr>
        <w:t>is</w:t>
      </w:r>
      <w:r w:rsidR="0074083D" w:rsidRPr="00EA5017">
        <w:rPr>
          <w:rFonts w:ascii="Avenir Roman" w:hAnsi="Avenir Roman" w:cstheme="minorHAnsi"/>
          <w:sz w:val="22"/>
          <w:szCs w:val="22"/>
        </w:rPr>
        <w:t xml:space="preserve"> legislation by </w:t>
      </w:r>
      <w:r w:rsidRPr="00EA5017">
        <w:rPr>
          <w:rFonts w:ascii="Avenir Roman" w:hAnsi="Avenir Roman" w:cstheme="minorHAnsi"/>
          <w:sz w:val="22"/>
          <w:szCs w:val="22"/>
        </w:rPr>
        <w:t>includ</w:t>
      </w:r>
      <w:r w:rsidR="0074083D" w:rsidRPr="00EA5017">
        <w:rPr>
          <w:rFonts w:ascii="Avenir Roman" w:hAnsi="Avenir Roman" w:cstheme="minorHAnsi"/>
          <w:sz w:val="22"/>
          <w:szCs w:val="22"/>
        </w:rPr>
        <w:t>ing</w:t>
      </w:r>
      <w:r w:rsidRPr="00EA5017">
        <w:rPr>
          <w:rFonts w:ascii="Avenir Roman" w:hAnsi="Avenir Roman" w:cstheme="minorHAnsi"/>
          <w:sz w:val="22"/>
          <w:szCs w:val="22"/>
        </w:rPr>
        <w:t xml:space="preserve"> </w:t>
      </w:r>
      <w:r w:rsidR="0074083D" w:rsidRPr="00EA5017">
        <w:rPr>
          <w:rFonts w:ascii="Avenir Roman" w:hAnsi="Avenir Roman" w:cstheme="minorHAnsi"/>
          <w:sz w:val="22"/>
          <w:szCs w:val="22"/>
        </w:rPr>
        <w:t xml:space="preserve">institutional settings and a broad definition of domestic relationships. </w:t>
      </w:r>
    </w:p>
    <w:p w14:paraId="3744AFD2" w14:textId="77777777" w:rsidR="00384638" w:rsidRPr="000C6712" w:rsidRDefault="00384638" w:rsidP="00EA5017">
      <w:pPr>
        <w:pStyle w:val="ListParagraph"/>
        <w:spacing w:line="240" w:lineRule="auto"/>
        <w:ind w:left="360"/>
        <w:jc w:val="left"/>
        <w:rPr>
          <w:rFonts w:ascii="Avenir Roman" w:hAnsi="Avenir Roman" w:cstheme="minorHAnsi"/>
          <w:sz w:val="22"/>
          <w:szCs w:val="22"/>
        </w:rPr>
      </w:pPr>
    </w:p>
    <w:p w14:paraId="53E73BF0" w14:textId="0FEBE3D3" w:rsidR="00E4408F" w:rsidRPr="00EA5017" w:rsidRDefault="00E4408F" w:rsidP="00EA5017">
      <w:pPr>
        <w:pStyle w:val="ListParagraph"/>
        <w:numPr>
          <w:ilvl w:val="0"/>
          <w:numId w:val="32"/>
        </w:numPr>
        <w:snapToGrid w:val="0"/>
        <w:spacing w:line="240" w:lineRule="auto"/>
        <w:ind w:left="360"/>
        <w:jc w:val="left"/>
        <w:rPr>
          <w:rFonts w:ascii="Avenir Roman" w:hAnsi="Avenir Roman" w:cstheme="minorHAnsi"/>
          <w:sz w:val="22"/>
          <w:szCs w:val="22"/>
        </w:rPr>
      </w:pPr>
      <w:r w:rsidRPr="00EA5017">
        <w:rPr>
          <w:rFonts w:ascii="Avenir Roman" w:hAnsi="Avenir Roman" w:cstheme="minorHAnsi"/>
          <w:sz w:val="22"/>
          <w:szCs w:val="22"/>
        </w:rPr>
        <w:t xml:space="preserve">The Australian Government should implement </w:t>
      </w:r>
      <w:r w:rsidR="00D72E4E" w:rsidRPr="00EA5017">
        <w:rPr>
          <w:rFonts w:ascii="Avenir Roman" w:hAnsi="Avenir Roman" w:cstheme="minorHAnsi"/>
          <w:sz w:val="22"/>
          <w:szCs w:val="22"/>
        </w:rPr>
        <w:t>R</w:t>
      </w:r>
      <w:r w:rsidRPr="00EA5017">
        <w:rPr>
          <w:rFonts w:ascii="Avenir Roman" w:hAnsi="Avenir Roman" w:cstheme="minorHAnsi"/>
          <w:sz w:val="22"/>
          <w:szCs w:val="22"/>
        </w:rPr>
        <w:t>ecommendation 2 from the Senate Inquiry</w:t>
      </w:r>
      <w:r w:rsidR="00D72E4E" w:rsidRPr="00EA5017">
        <w:rPr>
          <w:rFonts w:ascii="Avenir Roman" w:hAnsi="Avenir Roman" w:cstheme="minorHAnsi"/>
          <w:sz w:val="22"/>
          <w:szCs w:val="22"/>
        </w:rPr>
        <w:t>, which would establish</w:t>
      </w:r>
      <w:r w:rsidRPr="00EA5017">
        <w:rPr>
          <w:rFonts w:ascii="Avenir Roman" w:hAnsi="Avenir Roman" w:cstheme="minorHAnsi"/>
          <w:sz w:val="22"/>
          <w:szCs w:val="22"/>
        </w:rPr>
        <w:t xml:space="preserve"> a national, independent, statutory protection watchdog that has broad functions and powers</w:t>
      </w:r>
      <w:r w:rsidR="00D72E4E" w:rsidRPr="00EA5017">
        <w:rPr>
          <w:rFonts w:ascii="Avenir Roman" w:hAnsi="Avenir Roman" w:cstheme="minorHAnsi"/>
          <w:sz w:val="22"/>
          <w:szCs w:val="22"/>
        </w:rPr>
        <w:t xml:space="preserve">, that covers all forms of violence against </w:t>
      </w:r>
      <w:r w:rsidRPr="00EA5017">
        <w:rPr>
          <w:rFonts w:ascii="Avenir Roman" w:hAnsi="Avenir Roman" w:cstheme="minorHAnsi"/>
          <w:sz w:val="22"/>
          <w:szCs w:val="22"/>
        </w:rPr>
        <w:t>all people with disability</w:t>
      </w:r>
      <w:r w:rsidR="00D72E4E" w:rsidRPr="00EA5017">
        <w:rPr>
          <w:rFonts w:ascii="Avenir Roman" w:hAnsi="Avenir Roman" w:cstheme="minorHAnsi"/>
          <w:sz w:val="22"/>
          <w:szCs w:val="22"/>
        </w:rPr>
        <w:t xml:space="preserve">, and that is not limited to the NDIS. </w:t>
      </w:r>
      <w:r w:rsidRPr="00EA5017">
        <w:rPr>
          <w:rFonts w:ascii="Avenir Roman" w:hAnsi="Avenir Roman" w:cstheme="minorHAnsi"/>
          <w:sz w:val="22"/>
          <w:szCs w:val="22"/>
        </w:rPr>
        <w:t xml:space="preserve"> </w:t>
      </w:r>
    </w:p>
    <w:p w14:paraId="68F342B9" w14:textId="77777777" w:rsidR="00E4408F" w:rsidRPr="000C6712" w:rsidRDefault="00E4408F" w:rsidP="00EA5017">
      <w:pPr>
        <w:pStyle w:val="ListParagraph"/>
        <w:spacing w:line="240" w:lineRule="auto"/>
        <w:ind w:left="360"/>
        <w:jc w:val="left"/>
        <w:rPr>
          <w:rFonts w:ascii="Avenir Roman" w:hAnsi="Avenir Roman" w:cstheme="minorHAnsi"/>
          <w:sz w:val="22"/>
          <w:szCs w:val="22"/>
        </w:rPr>
      </w:pPr>
    </w:p>
    <w:p w14:paraId="722925AB" w14:textId="54B9074F" w:rsidR="0074083D" w:rsidRPr="00EA5017" w:rsidRDefault="00D72E4E" w:rsidP="00EA5017">
      <w:pPr>
        <w:pStyle w:val="ListParagraph"/>
        <w:numPr>
          <w:ilvl w:val="0"/>
          <w:numId w:val="32"/>
        </w:numPr>
        <w:snapToGrid w:val="0"/>
        <w:spacing w:line="240" w:lineRule="auto"/>
        <w:ind w:left="360"/>
        <w:jc w:val="left"/>
        <w:rPr>
          <w:rFonts w:ascii="Avenir Roman" w:hAnsi="Avenir Roman" w:cstheme="minorHAnsi"/>
          <w:sz w:val="22"/>
          <w:szCs w:val="22"/>
        </w:rPr>
      </w:pPr>
      <w:r w:rsidRPr="00EA5017">
        <w:rPr>
          <w:rFonts w:ascii="Avenir Roman" w:hAnsi="Avenir Roman" w:cstheme="minorHAnsi"/>
          <w:sz w:val="22"/>
          <w:szCs w:val="22"/>
        </w:rPr>
        <w:t xml:space="preserve">The National Disability Insurance Agency should develop, in close consultation with women with disability and their representative organisations, an NDIS Gender Strategy which </w:t>
      </w:r>
      <w:r w:rsidR="00CE4E92" w:rsidRPr="00EA5017">
        <w:rPr>
          <w:rFonts w:ascii="Avenir Roman" w:hAnsi="Avenir Roman" w:cstheme="minorHAnsi"/>
          <w:sz w:val="22"/>
          <w:szCs w:val="22"/>
        </w:rPr>
        <w:t>sh</w:t>
      </w:r>
      <w:r w:rsidRPr="00EA5017">
        <w:rPr>
          <w:rFonts w:ascii="Avenir Roman" w:hAnsi="Avenir Roman" w:cstheme="minorHAnsi"/>
          <w:sz w:val="22"/>
          <w:szCs w:val="22"/>
        </w:rPr>
        <w:t xml:space="preserve">ould include measures to ensure that all forms of violence, including gender-based violence are identified and addressed through the NDIS planning process, that crisis procedures are established for crisis plan revisions, and that pathways and protocols are established with domestic violence services and supports. </w:t>
      </w:r>
    </w:p>
    <w:p w14:paraId="4E80F15B" w14:textId="77777777" w:rsidR="0074083D" w:rsidRDefault="0074083D" w:rsidP="000C6712">
      <w:pPr>
        <w:snapToGrid w:val="0"/>
        <w:spacing w:line="240" w:lineRule="auto"/>
        <w:jc w:val="left"/>
        <w:rPr>
          <w:rFonts w:ascii="Avenir Book" w:hAnsi="Avenir Book" w:cstheme="minorHAnsi"/>
          <w:sz w:val="22"/>
          <w:szCs w:val="22"/>
        </w:rPr>
      </w:pPr>
    </w:p>
    <w:p w14:paraId="30D91846" w14:textId="27CD8638" w:rsidR="00D55076" w:rsidRPr="000367C6" w:rsidRDefault="004E26B9" w:rsidP="000C6712">
      <w:pPr>
        <w:spacing w:line="240" w:lineRule="auto"/>
        <w:jc w:val="left"/>
        <w:rPr>
          <w:rFonts w:ascii="Calibri" w:eastAsiaTheme="minorHAnsi" w:hAnsi="Calibri" w:cs="Calibri"/>
          <w:b/>
          <w:color w:val="7030A0"/>
          <w:sz w:val="28"/>
        </w:rPr>
      </w:pPr>
      <w:r>
        <w:rPr>
          <w:rFonts w:ascii="Calibri" w:hAnsi="Calibri" w:cs="Calibri"/>
          <w:color w:val="7030A0"/>
        </w:rPr>
        <w:br w:type="page"/>
      </w:r>
    </w:p>
    <w:p w14:paraId="7B939BB6" w14:textId="5FA64F93" w:rsidR="002C05C3" w:rsidRPr="00D1282E" w:rsidRDefault="002C05C3" w:rsidP="00564172">
      <w:pPr>
        <w:pStyle w:val="Heading2"/>
        <w:numPr>
          <w:ilvl w:val="0"/>
          <w:numId w:val="6"/>
        </w:numPr>
        <w:ind w:left="426" w:hanging="426"/>
        <w:rPr>
          <w:rFonts w:ascii="Avenir Book" w:hAnsi="Avenir Book" w:cs="Calibri"/>
          <w:color w:val="AC1F79"/>
          <w:sz w:val="22"/>
        </w:rPr>
      </w:pPr>
      <w:bookmarkStart w:id="125" w:name="_Toc43919166"/>
      <w:r w:rsidRPr="000840B9">
        <w:rPr>
          <w:rFonts w:ascii="Avenir Book" w:hAnsi="Avenir Book" w:cs="Calibri"/>
          <w:color w:val="AC1F79"/>
        </w:rPr>
        <w:lastRenderedPageBreak/>
        <w:t>Appendix – Concluding comments from UN treaty bodies</w:t>
      </w:r>
      <w:bookmarkEnd w:id="125"/>
    </w:p>
    <w:p w14:paraId="7B82EF68" w14:textId="2D4A2399" w:rsidR="00ED2AF6" w:rsidRDefault="00ED2AF6" w:rsidP="00D1282E">
      <w:pPr>
        <w:snapToGrid w:val="0"/>
        <w:spacing w:after="0" w:line="240" w:lineRule="auto"/>
        <w:jc w:val="left"/>
        <w:rPr>
          <w:rFonts w:ascii="Avenir Book" w:hAnsi="Avenir Book" w:cstheme="minorHAnsi"/>
          <w:sz w:val="22"/>
          <w:szCs w:val="22"/>
        </w:rPr>
      </w:pPr>
      <w:r>
        <w:rPr>
          <w:rFonts w:ascii="Avenir Book" w:hAnsi="Avenir Book" w:cstheme="minorHAnsi"/>
          <w:sz w:val="22"/>
          <w:szCs w:val="22"/>
        </w:rPr>
        <w:t xml:space="preserve">This section of the Submission is taken from the 2019 publication: </w:t>
      </w:r>
      <w:r w:rsidRPr="00ED2AF6">
        <w:rPr>
          <w:rFonts w:ascii="Avenir Book" w:hAnsi="Avenir Book" w:cstheme="minorHAnsi"/>
          <w:i/>
          <w:iCs/>
          <w:sz w:val="22"/>
          <w:szCs w:val="22"/>
        </w:rPr>
        <w:t>‘Disabled People’s Organisations Australia and the National Women’s Alliances, The Status of Women and Girls with Disability in Australia, Position Statement to the Commission on the Status of Women (CSW) Twenty-Fifth Anniversary of the Fourth World Conference on Women and the Beijing Declaration and Platform for Action 1995.’</w:t>
      </w:r>
      <w:r w:rsidRPr="00ED2AF6">
        <w:rPr>
          <w:rFonts w:ascii="Avenir Book" w:hAnsi="Avenir Book" w:cstheme="minorHAnsi"/>
          <w:sz w:val="22"/>
          <w:szCs w:val="22"/>
        </w:rPr>
        <w:t xml:space="preserve"> Women With Disabilities Australia, 2019. </w:t>
      </w:r>
      <w:r>
        <w:rPr>
          <w:rFonts w:ascii="Avenir Book" w:hAnsi="Avenir Book" w:cstheme="minorHAnsi"/>
          <w:sz w:val="22"/>
          <w:szCs w:val="22"/>
        </w:rPr>
        <w:t xml:space="preserve">Written by Carolyn Frohmader for and on behalf of WWDA and DPO Australia. </w:t>
      </w:r>
      <w:r w:rsidRPr="00ED2AF6">
        <w:rPr>
          <w:rFonts w:ascii="Avenir Book" w:hAnsi="Avenir Book" w:cstheme="minorHAnsi"/>
          <w:sz w:val="22"/>
          <w:szCs w:val="22"/>
        </w:rPr>
        <w:t xml:space="preserve">Available at: </w:t>
      </w:r>
      <w:hyperlink r:id="rId15" w:history="1">
        <w:r w:rsidRPr="00A832F1">
          <w:rPr>
            <w:rStyle w:val="Hyperlink"/>
            <w:rFonts w:ascii="Avenir Book" w:hAnsi="Avenir Book" w:cstheme="minorHAnsi"/>
            <w:sz w:val="22"/>
            <w:szCs w:val="22"/>
          </w:rPr>
          <w:t>http://wwda.org.au/wp-content/uploads/2019/12/The-Status-of-Women-and-Girls-with-Disability-Asutralia.pdf</w:t>
        </w:r>
      </w:hyperlink>
      <w:r>
        <w:rPr>
          <w:rFonts w:ascii="Avenir Book" w:hAnsi="Avenir Book" w:cstheme="minorHAnsi"/>
          <w:sz w:val="22"/>
          <w:szCs w:val="22"/>
        </w:rPr>
        <w:t xml:space="preserve"> </w:t>
      </w:r>
    </w:p>
    <w:p w14:paraId="10448039" w14:textId="77777777" w:rsidR="00D1282E" w:rsidRPr="000840B9" w:rsidRDefault="00D1282E" w:rsidP="00D1282E">
      <w:pPr>
        <w:snapToGrid w:val="0"/>
        <w:spacing w:after="0" w:line="240" w:lineRule="auto"/>
        <w:jc w:val="left"/>
        <w:rPr>
          <w:rFonts w:ascii="Avenir Book" w:hAnsi="Avenir Book" w:cstheme="minorHAnsi"/>
          <w:sz w:val="22"/>
          <w:szCs w:val="22"/>
        </w:rPr>
      </w:pPr>
    </w:p>
    <w:p w14:paraId="138515DE" w14:textId="128F66F3" w:rsidR="00D55076" w:rsidRPr="002A4BC9" w:rsidRDefault="00501882" w:rsidP="00564172">
      <w:pPr>
        <w:pStyle w:val="ListParagraph"/>
        <w:numPr>
          <w:ilvl w:val="1"/>
          <w:numId w:val="31"/>
        </w:numPr>
        <w:snapToGrid w:val="0"/>
        <w:spacing w:line="240" w:lineRule="auto"/>
        <w:ind w:left="851" w:hanging="851"/>
        <w:jc w:val="left"/>
        <w:rPr>
          <w:rFonts w:ascii="Avenir Book" w:hAnsi="Avenir Book" w:cstheme="minorHAnsi"/>
          <w:sz w:val="22"/>
          <w:szCs w:val="22"/>
        </w:rPr>
      </w:pPr>
      <w:r w:rsidRPr="002A4BC9">
        <w:rPr>
          <w:rFonts w:ascii="Avenir Book" w:hAnsi="Avenir Book" w:cstheme="minorHAnsi"/>
          <w:sz w:val="22"/>
          <w:szCs w:val="22"/>
        </w:rPr>
        <w:t xml:space="preserve">The </w:t>
      </w:r>
      <w:r w:rsidR="00C65693" w:rsidRPr="002A4BC9">
        <w:rPr>
          <w:rFonts w:ascii="Avenir Book" w:hAnsi="Avenir Book" w:cstheme="minorHAnsi"/>
          <w:sz w:val="22"/>
          <w:szCs w:val="22"/>
        </w:rPr>
        <w:t xml:space="preserve">UN has made numerous recommendations, called concluding comments or concluding observations following periodic reviews of Australia under different treaty bodies.  The following provides a summary of the most recent </w:t>
      </w:r>
      <w:r w:rsidR="007022C5" w:rsidRPr="002A4BC9">
        <w:rPr>
          <w:rFonts w:ascii="Avenir Book" w:hAnsi="Avenir Book" w:cstheme="minorHAnsi"/>
          <w:sz w:val="22"/>
          <w:szCs w:val="22"/>
        </w:rPr>
        <w:t xml:space="preserve">key </w:t>
      </w:r>
      <w:r w:rsidR="00C65693" w:rsidRPr="002A4BC9">
        <w:rPr>
          <w:rFonts w:ascii="Avenir Book" w:hAnsi="Avenir Book" w:cstheme="minorHAnsi"/>
          <w:sz w:val="22"/>
          <w:szCs w:val="22"/>
        </w:rPr>
        <w:t>recommendations</w:t>
      </w:r>
      <w:r w:rsidR="002F2ECC" w:rsidRPr="002A4BC9">
        <w:rPr>
          <w:rFonts w:ascii="Avenir Book" w:hAnsi="Avenir Book" w:cstheme="minorHAnsi"/>
          <w:sz w:val="22"/>
          <w:szCs w:val="22"/>
        </w:rPr>
        <w:t xml:space="preserve"> from these treaty bodies</w:t>
      </w:r>
      <w:r w:rsidR="00E9283F" w:rsidRPr="002A4BC9">
        <w:rPr>
          <w:rFonts w:ascii="Avenir Book" w:hAnsi="Avenir Book" w:cstheme="minorHAnsi"/>
          <w:sz w:val="22"/>
          <w:szCs w:val="22"/>
        </w:rPr>
        <w:t xml:space="preserve"> </w:t>
      </w:r>
      <w:r w:rsidR="007022C5" w:rsidRPr="002A4BC9">
        <w:rPr>
          <w:rFonts w:ascii="Avenir Book" w:hAnsi="Avenir Book" w:cstheme="minorHAnsi"/>
          <w:sz w:val="22"/>
          <w:szCs w:val="22"/>
        </w:rPr>
        <w:t xml:space="preserve">in relation to </w:t>
      </w:r>
      <w:r w:rsidR="000B385A" w:rsidRPr="002A4BC9">
        <w:rPr>
          <w:rFonts w:ascii="Avenir Book" w:hAnsi="Avenir Book" w:cstheme="minorHAnsi"/>
          <w:sz w:val="22"/>
          <w:szCs w:val="22"/>
        </w:rPr>
        <w:t xml:space="preserve">living </w:t>
      </w:r>
      <w:r w:rsidR="00DF1E87" w:rsidRPr="002A4BC9">
        <w:rPr>
          <w:rFonts w:ascii="Avenir Book" w:hAnsi="Avenir Book" w:cstheme="minorHAnsi"/>
          <w:sz w:val="22"/>
          <w:szCs w:val="22"/>
        </w:rPr>
        <w:t xml:space="preserve">independently and being included in the community </w:t>
      </w:r>
      <w:r w:rsidR="007022C5" w:rsidRPr="002A4BC9">
        <w:rPr>
          <w:rFonts w:ascii="Avenir Book" w:hAnsi="Avenir Book" w:cstheme="minorHAnsi"/>
          <w:sz w:val="22"/>
          <w:szCs w:val="22"/>
        </w:rPr>
        <w:t>and violence, abuse, neglect and exploitation</w:t>
      </w:r>
      <w:r w:rsidR="00C65693" w:rsidRPr="002A4BC9">
        <w:rPr>
          <w:rFonts w:ascii="Avenir Book" w:hAnsi="Avenir Book" w:cstheme="minorHAnsi"/>
          <w:sz w:val="22"/>
          <w:szCs w:val="22"/>
        </w:rPr>
        <w:t xml:space="preserve">.  </w:t>
      </w:r>
    </w:p>
    <w:p w14:paraId="71372BEA" w14:textId="77777777" w:rsidR="00E9283F" w:rsidRPr="000840B9" w:rsidRDefault="00E9283F" w:rsidP="00D71C5D">
      <w:pPr>
        <w:pStyle w:val="ListParagraph"/>
        <w:snapToGrid w:val="0"/>
        <w:spacing w:line="240" w:lineRule="auto"/>
        <w:ind w:left="0"/>
        <w:jc w:val="left"/>
        <w:rPr>
          <w:rFonts w:ascii="Avenir Book" w:hAnsi="Avenir Book" w:cstheme="minorHAnsi"/>
          <w:sz w:val="22"/>
          <w:szCs w:val="22"/>
        </w:rPr>
      </w:pPr>
    </w:p>
    <w:p w14:paraId="7E1F2954" w14:textId="3518DB7B" w:rsidR="00F57741" w:rsidRPr="00D1282E" w:rsidRDefault="00655DD7" w:rsidP="00564172">
      <w:pPr>
        <w:pStyle w:val="ListParagraph"/>
        <w:numPr>
          <w:ilvl w:val="1"/>
          <w:numId w:val="31"/>
        </w:numPr>
        <w:snapToGrid w:val="0"/>
        <w:spacing w:after="120" w:line="240" w:lineRule="auto"/>
        <w:ind w:left="851" w:hanging="851"/>
        <w:contextualSpacing w:val="0"/>
        <w:jc w:val="left"/>
        <w:rPr>
          <w:rFonts w:ascii="Avenir Book" w:hAnsi="Avenir Book" w:cstheme="minorHAnsi"/>
          <w:b/>
          <w:color w:val="AC1F79"/>
          <w:sz w:val="22"/>
          <w:szCs w:val="22"/>
        </w:rPr>
      </w:pPr>
      <w:r w:rsidRPr="00D1282E">
        <w:rPr>
          <w:rFonts w:ascii="Avenir Book" w:hAnsi="Avenir Book" w:cstheme="minorHAnsi"/>
          <w:b/>
          <w:color w:val="AC1F79"/>
          <w:sz w:val="22"/>
          <w:szCs w:val="22"/>
        </w:rPr>
        <w:t xml:space="preserve">Right to </w:t>
      </w:r>
      <w:r w:rsidR="00D17230" w:rsidRPr="00D1282E">
        <w:rPr>
          <w:rFonts w:ascii="Avenir Book" w:hAnsi="Avenir Book" w:cstheme="minorHAnsi"/>
          <w:b/>
          <w:color w:val="AC1F79"/>
          <w:sz w:val="22"/>
          <w:szCs w:val="22"/>
        </w:rPr>
        <w:t>live independently and be included in the community</w:t>
      </w:r>
      <w:r w:rsidR="00023850" w:rsidRPr="00D1282E">
        <w:rPr>
          <w:rFonts w:ascii="Avenir Book" w:hAnsi="Avenir Book" w:cstheme="minorHAnsi"/>
          <w:b/>
          <w:color w:val="AC1F79"/>
          <w:sz w:val="22"/>
          <w:szCs w:val="22"/>
        </w:rPr>
        <w:t>:</w:t>
      </w:r>
    </w:p>
    <w:p w14:paraId="3DE4DE1D" w14:textId="2521C93A" w:rsidR="0047401F" w:rsidRDefault="005D3F1E" w:rsidP="00564172">
      <w:pPr>
        <w:pStyle w:val="ListParagraph"/>
        <w:numPr>
          <w:ilvl w:val="2"/>
          <w:numId w:val="31"/>
        </w:numPr>
        <w:spacing w:after="120" w:line="240" w:lineRule="auto"/>
        <w:ind w:left="851" w:hanging="851"/>
        <w:contextualSpacing w:val="0"/>
        <w:jc w:val="left"/>
        <w:rPr>
          <w:rFonts w:ascii="Avenir Book" w:hAnsi="Avenir Book" w:cstheme="minorHAnsi"/>
          <w:b/>
          <w:sz w:val="22"/>
          <w:szCs w:val="22"/>
        </w:rPr>
      </w:pPr>
      <w:r>
        <w:rPr>
          <w:rFonts w:ascii="Avenir Book" w:hAnsi="Avenir Book" w:cstheme="minorHAnsi"/>
          <w:b/>
          <w:sz w:val="22"/>
          <w:szCs w:val="22"/>
        </w:rPr>
        <w:t>A</w:t>
      </w:r>
      <w:r w:rsidR="0047401F" w:rsidRPr="0047401F">
        <w:rPr>
          <w:rFonts w:ascii="Avenir Book" w:hAnsi="Avenir Book" w:cstheme="minorHAnsi"/>
          <w:b/>
          <w:sz w:val="22"/>
          <w:szCs w:val="22"/>
        </w:rPr>
        <w:t>dequate standard of living</w:t>
      </w:r>
      <w:r>
        <w:rPr>
          <w:rFonts w:ascii="Avenir Book" w:hAnsi="Avenir Book" w:cstheme="minorHAnsi"/>
          <w:b/>
          <w:sz w:val="22"/>
          <w:szCs w:val="22"/>
        </w:rPr>
        <w:t>, housing, accessibility</w:t>
      </w:r>
      <w:r w:rsidR="0047401F" w:rsidRPr="0047401F">
        <w:rPr>
          <w:rFonts w:ascii="Avenir Book" w:hAnsi="Avenir Book" w:cstheme="minorHAnsi"/>
          <w:b/>
          <w:sz w:val="22"/>
          <w:szCs w:val="22"/>
        </w:rPr>
        <w:t>:</w:t>
      </w:r>
    </w:p>
    <w:p w14:paraId="037C13E4" w14:textId="03FE120F" w:rsidR="0047401F" w:rsidRDefault="0047401F" w:rsidP="00564172">
      <w:pPr>
        <w:pStyle w:val="ListParagraph"/>
        <w:numPr>
          <w:ilvl w:val="3"/>
          <w:numId w:val="31"/>
        </w:numPr>
        <w:spacing w:line="240" w:lineRule="auto"/>
        <w:ind w:left="851" w:hanging="851"/>
        <w:jc w:val="left"/>
        <w:rPr>
          <w:rFonts w:ascii="Avenir Book" w:hAnsi="Avenir Book" w:cstheme="minorHAnsi"/>
          <w:sz w:val="22"/>
          <w:szCs w:val="22"/>
        </w:rPr>
      </w:pPr>
      <w:r w:rsidRPr="0047401F">
        <w:rPr>
          <w:rFonts w:ascii="Avenir Book" w:hAnsi="Avenir Book" w:cstheme="minorHAnsi"/>
          <w:sz w:val="22"/>
          <w:szCs w:val="22"/>
        </w:rPr>
        <w:t xml:space="preserve">In 2019, the </w:t>
      </w:r>
      <w:r w:rsidRPr="0047401F">
        <w:rPr>
          <w:rFonts w:ascii="Avenir Book" w:hAnsi="Avenir Book" w:cstheme="minorHAnsi"/>
          <w:b/>
          <w:sz w:val="22"/>
          <w:szCs w:val="22"/>
        </w:rPr>
        <w:t>Committee on the Rights of Persons with Disabilities</w:t>
      </w:r>
      <w:r w:rsidRPr="0047401F">
        <w:rPr>
          <w:rFonts w:ascii="Avenir Book" w:hAnsi="Avenir Book" w:cstheme="minorHAnsi"/>
          <w:sz w:val="22"/>
          <w:szCs w:val="22"/>
        </w:rPr>
        <w:t xml:space="preserve"> </w:t>
      </w:r>
      <w:r w:rsidR="002F0B6D">
        <w:rPr>
          <w:rFonts w:ascii="Avenir Book" w:hAnsi="Avenir Book" w:cstheme="minorHAnsi"/>
          <w:sz w:val="22"/>
          <w:szCs w:val="22"/>
        </w:rPr>
        <w:t xml:space="preserve">(CRPD Committee) </w:t>
      </w:r>
      <w:r w:rsidRPr="0047401F">
        <w:rPr>
          <w:rFonts w:ascii="Avenir Book" w:hAnsi="Avenir Book" w:cstheme="minorHAnsi"/>
          <w:sz w:val="22"/>
          <w:szCs w:val="22"/>
        </w:rPr>
        <w:t>provided its Concluding Observations</w:t>
      </w:r>
      <w:r w:rsidR="00945241">
        <w:rPr>
          <w:rStyle w:val="FootnoteReference"/>
          <w:rFonts w:ascii="Avenir Book" w:hAnsi="Avenir Book" w:cstheme="minorHAnsi"/>
          <w:sz w:val="22"/>
          <w:szCs w:val="22"/>
        </w:rPr>
        <w:footnoteReference w:id="178"/>
      </w:r>
      <w:r w:rsidRPr="0047401F">
        <w:rPr>
          <w:rFonts w:ascii="Avenir Book" w:hAnsi="Avenir Book" w:cstheme="minorHAnsi"/>
          <w:sz w:val="22"/>
          <w:szCs w:val="22"/>
        </w:rPr>
        <w:t xml:space="preserve"> on the combined second and third periodic report of Australia.</w:t>
      </w:r>
      <w:r w:rsidR="002C37CE">
        <w:rPr>
          <w:rStyle w:val="FootnoteReference"/>
          <w:rFonts w:ascii="Avenir Book" w:hAnsi="Avenir Book" w:cstheme="minorHAnsi"/>
          <w:sz w:val="22"/>
          <w:szCs w:val="22"/>
        </w:rPr>
        <w:footnoteReference w:id="179"/>
      </w:r>
      <w:r w:rsidRPr="0047401F">
        <w:rPr>
          <w:rFonts w:ascii="Avenir Book" w:hAnsi="Avenir Book" w:cstheme="minorHAnsi"/>
          <w:sz w:val="22"/>
          <w:szCs w:val="22"/>
        </w:rPr>
        <w:t xml:space="preserve"> The </w:t>
      </w:r>
      <w:r w:rsidR="002F0B6D">
        <w:rPr>
          <w:rFonts w:ascii="Avenir Book" w:hAnsi="Avenir Book" w:cstheme="minorHAnsi"/>
          <w:sz w:val="22"/>
          <w:szCs w:val="22"/>
        </w:rPr>
        <w:t xml:space="preserve">CRPD </w:t>
      </w:r>
      <w:r w:rsidRPr="0047401F">
        <w:rPr>
          <w:rFonts w:ascii="Avenir Book" w:hAnsi="Avenir Book" w:cstheme="minorHAnsi"/>
          <w:sz w:val="22"/>
          <w:szCs w:val="22"/>
        </w:rPr>
        <w:t xml:space="preserve">Committee expressed its concern that a significant proportion of people with disability live near or below the poverty line, there are eligibility restrictions for the Disability Support Pension and income support payments are inadequate, and there is limited consideration of people with disability, particularly Indigenous peoples with disability in poverty and homelessness reduction strategies. The </w:t>
      </w:r>
      <w:r w:rsidR="002F0B6D">
        <w:rPr>
          <w:rFonts w:ascii="Avenir Book" w:hAnsi="Avenir Book" w:cstheme="minorHAnsi"/>
          <w:sz w:val="22"/>
          <w:szCs w:val="22"/>
        </w:rPr>
        <w:t xml:space="preserve">CRPD </w:t>
      </w:r>
      <w:r w:rsidRPr="0047401F">
        <w:rPr>
          <w:rFonts w:ascii="Avenir Book" w:hAnsi="Avenir Book" w:cstheme="minorHAnsi"/>
          <w:sz w:val="22"/>
          <w:szCs w:val="22"/>
        </w:rPr>
        <w:t xml:space="preserve">Committee also expressed concern that the Specialist Disability Accommodation framework facilitates the establishment of institutional living arrangements, there is a lack of appropriate, affordable and accessible social housing, and a lack of legally mandated national access requirements for housing. The </w:t>
      </w:r>
      <w:r w:rsidR="002F0B6D">
        <w:rPr>
          <w:rFonts w:ascii="Avenir Book" w:hAnsi="Avenir Book" w:cstheme="minorHAnsi"/>
          <w:sz w:val="22"/>
          <w:szCs w:val="22"/>
        </w:rPr>
        <w:t xml:space="preserve">CRPD </w:t>
      </w:r>
      <w:r w:rsidRPr="0047401F">
        <w:rPr>
          <w:rFonts w:ascii="Avenir Book" w:hAnsi="Avenir Book" w:cstheme="minorHAnsi"/>
          <w:sz w:val="22"/>
          <w:szCs w:val="22"/>
        </w:rPr>
        <w:t xml:space="preserve">Committee recommended that Australia develop a national poverty reduction plan inclusive of people with disability, prioritise the right to an adequate standard of living for Indigenous peoples with disability, end the eligibility restrictions on the Disability Support Pension, raise the rate of income support payments, and ensure that people with disability are a priority cohort in the implementation of poverty reduction and public housing programs. The </w:t>
      </w:r>
      <w:r w:rsidR="002F0B6D">
        <w:rPr>
          <w:rFonts w:ascii="Avenir Book" w:hAnsi="Avenir Book" w:cstheme="minorHAnsi"/>
          <w:sz w:val="22"/>
          <w:szCs w:val="22"/>
        </w:rPr>
        <w:t xml:space="preserve">CRPD </w:t>
      </w:r>
      <w:r w:rsidRPr="0047401F">
        <w:rPr>
          <w:rFonts w:ascii="Avenir Book" w:hAnsi="Avenir Book" w:cstheme="minorHAnsi"/>
          <w:sz w:val="22"/>
          <w:szCs w:val="22"/>
        </w:rPr>
        <w:t xml:space="preserve">Committee further recommended that Australia amend federal law to include mandatory rules on access for all new and extensively modified housing. </w:t>
      </w:r>
    </w:p>
    <w:p w14:paraId="1B0FBAD9" w14:textId="77777777" w:rsidR="0047401F" w:rsidRDefault="0047401F" w:rsidP="00D71C5D">
      <w:pPr>
        <w:pStyle w:val="ListParagraph"/>
        <w:spacing w:line="240" w:lineRule="auto"/>
        <w:jc w:val="left"/>
        <w:rPr>
          <w:rFonts w:ascii="Avenir Book" w:hAnsi="Avenir Book" w:cstheme="minorHAnsi"/>
          <w:sz w:val="22"/>
          <w:szCs w:val="22"/>
        </w:rPr>
      </w:pPr>
    </w:p>
    <w:p w14:paraId="719F48DC" w14:textId="3F4311F8" w:rsidR="0047401F" w:rsidRDefault="0047401F" w:rsidP="00564172">
      <w:pPr>
        <w:pStyle w:val="ListParagraph"/>
        <w:numPr>
          <w:ilvl w:val="3"/>
          <w:numId w:val="31"/>
        </w:numPr>
        <w:spacing w:line="240" w:lineRule="auto"/>
        <w:ind w:left="851" w:hanging="851"/>
        <w:jc w:val="left"/>
        <w:rPr>
          <w:rFonts w:ascii="Avenir Book" w:hAnsi="Avenir Book" w:cstheme="minorHAnsi"/>
          <w:sz w:val="22"/>
          <w:szCs w:val="22"/>
        </w:rPr>
      </w:pPr>
      <w:r w:rsidRPr="0047401F">
        <w:rPr>
          <w:rFonts w:ascii="Avenir Book" w:hAnsi="Avenir Book" w:cstheme="minorHAnsi"/>
          <w:sz w:val="22"/>
          <w:szCs w:val="22"/>
        </w:rPr>
        <w:t xml:space="preserve">The </w:t>
      </w:r>
      <w:r w:rsidRPr="0047401F">
        <w:rPr>
          <w:rFonts w:ascii="Avenir Book" w:hAnsi="Avenir Book" w:cstheme="minorHAnsi"/>
          <w:b/>
          <w:sz w:val="22"/>
          <w:szCs w:val="22"/>
        </w:rPr>
        <w:t>Committee on the Elimination of Discrimination against Women</w:t>
      </w:r>
      <w:r w:rsidRPr="0047401F">
        <w:rPr>
          <w:rFonts w:ascii="Avenir Book" w:hAnsi="Avenir Book" w:cstheme="minorHAnsi"/>
          <w:sz w:val="22"/>
          <w:szCs w:val="22"/>
        </w:rPr>
        <w:t xml:space="preserve"> </w:t>
      </w:r>
      <w:r w:rsidR="002F0B6D">
        <w:rPr>
          <w:rFonts w:ascii="Avenir Book" w:hAnsi="Avenir Book" w:cstheme="minorHAnsi"/>
          <w:sz w:val="22"/>
          <w:szCs w:val="22"/>
        </w:rPr>
        <w:t xml:space="preserve">(CEDAW Committee) </w:t>
      </w:r>
      <w:r w:rsidRPr="0047401F">
        <w:rPr>
          <w:rFonts w:ascii="Avenir Book" w:hAnsi="Avenir Book" w:cstheme="minorHAnsi"/>
          <w:sz w:val="22"/>
          <w:szCs w:val="22"/>
        </w:rPr>
        <w:t xml:space="preserve">reviewed Australia's implementation of </w:t>
      </w:r>
      <w:r w:rsidR="002F0B6D" w:rsidRPr="002F0B6D">
        <w:rPr>
          <w:rFonts w:ascii="Avenir Book" w:hAnsi="Avenir Book" w:cstheme="minorHAnsi"/>
          <w:sz w:val="22"/>
          <w:szCs w:val="22"/>
        </w:rPr>
        <w:t xml:space="preserve">Convention on the Elimination of All </w:t>
      </w:r>
      <w:r w:rsidR="002F0B6D" w:rsidRPr="002F0B6D">
        <w:rPr>
          <w:rFonts w:ascii="Avenir Book" w:hAnsi="Avenir Book" w:cstheme="minorHAnsi"/>
          <w:sz w:val="22"/>
          <w:szCs w:val="22"/>
        </w:rPr>
        <w:lastRenderedPageBreak/>
        <w:t>Forms of Discrimination Against Women</w:t>
      </w:r>
      <w:r w:rsidR="002F0B6D" w:rsidRPr="0047401F">
        <w:rPr>
          <w:rFonts w:ascii="Avenir Book" w:hAnsi="Avenir Book" w:cstheme="minorHAnsi"/>
          <w:sz w:val="22"/>
          <w:szCs w:val="22"/>
        </w:rPr>
        <w:t xml:space="preserve"> </w:t>
      </w:r>
      <w:r w:rsidR="002F0B6D">
        <w:rPr>
          <w:rFonts w:ascii="Avenir Book" w:hAnsi="Avenir Book" w:cstheme="minorHAnsi"/>
          <w:sz w:val="22"/>
          <w:szCs w:val="22"/>
        </w:rPr>
        <w:t>(</w:t>
      </w:r>
      <w:r w:rsidRPr="0047401F">
        <w:rPr>
          <w:rFonts w:ascii="Avenir Book" w:hAnsi="Avenir Book" w:cstheme="minorHAnsi"/>
          <w:sz w:val="22"/>
          <w:szCs w:val="22"/>
        </w:rPr>
        <w:t>CEDAW</w:t>
      </w:r>
      <w:r w:rsidR="002F0B6D">
        <w:rPr>
          <w:rFonts w:ascii="Avenir Book" w:hAnsi="Avenir Book" w:cstheme="minorHAnsi"/>
          <w:sz w:val="22"/>
          <w:szCs w:val="22"/>
        </w:rPr>
        <w:t>)</w:t>
      </w:r>
      <w:r w:rsidR="00945241">
        <w:rPr>
          <w:rStyle w:val="FootnoteReference"/>
          <w:rFonts w:ascii="Avenir Book" w:hAnsi="Avenir Book" w:cstheme="minorHAnsi"/>
          <w:sz w:val="22"/>
          <w:szCs w:val="22"/>
        </w:rPr>
        <w:footnoteReference w:id="180"/>
      </w:r>
      <w:r w:rsidRPr="0047401F">
        <w:rPr>
          <w:rFonts w:ascii="Avenir Book" w:hAnsi="Avenir Book" w:cstheme="minorHAnsi"/>
          <w:sz w:val="22"/>
          <w:szCs w:val="22"/>
        </w:rPr>
        <w:t xml:space="preserve"> in 2018.</w:t>
      </w:r>
      <w:r w:rsidR="00945241">
        <w:rPr>
          <w:rStyle w:val="FootnoteReference"/>
          <w:rFonts w:ascii="Avenir Book" w:hAnsi="Avenir Book" w:cstheme="minorHAnsi"/>
          <w:sz w:val="22"/>
          <w:szCs w:val="22"/>
        </w:rPr>
        <w:footnoteReference w:id="181"/>
      </w:r>
      <w:r w:rsidRPr="0047401F">
        <w:rPr>
          <w:rFonts w:ascii="Avenir Book" w:hAnsi="Avenir Book" w:cstheme="minorHAnsi"/>
          <w:sz w:val="22"/>
          <w:szCs w:val="22"/>
        </w:rPr>
        <w:t xml:space="preserve"> The </w:t>
      </w:r>
      <w:r w:rsidR="002F0B6D">
        <w:rPr>
          <w:rFonts w:ascii="Avenir Book" w:hAnsi="Avenir Book" w:cstheme="minorHAnsi"/>
          <w:sz w:val="22"/>
          <w:szCs w:val="22"/>
        </w:rPr>
        <w:t xml:space="preserve">CEDAW </w:t>
      </w:r>
      <w:r w:rsidRPr="0047401F">
        <w:rPr>
          <w:rFonts w:ascii="Avenir Book" w:hAnsi="Avenir Book" w:cstheme="minorHAnsi"/>
          <w:sz w:val="22"/>
          <w:szCs w:val="22"/>
        </w:rPr>
        <w:t xml:space="preserve">Committee recommended that Australia take immediate measures to mitigate the effects of budget cuts to social, health, education and justice budgets, undertake a gender-impact analysis of those cuts and implement gender-responsive budgeting in the allocation of public resources. In relation to the right to housing, the </w:t>
      </w:r>
      <w:r w:rsidR="002F0B6D">
        <w:rPr>
          <w:rFonts w:ascii="Avenir Book" w:hAnsi="Avenir Book" w:cstheme="minorHAnsi"/>
          <w:sz w:val="22"/>
          <w:szCs w:val="22"/>
        </w:rPr>
        <w:t xml:space="preserve">CEDAW </w:t>
      </w:r>
      <w:r w:rsidRPr="0047401F">
        <w:rPr>
          <w:rFonts w:ascii="Avenir Book" w:hAnsi="Avenir Book" w:cstheme="minorHAnsi"/>
          <w:sz w:val="22"/>
          <w:szCs w:val="22"/>
        </w:rPr>
        <w:t xml:space="preserve">Committee recommended that Australia enhance access for women to affordable housing, both public and private, and take measures to ensure that older women have access to adequate housing that meets their specific needs. </w:t>
      </w:r>
    </w:p>
    <w:p w14:paraId="71940C18" w14:textId="77777777" w:rsidR="0047401F" w:rsidRPr="0047401F" w:rsidRDefault="0047401F" w:rsidP="00D71C5D">
      <w:pPr>
        <w:pStyle w:val="ListParagraph"/>
        <w:spacing w:line="240" w:lineRule="auto"/>
        <w:jc w:val="left"/>
        <w:rPr>
          <w:rFonts w:ascii="Avenir Book" w:hAnsi="Avenir Book" w:cstheme="minorHAnsi"/>
          <w:sz w:val="22"/>
          <w:szCs w:val="22"/>
        </w:rPr>
      </w:pPr>
    </w:p>
    <w:p w14:paraId="549E13DB" w14:textId="68D1D930" w:rsidR="0047401F" w:rsidRDefault="0047401F" w:rsidP="00564172">
      <w:pPr>
        <w:pStyle w:val="ListParagraph"/>
        <w:numPr>
          <w:ilvl w:val="3"/>
          <w:numId w:val="31"/>
        </w:numPr>
        <w:spacing w:line="240" w:lineRule="auto"/>
        <w:ind w:left="851" w:hanging="851"/>
        <w:jc w:val="left"/>
        <w:rPr>
          <w:rFonts w:ascii="Avenir Book" w:hAnsi="Avenir Book" w:cstheme="minorHAnsi"/>
          <w:sz w:val="22"/>
          <w:szCs w:val="22"/>
        </w:rPr>
      </w:pPr>
      <w:r w:rsidRPr="00945241">
        <w:rPr>
          <w:rFonts w:ascii="Avenir Book" w:hAnsi="Avenir Book" w:cstheme="minorHAnsi"/>
          <w:sz w:val="22"/>
          <w:szCs w:val="22"/>
        </w:rPr>
        <w:t xml:space="preserve">In September 2019, the </w:t>
      </w:r>
      <w:r w:rsidRPr="00945241">
        <w:rPr>
          <w:rFonts w:ascii="Avenir Book" w:hAnsi="Avenir Book" w:cstheme="minorHAnsi"/>
          <w:b/>
          <w:sz w:val="22"/>
          <w:szCs w:val="22"/>
        </w:rPr>
        <w:t>Committee on the Rights of the Child</w:t>
      </w:r>
      <w:r w:rsidRPr="00945241">
        <w:rPr>
          <w:rFonts w:ascii="Avenir Book" w:hAnsi="Avenir Book" w:cstheme="minorHAnsi"/>
          <w:sz w:val="22"/>
          <w:szCs w:val="22"/>
        </w:rPr>
        <w:t xml:space="preserve"> </w:t>
      </w:r>
      <w:r w:rsidR="002F0B6D">
        <w:rPr>
          <w:rFonts w:ascii="Avenir Book" w:hAnsi="Avenir Book" w:cstheme="minorHAnsi"/>
          <w:sz w:val="22"/>
          <w:szCs w:val="22"/>
        </w:rPr>
        <w:t xml:space="preserve">(CRC Committee) </w:t>
      </w:r>
      <w:r w:rsidRPr="00945241">
        <w:rPr>
          <w:rFonts w:ascii="Avenir Book" w:hAnsi="Avenir Book" w:cstheme="minorHAnsi"/>
          <w:sz w:val="22"/>
          <w:szCs w:val="22"/>
        </w:rPr>
        <w:t>reviewed Australia’s implementation of the Convention on the Rights of the Child</w:t>
      </w:r>
      <w:r w:rsidR="002F0B6D">
        <w:rPr>
          <w:rFonts w:ascii="Avenir Book" w:hAnsi="Avenir Book" w:cstheme="minorHAnsi"/>
          <w:sz w:val="22"/>
          <w:szCs w:val="22"/>
        </w:rPr>
        <w:t xml:space="preserve"> (CRC)</w:t>
      </w:r>
      <w:r w:rsidRPr="00945241">
        <w:rPr>
          <w:rFonts w:ascii="Avenir Book" w:hAnsi="Avenir Book" w:cstheme="minorHAnsi"/>
          <w:sz w:val="22"/>
          <w:szCs w:val="22"/>
        </w:rPr>
        <w:t xml:space="preserve">. The </w:t>
      </w:r>
      <w:r w:rsidR="002F0B6D">
        <w:rPr>
          <w:rFonts w:ascii="Avenir Book" w:hAnsi="Avenir Book" w:cstheme="minorHAnsi"/>
          <w:sz w:val="22"/>
          <w:szCs w:val="22"/>
        </w:rPr>
        <w:t xml:space="preserve">CRC </w:t>
      </w:r>
      <w:r w:rsidRPr="00945241">
        <w:rPr>
          <w:rFonts w:ascii="Avenir Book" w:hAnsi="Avenir Book" w:cstheme="minorHAnsi"/>
          <w:sz w:val="22"/>
          <w:szCs w:val="22"/>
        </w:rPr>
        <w:t>Committee reiterated its 2012 recommendation on public budgeting and the allocation of resources to address social disadvantage, and recommended in its Concluding Observations</w:t>
      </w:r>
      <w:r w:rsidR="00945241">
        <w:rPr>
          <w:rStyle w:val="FootnoteReference"/>
          <w:rFonts w:ascii="Avenir Book" w:hAnsi="Avenir Book" w:cstheme="minorHAnsi"/>
          <w:sz w:val="22"/>
          <w:szCs w:val="22"/>
        </w:rPr>
        <w:footnoteReference w:id="182"/>
      </w:r>
      <w:r w:rsidRPr="00945241">
        <w:rPr>
          <w:rFonts w:ascii="Avenir Book" w:hAnsi="Avenir Book" w:cstheme="minorHAnsi"/>
          <w:sz w:val="22"/>
          <w:szCs w:val="22"/>
        </w:rPr>
        <w:t xml:space="preserve"> that Australia conduct regular assessments of the distributional impact of government investment in sectors addressing disadvantage, with a view to addressing disparities in indicators related to children’s rights, particularly the rights of Indigenous children. The </w:t>
      </w:r>
      <w:r w:rsidR="002F0B6D">
        <w:rPr>
          <w:rFonts w:ascii="Avenir Book" w:hAnsi="Avenir Book" w:cstheme="minorHAnsi"/>
          <w:sz w:val="22"/>
          <w:szCs w:val="22"/>
        </w:rPr>
        <w:t xml:space="preserve">CRC </w:t>
      </w:r>
      <w:r w:rsidRPr="00945241">
        <w:rPr>
          <w:rFonts w:ascii="Avenir Book" w:hAnsi="Avenir Book" w:cstheme="minorHAnsi"/>
          <w:sz w:val="22"/>
          <w:szCs w:val="22"/>
        </w:rPr>
        <w:t xml:space="preserve">Committee also recommended that Australia address the high rate of homelessness among children, particularly focusing on children leaving alternative care.  </w:t>
      </w:r>
    </w:p>
    <w:p w14:paraId="1995449E" w14:textId="77777777" w:rsidR="00945241" w:rsidRPr="00945241" w:rsidRDefault="00945241" w:rsidP="00D71C5D">
      <w:pPr>
        <w:pStyle w:val="ListParagraph"/>
        <w:spacing w:line="240" w:lineRule="auto"/>
        <w:jc w:val="left"/>
        <w:rPr>
          <w:rFonts w:ascii="Avenir Book" w:hAnsi="Avenir Book" w:cstheme="minorHAnsi"/>
          <w:sz w:val="22"/>
          <w:szCs w:val="22"/>
        </w:rPr>
      </w:pPr>
    </w:p>
    <w:p w14:paraId="1410BB08" w14:textId="4D8898F2" w:rsidR="0047401F" w:rsidRDefault="0047401F" w:rsidP="00564172">
      <w:pPr>
        <w:pStyle w:val="ListParagraph"/>
        <w:numPr>
          <w:ilvl w:val="3"/>
          <w:numId w:val="31"/>
        </w:numPr>
        <w:spacing w:line="240" w:lineRule="auto"/>
        <w:ind w:left="851" w:hanging="851"/>
        <w:jc w:val="left"/>
        <w:rPr>
          <w:rFonts w:ascii="Avenir Book" w:hAnsi="Avenir Book" w:cstheme="minorHAnsi"/>
          <w:sz w:val="22"/>
          <w:szCs w:val="22"/>
        </w:rPr>
      </w:pPr>
      <w:r w:rsidRPr="00945241">
        <w:rPr>
          <w:rFonts w:ascii="Avenir Book" w:hAnsi="Avenir Book" w:cstheme="minorHAnsi"/>
          <w:sz w:val="22"/>
          <w:szCs w:val="22"/>
        </w:rPr>
        <w:t xml:space="preserve">In 2017, the </w:t>
      </w:r>
      <w:r w:rsidRPr="00945241">
        <w:rPr>
          <w:rFonts w:ascii="Avenir Book" w:hAnsi="Avenir Book" w:cstheme="minorHAnsi"/>
          <w:b/>
          <w:sz w:val="22"/>
          <w:szCs w:val="22"/>
        </w:rPr>
        <w:t>Committee on Economic, Social and Cultural Rights</w:t>
      </w:r>
      <w:r w:rsidRPr="00945241">
        <w:rPr>
          <w:rFonts w:ascii="Avenir Book" w:hAnsi="Avenir Book" w:cstheme="minorHAnsi"/>
          <w:sz w:val="22"/>
          <w:szCs w:val="22"/>
        </w:rPr>
        <w:t xml:space="preserve"> </w:t>
      </w:r>
      <w:r w:rsidR="002F0B6D">
        <w:rPr>
          <w:rFonts w:ascii="Avenir Book" w:hAnsi="Avenir Book" w:cstheme="minorHAnsi"/>
          <w:sz w:val="22"/>
          <w:szCs w:val="22"/>
        </w:rPr>
        <w:t xml:space="preserve">(ESCR Committee) </w:t>
      </w:r>
      <w:r w:rsidRPr="00945241">
        <w:rPr>
          <w:rFonts w:ascii="Avenir Book" w:hAnsi="Avenir Book" w:cstheme="minorHAnsi"/>
          <w:sz w:val="22"/>
          <w:szCs w:val="22"/>
        </w:rPr>
        <w:t>provided its Concluding Observations</w:t>
      </w:r>
      <w:r w:rsidR="00945241">
        <w:rPr>
          <w:rStyle w:val="FootnoteReference"/>
          <w:rFonts w:ascii="Avenir Book" w:hAnsi="Avenir Book" w:cstheme="minorHAnsi"/>
          <w:sz w:val="22"/>
          <w:szCs w:val="22"/>
        </w:rPr>
        <w:footnoteReference w:id="183"/>
      </w:r>
      <w:r w:rsidRPr="00945241">
        <w:rPr>
          <w:rFonts w:ascii="Avenir Book" w:hAnsi="Avenir Book" w:cstheme="minorHAnsi"/>
          <w:sz w:val="22"/>
          <w:szCs w:val="22"/>
        </w:rPr>
        <w:t xml:space="preserve"> on the fifth periodic report of Australia.</w:t>
      </w:r>
      <w:r w:rsidR="00945241">
        <w:rPr>
          <w:rStyle w:val="FootnoteReference"/>
          <w:rFonts w:ascii="Avenir Book" w:hAnsi="Avenir Book" w:cstheme="minorHAnsi"/>
          <w:sz w:val="22"/>
          <w:szCs w:val="22"/>
        </w:rPr>
        <w:footnoteReference w:id="184"/>
      </w:r>
      <w:r w:rsidRPr="00945241">
        <w:rPr>
          <w:rFonts w:ascii="Avenir Book" w:hAnsi="Avenir Book" w:cstheme="minorHAnsi"/>
          <w:sz w:val="22"/>
          <w:szCs w:val="22"/>
        </w:rPr>
        <w:t xml:space="preserve"> The </w:t>
      </w:r>
      <w:r w:rsidR="001B0325">
        <w:rPr>
          <w:rFonts w:ascii="Avenir Book" w:hAnsi="Avenir Book" w:cstheme="minorHAnsi"/>
          <w:sz w:val="22"/>
          <w:szCs w:val="22"/>
        </w:rPr>
        <w:t xml:space="preserve">ESCR </w:t>
      </w:r>
      <w:r w:rsidRPr="00945241">
        <w:rPr>
          <w:rFonts w:ascii="Avenir Book" w:hAnsi="Avenir Book" w:cstheme="minorHAnsi"/>
          <w:sz w:val="22"/>
          <w:szCs w:val="22"/>
        </w:rPr>
        <w:t xml:space="preserve">Committee expressed its concern at the absence of an adequate poverty measurement tool in Australia, and the limited statistical data on the extent and depth of poverty. The </w:t>
      </w:r>
      <w:r w:rsidR="001B0325">
        <w:rPr>
          <w:rFonts w:ascii="Avenir Book" w:hAnsi="Avenir Book" w:cstheme="minorHAnsi"/>
          <w:sz w:val="22"/>
          <w:szCs w:val="22"/>
        </w:rPr>
        <w:t xml:space="preserve">ESCR </w:t>
      </w:r>
      <w:r w:rsidRPr="00945241">
        <w:rPr>
          <w:rFonts w:ascii="Avenir Book" w:hAnsi="Avenir Book" w:cstheme="minorHAnsi"/>
          <w:sz w:val="22"/>
          <w:szCs w:val="22"/>
        </w:rPr>
        <w:t xml:space="preserve">Committee recommended that Australia adopt and implement a comprehensive strategy to combat poverty and promote social inclusion, while paying particular attention to disadvantaged and marginalised individuals and groups. It also recommended that Australia collect disaggregated data on the extent and depth of poverty. In relation to the right to housing, the </w:t>
      </w:r>
      <w:r w:rsidR="001B0325">
        <w:rPr>
          <w:rFonts w:ascii="Avenir Book" w:hAnsi="Avenir Book" w:cstheme="minorHAnsi"/>
          <w:sz w:val="22"/>
          <w:szCs w:val="22"/>
        </w:rPr>
        <w:t xml:space="preserve">ESCR </w:t>
      </w:r>
      <w:r w:rsidRPr="00945241">
        <w:rPr>
          <w:rFonts w:ascii="Avenir Book" w:hAnsi="Avenir Book" w:cstheme="minorHAnsi"/>
          <w:sz w:val="22"/>
          <w:szCs w:val="22"/>
        </w:rPr>
        <w:t xml:space="preserve">Committee recommended that Australia develop a comprehensive national housing strategy that takes into account the human rights of those most vulnerable to homelessness and increase its investments in affordable housing and social housing. The </w:t>
      </w:r>
      <w:r w:rsidR="001B0325">
        <w:rPr>
          <w:rFonts w:ascii="Avenir Book" w:hAnsi="Avenir Book" w:cstheme="minorHAnsi"/>
          <w:sz w:val="22"/>
          <w:szCs w:val="22"/>
        </w:rPr>
        <w:t xml:space="preserve">ESCR </w:t>
      </w:r>
      <w:r w:rsidRPr="00945241">
        <w:rPr>
          <w:rFonts w:ascii="Avenir Book" w:hAnsi="Avenir Book" w:cstheme="minorHAnsi"/>
          <w:sz w:val="22"/>
          <w:szCs w:val="22"/>
        </w:rPr>
        <w:t>Committee further recommended that Australia take effective measures to find alternative living solutions and prioritise community-based living settings for persons with cognitive or psychosocial disability.</w:t>
      </w:r>
    </w:p>
    <w:p w14:paraId="48E74E5F" w14:textId="77777777" w:rsidR="00490D6D" w:rsidRDefault="00490D6D" w:rsidP="00D71C5D">
      <w:pPr>
        <w:pStyle w:val="ListParagraph"/>
        <w:spacing w:line="240" w:lineRule="auto"/>
        <w:ind w:left="851"/>
        <w:jc w:val="left"/>
        <w:rPr>
          <w:rFonts w:ascii="Avenir Book" w:hAnsi="Avenir Book" w:cstheme="minorHAnsi"/>
          <w:sz w:val="22"/>
          <w:szCs w:val="22"/>
        </w:rPr>
      </w:pPr>
    </w:p>
    <w:p w14:paraId="4706D85E" w14:textId="0074A9CA" w:rsidR="0047401F" w:rsidRDefault="0047401F" w:rsidP="00564172">
      <w:pPr>
        <w:pStyle w:val="ListParagraph"/>
        <w:numPr>
          <w:ilvl w:val="3"/>
          <w:numId w:val="31"/>
        </w:numPr>
        <w:spacing w:line="240" w:lineRule="auto"/>
        <w:ind w:left="851" w:hanging="851"/>
        <w:jc w:val="left"/>
        <w:rPr>
          <w:rFonts w:ascii="Avenir Book" w:hAnsi="Avenir Book" w:cstheme="minorHAnsi"/>
          <w:sz w:val="22"/>
          <w:szCs w:val="22"/>
        </w:rPr>
      </w:pPr>
      <w:r w:rsidRPr="00490D6D">
        <w:rPr>
          <w:rFonts w:ascii="Avenir Book" w:hAnsi="Avenir Book" w:cstheme="minorHAnsi"/>
          <w:sz w:val="22"/>
          <w:szCs w:val="22"/>
        </w:rPr>
        <w:lastRenderedPageBreak/>
        <w:t xml:space="preserve">In December 2017, the </w:t>
      </w:r>
      <w:r w:rsidRPr="00490D6D">
        <w:rPr>
          <w:rFonts w:ascii="Avenir Book" w:hAnsi="Avenir Book" w:cstheme="minorHAnsi"/>
          <w:b/>
          <w:sz w:val="22"/>
          <w:szCs w:val="22"/>
        </w:rPr>
        <w:t>Committee on the Elimination of Racial Discrimination</w:t>
      </w:r>
      <w:r w:rsidRPr="00490D6D">
        <w:rPr>
          <w:rFonts w:ascii="Avenir Book" w:hAnsi="Avenir Book" w:cstheme="minorHAnsi"/>
          <w:sz w:val="22"/>
          <w:szCs w:val="22"/>
        </w:rPr>
        <w:t xml:space="preserve"> </w:t>
      </w:r>
      <w:r w:rsidR="001B0325">
        <w:rPr>
          <w:rFonts w:ascii="Avenir Book" w:hAnsi="Avenir Book" w:cstheme="minorHAnsi"/>
          <w:sz w:val="22"/>
          <w:szCs w:val="22"/>
        </w:rPr>
        <w:t xml:space="preserve">(CERD Committee) </w:t>
      </w:r>
      <w:r w:rsidRPr="00490D6D">
        <w:rPr>
          <w:rFonts w:ascii="Avenir Book" w:hAnsi="Avenir Book" w:cstheme="minorHAnsi"/>
          <w:sz w:val="22"/>
          <w:szCs w:val="22"/>
        </w:rPr>
        <w:t>released its Concluding Observations</w:t>
      </w:r>
      <w:r w:rsidR="00490D6D">
        <w:rPr>
          <w:rStyle w:val="FootnoteReference"/>
          <w:rFonts w:ascii="Avenir Book" w:hAnsi="Avenir Book" w:cstheme="minorHAnsi"/>
          <w:sz w:val="22"/>
          <w:szCs w:val="22"/>
        </w:rPr>
        <w:footnoteReference w:id="185"/>
      </w:r>
      <w:r w:rsidRPr="00490D6D">
        <w:rPr>
          <w:rFonts w:ascii="Avenir Book" w:hAnsi="Avenir Book" w:cstheme="minorHAnsi"/>
          <w:sz w:val="22"/>
          <w:szCs w:val="22"/>
        </w:rPr>
        <w:t xml:space="preserve"> of Australia’s compliance under the International Convention on the Elimination of All Forms of Racial Discrimination</w:t>
      </w:r>
      <w:r w:rsidR="001B0325">
        <w:rPr>
          <w:rFonts w:ascii="Avenir Book" w:hAnsi="Avenir Book" w:cstheme="minorHAnsi"/>
          <w:sz w:val="22"/>
          <w:szCs w:val="22"/>
        </w:rPr>
        <w:t xml:space="preserve"> (ICERD)</w:t>
      </w:r>
      <w:r w:rsidRPr="00490D6D">
        <w:rPr>
          <w:rFonts w:ascii="Avenir Book" w:hAnsi="Avenir Book" w:cstheme="minorHAnsi"/>
          <w:sz w:val="22"/>
          <w:szCs w:val="22"/>
        </w:rPr>
        <w:t xml:space="preserve">. The </w:t>
      </w:r>
      <w:r w:rsidR="001B0325">
        <w:rPr>
          <w:rFonts w:ascii="Avenir Book" w:hAnsi="Avenir Book" w:cstheme="minorHAnsi"/>
          <w:sz w:val="22"/>
          <w:szCs w:val="22"/>
        </w:rPr>
        <w:t xml:space="preserve">CERD </w:t>
      </w:r>
      <w:r w:rsidRPr="00490D6D">
        <w:rPr>
          <w:rFonts w:ascii="Avenir Book" w:hAnsi="Avenir Book" w:cstheme="minorHAnsi"/>
          <w:sz w:val="22"/>
          <w:szCs w:val="22"/>
        </w:rPr>
        <w:t xml:space="preserve">Committee expressed its deep concern that Indigenous peoples continue to experience high levels of discrimination across all socioeconomic indicators, including education, health care, employment and housing. The </w:t>
      </w:r>
      <w:r w:rsidR="001B0325">
        <w:rPr>
          <w:rFonts w:ascii="Avenir Book" w:hAnsi="Avenir Book" w:cstheme="minorHAnsi"/>
          <w:sz w:val="22"/>
          <w:szCs w:val="22"/>
        </w:rPr>
        <w:t xml:space="preserve">CERD </w:t>
      </w:r>
      <w:r w:rsidRPr="00490D6D">
        <w:rPr>
          <w:rFonts w:ascii="Avenir Book" w:hAnsi="Avenir Book" w:cstheme="minorHAnsi"/>
          <w:sz w:val="22"/>
          <w:szCs w:val="22"/>
        </w:rPr>
        <w:t xml:space="preserve">Committee also expressed its concern that Indigenous peoples, including those living in remote areas, face discrimination in access to social security benefits, notably through the mandatory income-management scheme and the community development programme. The </w:t>
      </w:r>
      <w:r w:rsidR="001B0325">
        <w:rPr>
          <w:rFonts w:ascii="Avenir Book" w:hAnsi="Avenir Book" w:cstheme="minorHAnsi"/>
          <w:sz w:val="22"/>
          <w:szCs w:val="22"/>
        </w:rPr>
        <w:t xml:space="preserve">CERD </w:t>
      </w:r>
      <w:r w:rsidRPr="00490D6D">
        <w:rPr>
          <w:rFonts w:ascii="Avenir Book" w:hAnsi="Avenir Book" w:cstheme="minorHAnsi"/>
          <w:sz w:val="22"/>
          <w:szCs w:val="22"/>
        </w:rPr>
        <w:t>Committee recommended that Australia effectively implement well-resourced policies that aim to improve the socioeconomic situation of Indigenous peoples; adopt and implement other adequately resourced programmes, including specific programmes for Indigenous peoples with disability; and reconsider the mandatory income-management scheme; maintain only an opt-in income-management scheme and remove discriminatory conditions in access to social security benefits by claimants living in remote areas.</w:t>
      </w:r>
    </w:p>
    <w:p w14:paraId="16A26880" w14:textId="77777777" w:rsidR="00D1282E" w:rsidRPr="00D1282E" w:rsidRDefault="00D1282E" w:rsidP="00D1282E">
      <w:pPr>
        <w:pStyle w:val="ListParagraph"/>
        <w:spacing w:line="240" w:lineRule="auto"/>
        <w:ind w:left="851"/>
        <w:jc w:val="left"/>
        <w:rPr>
          <w:rFonts w:ascii="Avenir Book" w:hAnsi="Avenir Book" w:cstheme="minorHAnsi"/>
          <w:sz w:val="22"/>
          <w:szCs w:val="22"/>
        </w:rPr>
      </w:pPr>
    </w:p>
    <w:p w14:paraId="6DBD64A5" w14:textId="5935B8CD" w:rsidR="0047401F" w:rsidRPr="005D3F1E" w:rsidRDefault="001460B8" w:rsidP="00564172">
      <w:pPr>
        <w:pStyle w:val="ListParagraph"/>
        <w:numPr>
          <w:ilvl w:val="2"/>
          <w:numId w:val="31"/>
        </w:numPr>
        <w:spacing w:after="120" w:line="240" w:lineRule="auto"/>
        <w:ind w:left="851" w:hanging="851"/>
        <w:contextualSpacing w:val="0"/>
        <w:jc w:val="left"/>
        <w:rPr>
          <w:rFonts w:ascii="Avenir Book" w:eastAsiaTheme="minorHAnsi" w:hAnsi="Avenir Book" w:cstheme="minorHAnsi"/>
          <w:b/>
          <w:sz w:val="22"/>
          <w:szCs w:val="22"/>
        </w:rPr>
      </w:pPr>
      <w:r>
        <w:rPr>
          <w:rFonts w:ascii="Avenir Book" w:hAnsi="Avenir Book" w:cstheme="minorHAnsi"/>
          <w:b/>
          <w:sz w:val="22"/>
          <w:szCs w:val="22"/>
        </w:rPr>
        <w:t>Autonomy, d</w:t>
      </w:r>
      <w:r w:rsidR="005D3F1E">
        <w:rPr>
          <w:rFonts w:ascii="Avenir Book" w:hAnsi="Avenir Book" w:cstheme="minorHAnsi"/>
          <w:b/>
          <w:sz w:val="22"/>
          <w:szCs w:val="22"/>
        </w:rPr>
        <w:t xml:space="preserve">ecision-making, representation, </w:t>
      </w:r>
      <w:r w:rsidR="001B0325">
        <w:rPr>
          <w:rFonts w:ascii="Avenir Book" w:hAnsi="Avenir Book" w:cstheme="minorHAnsi"/>
          <w:b/>
          <w:sz w:val="22"/>
          <w:szCs w:val="22"/>
        </w:rPr>
        <w:t xml:space="preserve">participation, </w:t>
      </w:r>
      <w:r w:rsidR="005D3F1E">
        <w:rPr>
          <w:rFonts w:ascii="Avenir Book" w:hAnsi="Avenir Book" w:cstheme="minorHAnsi"/>
          <w:b/>
          <w:sz w:val="22"/>
          <w:szCs w:val="22"/>
        </w:rPr>
        <w:t>accessibility:</w:t>
      </w:r>
    </w:p>
    <w:p w14:paraId="2A9197DB" w14:textId="5A3EF661" w:rsidR="00490D6D" w:rsidRDefault="00490D6D" w:rsidP="00564172">
      <w:pPr>
        <w:pStyle w:val="ListParagraph"/>
        <w:numPr>
          <w:ilvl w:val="3"/>
          <w:numId w:val="31"/>
        </w:numPr>
        <w:spacing w:line="240" w:lineRule="auto"/>
        <w:ind w:left="851" w:hanging="851"/>
        <w:jc w:val="left"/>
        <w:rPr>
          <w:rFonts w:ascii="Avenir Book" w:hAnsi="Avenir Book" w:cstheme="minorHAnsi"/>
          <w:sz w:val="22"/>
          <w:szCs w:val="22"/>
        </w:rPr>
      </w:pPr>
      <w:r w:rsidRPr="005D3F1E">
        <w:rPr>
          <w:rFonts w:ascii="Avenir Book" w:eastAsiaTheme="minorHAnsi" w:hAnsi="Avenir Book" w:cstheme="minorHAnsi"/>
          <w:sz w:val="22"/>
          <w:szCs w:val="22"/>
        </w:rPr>
        <w:t xml:space="preserve">In 2019, the </w:t>
      </w:r>
      <w:r w:rsidRPr="005D3F1E">
        <w:rPr>
          <w:rFonts w:ascii="Avenir Book" w:eastAsiaTheme="minorHAnsi" w:hAnsi="Avenir Book" w:cstheme="minorHAnsi"/>
          <w:b/>
          <w:sz w:val="22"/>
          <w:szCs w:val="22"/>
        </w:rPr>
        <w:t>Committee on the Rights of Persons with Disabilities</w:t>
      </w:r>
      <w:r w:rsidRPr="005D3F1E">
        <w:rPr>
          <w:rFonts w:ascii="Avenir Book" w:eastAsiaTheme="minorHAnsi" w:hAnsi="Avenir Book" w:cstheme="minorHAnsi"/>
          <w:sz w:val="22"/>
          <w:szCs w:val="22"/>
        </w:rPr>
        <w:t xml:space="preserve"> adopted its Concluding Observations following its review of Australia’s compliance with the </w:t>
      </w:r>
      <w:r w:rsidRPr="005D3F1E">
        <w:rPr>
          <w:rFonts w:ascii="Avenir Book" w:hAnsi="Avenir Book" w:cstheme="minorHAnsi"/>
          <w:sz w:val="22"/>
          <w:szCs w:val="22"/>
        </w:rPr>
        <w:t>Convention on the Rights of Persons with Disabilities</w:t>
      </w:r>
      <w:r w:rsidRPr="005D3F1E">
        <w:rPr>
          <w:rFonts w:ascii="Avenir Book" w:eastAsiaTheme="minorHAnsi" w:hAnsi="Avenir Book" w:cstheme="minorHAnsi"/>
          <w:sz w:val="22"/>
          <w:szCs w:val="22"/>
        </w:rPr>
        <w:t>.</w:t>
      </w:r>
      <w:r w:rsidR="002F0B6D">
        <w:rPr>
          <w:rStyle w:val="FootnoteReference"/>
          <w:rFonts w:ascii="Avenir Book" w:hAnsi="Avenir Book" w:cstheme="minorHAnsi"/>
          <w:sz w:val="22"/>
          <w:szCs w:val="22"/>
        </w:rPr>
        <w:footnoteReference w:id="186"/>
      </w:r>
      <w:r w:rsidRPr="005D3F1E">
        <w:rPr>
          <w:rFonts w:ascii="Avenir Book" w:eastAsiaTheme="minorHAnsi" w:hAnsi="Avenir Book" w:cstheme="minorHAnsi"/>
          <w:sz w:val="22"/>
          <w:szCs w:val="22"/>
        </w:rPr>
        <w:t xml:space="preserve"> The </w:t>
      </w:r>
      <w:r w:rsidR="001B0325">
        <w:rPr>
          <w:rFonts w:ascii="Avenir Book" w:hAnsi="Avenir Book" w:cstheme="minorHAnsi"/>
          <w:sz w:val="22"/>
          <w:szCs w:val="22"/>
        </w:rPr>
        <w:t xml:space="preserve">CRPD </w:t>
      </w:r>
      <w:r w:rsidRPr="005D3F1E">
        <w:rPr>
          <w:rFonts w:ascii="Avenir Book" w:eastAsiaTheme="minorHAnsi" w:hAnsi="Avenir Book" w:cstheme="minorHAnsi"/>
          <w:sz w:val="22"/>
          <w:szCs w:val="22"/>
        </w:rPr>
        <w:t>Committee expressed concern about: the lack of information on the representation of women with disability, particularly Indigenous women with disability, in political and public life; the lack of progress made to abolish substituted decision-making regimes and replace them with supported decision-making systems; electoral laws that contain “unsound mind” provisions that result in people with disability not being entitled to vote in elections; the electoral process not being fully accessible and not guaranteeing secret voting rights to people with disability; and the lack of information and communications technologies and systems</w:t>
      </w:r>
      <w:r w:rsidRPr="005D3F1E">
        <w:rPr>
          <w:rFonts w:ascii="Avenir Book" w:hAnsi="Avenir Book" w:cstheme="minorHAnsi"/>
          <w:sz w:val="22"/>
          <w:szCs w:val="22"/>
        </w:rPr>
        <w:t xml:space="preserve"> and no legally binding information and communications accessibility standards. The </w:t>
      </w:r>
      <w:r w:rsidR="001B0325">
        <w:rPr>
          <w:rFonts w:ascii="Avenir Book" w:hAnsi="Avenir Book" w:cstheme="minorHAnsi"/>
          <w:sz w:val="22"/>
          <w:szCs w:val="22"/>
        </w:rPr>
        <w:t xml:space="preserve">CRPD </w:t>
      </w:r>
      <w:r w:rsidRPr="005D3F1E">
        <w:rPr>
          <w:rFonts w:ascii="Avenir Book" w:hAnsi="Avenir Book" w:cstheme="minorHAnsi"/>
          <w:sz w:val="22"/>
          <w:szCs w:val="22"/>
        </w:rPr>
        <w:t xml:space="preserve">Committee was also concerned that there are no permanent or effective mechanisms to ensure the active participation of persons with disability, through their representative organisations, in the implementation and monitoring of the </w:t>
      </w:r>
      <w:r w:rsidR="001B0325">
        <w:rPr>
          <w:rFonts w:ascii="Avenir Book" w:hAnsi="Avenir Book" w:cstheme="minorHAnsi"/>
          <w:sz w:val="22"/>
          <w:szCs w:val="22"/>
        </w:rPr>
        <w:t>CRPD</w:t>
      </w:r>
      <w:r w:rsidRPr="005D3F1E">
        <w:rPr>
          <w:rFonts w:ascii="Avenir Book" w:hAnsi="Avenir Book" w:cstheme="minorHAnsi"/>
          <w:sz w:val="22"/>
          <w:szCs w:val="22"/>
        </w:rPr>
        <w:t xml:space="preserve">; the </w:t>
      </w:r>
      <w:r w:rsidRPr="005D3F1E">
        <w:rPr>
          <w:rFonts w:ascii="Avenir Book" w:eastAsiaTheme="minorHAnsi" w:hAnsi="Avenir Book" w:cstheme="minorHAnsi"/>
          <w:sz w:val="22"/>
          <w:szCs w:val="22"/>
        </w:rPr>
        <w:t xml:space="preserve">lack of disability and age appropriate assistance for children with disability to participate and express their views; and the limited opportunities for women and girls with disability to participate in the development of policies regarding the rights of women and gender equality.  The </w:t>
      </w:r>
      <w:r w:rsidR="001B0325">
        <w:rPr>
          <w:rFonts w:ascii="Avenir Book" w:hAnsi="Avenir Book" w:cstheme="minorHAnsi"/>
          <w:sz w:val="22"/>
          <w:szCs w:val="22"/>
        </w:rPr>
        <w:t xml:space="preserve">CRPD </w:t>
      </w:r>
      <w:r w:rsidRPr="005D3F1E">
        <w:rPr>
          <w:rFonts w:ascii="Avenir Book" w:eastAsiaTheme="minorHAnsi" w:hAnsi="Avenir Book" w:cstheme="minorHAnsi"/>
          <w:sz w:val="22"/>
          <w:szCs w:val="22"/>
        </w:rPr>
        <w:t xml:space="preserve">Committee recommended that Australia: ensure representation and accelerate the participation of women with disability, particularly Indigenous women with disability, in political and public life at all levels; repeal laws and policies the deny or diminish the right of people with disability to exercise legal capacity and implement a nationally consistent supported decision-making framework; develop measures to ensure the full accessibility of electoral processes and guarantee secret voting rights; and develop legally binding information and communications accessibility standards.  The </w:t>
      </w:r>
      <w:r w:rsidR="001B0325">
        <w:rPr>
          <w:rFonts w:ascii="Avenir Book" w:hAnsi="Avenir Book" w:cstheme="minorHAnsi"/>
          <w:sz w:val="22"/>
          <w:szCs w:val="22"/>
        </w:rPr>
        <w:lastRenderedPageBreak/>
        <w:t xml:space="preserve">CRPD </w:t>
      </w:r>
      <w:r w:rsidRPr="005D3F1E">
        <w:rPr>
          <w:rFonts w:ascii="Avenir Book" w:eastAsiaTheme="minorHAnsi" w:hAnsi="Avenir Book" w:cstheme="minorHAnsi"/>
          <w:sz w:val="22"/>
          <w:szCs w:val="22"/>
        </w:rPr>
        <w:t xml:space="preserve">Committee further recommended that Australia </w:t>
      </w:r>
      <w:r w:rsidRPr="005D3F1E">
        <w:rPr>
          <w:rFonts w:ascii="Avenir Book" w:hAnsi="Avenir Book" w:cstheme="minorHAnsi"/>
          <w:sz w:val="22"/>
          <w:szCs w:val="22"/>
        </w:rPr>
        <w:t xml:space="preserve">establish formal and permanent mechanisms to ensure the full and effective participation of people with disability, including children with disability, through their representative organisations, in the implementation and monitoring of the </w:t>
      </w:r>
      <w:r w:rsidR="001B0325">
        <w:rPr>
          <w:rFonts w:ascii="Avenir Book" w:hAnsi="Avenir Book" w:cstheme="minorHAnsi"/>
          <w:sz w:val="22"/>
          <w:szCs w:val="22"/>
        </w:rPr>
        <w:t>CRPD</w:t>
      </w:r>
      <w:r w:rsidRPr="005D3F1E">
        <w:rPr>
          <w:rFonts w:ascii="Avenir Book" w:hAnsi="Avenir Book" w:cstheme="minorHAnsi"/>
          <w:sz w:val="22"/>
          <w:szCs w:val="22"/>
        </w:rPr>
        <w:t>;</w:t>
      </w:r>
      <w:r w:rsidRPr="005D3F1E">
        <w:rPr>
          <w:rFonts w:ascii="Avenir Book" w:eastAsiaTheme="minorHAnsi" w:hAnsi="Avenir Book" w:cstheme="minorHAnsi"/>
          <w:sz w:val="22"/>
          <w:szCs w:val="22"/>
        </w:rPr>
        <w:t xml:space="preserve"> amend all legislation to guarantee that children with disability are provided with age-appropriate support and accommodations to express their views in all matters that affect their rights or interests; and to adequately support organisations and networks of women and girls with disability, particularly those representing Indigenous women and girls with disability, to engage in all initiatives to promote gender equality and ensure their effective participation in the development of policies for gender equality and the advancement of women and girls.</w:t>
      </w:r>
    </w:p>
    <w:p w14:paraId="4EBB2B78" w14:textId="77777777" w:rsidR="002F0B6D" w:rsidRPr="005D3F1E" w:rsidRDefault="002F0B6D" w:rsidP="00D71C5D">
      <w:pPr>
        <w:pStyle w:val="ListParagraph"/>
        <w:spacing w:line="240" w:lineRule="auto"/>
        <w:ind w:left="851"/>
        <w:jc w:val="left"/>
        <w:rPr>
          <w:rFonts w:ascii="Avenir Book" w:eastAsiaTheme="minorHAnsi" w:hAnsi="Avenir Book" w:cstheme="minorHAnsi"/>
          <w:sz w:val="22"/>
          <w:szCs w:val="22"/>
        </w:rPr>
      </w:pPr>
    </w:p>
    <w:p w14:paraId="53924338" w14:textId="3C7ECDE4" w:rsidR="00490D6D" w:rsidRDefault="00490D6D" w:rsidP="00564172">
      <w:pPr>
        <w:pStyle w:val="ListParagraph"/>
        <w:numPr>
          <w:ilvl w:val="3"/>
          <w:numId w:val="31"/>
        </w:numPr>
        <w:spacing w:line="240" w:lineRule="auto"/>
        <w:ind w:left="851" w:hanging="851"/>
        <w:jc w:val="left"/>
        <w:rPr>
          <w:rFonts w:ascii="Avenir Book" w:hAnsi="Avenir Book" w:cstheme="minorHAnsi"/>
          <w:sz w:val="22"/>
          <w:szCs w:val="22"/>
        </w:rPr>
      </w:pPr>
      <w:r w:rsidRPr="002F0B6D">
        <w:rPr>
          <w:rFonts w:ascii="Avenir Book" w:eastAsiaTheme="minorHAnsi" w:hAnsi="Avenir Book" w:cstheme="minorHAnsi"/>
          <w:sz w:val="22"/>
          <w:szCs w:val="22"/>
        </w:rPr>
        <w:t>In its 2018 review</w:t>
      </w:r>
      <w:r w:rsidR="002F0B6D">
        <w:rPr>
          <w:rStyle w:val="FootnoteReference"/>
          <w:rFonts w:ascii="Avenir Book" w:hAnsi="Avenir Book" w:cstheme="minorHAnsi"/>
          <w:sz w:val="22"/>
          <w:szCs w:val="22"/>
        </w:rPr>
        <w:footnoteReference w:id="187"/>
      </w:r>
      <w:r w:rsidRPr="002F0B6D">
        <w:rPr>
          <w:rFonts w:ascii="Avenir Book" w:eastAsiaTheme="minorHAnsi" w:hAnsi="Avenir Book" w:cstheme="minorHAnsi"/>
          <w:sz w:val="22"/>
          <w:szCs w:val="22"/>
        </w:rPr>
        <w:t xml:space="preserve"> of Australia’s eighth periodic report</w:t>
      </w:r>
      <w:r w:rsidR="002F0B6D">
        <w:rPr>
          <w:rStyle w:val="FootnoteReference"/>
          <w:rFonts w:ascii="Avenir Book" w:hAnsi="Avenir Book" w:cstheme="minorHAnsi"/>
          <w:sz w:val="22"/>
          <w:szCs w:val="22"/>
        </w:rPr>
        <w:footnoteReference w:id="188"/>
      </w:r>
      <w:r w:rsidRPr="002F0B6D">
        <w:rPr>
          <w:rFonts w:ascii="Avenir Book" w:eastAsiaTheme="minorHAnsi" w:hAnsi="Avenir Book" w:cstheme="minorHAnsi"/>
          <w:sz w:val="22"/>
          <w:szCs w:val="22"/>
        </w:rPr>
        <w:t xml:space="preserve"> under </w:t>
      </w:r>
      <w:r w:rsidR="002F0B6D">
        <w:rPr>
          <w:rFonts w:ascii="Avenir Book" w:hAnsi="Avenir Book" w:cstheme="minorHAnsi"/>
          <w:sz w:val="22"/>
          <w:szCs w:val="22"/>
        </w:rPr>
        <w:t>CEDAW</w:t>
      </w:r>
      <w:r w:rsidRPr="002F0B6D">
        <w:rPr>
          <w:rFonts w:ascii="Avenir Book" w:hAnsi="Avenir Book" w:cstheme="minorHAnsi"/>
          <w:sz w:val="22"/>
          <w:szCs w:val="22"/>
        </w:rPr>
        <w:t xml:space="preserve">, the </w:t>
      </w:r>
      <w:r w:rsidRPr="002F0B6D">
        <w:rPr>
          <w:rFonts w:ascii="Avenir Book" w:hAnsi="Avenir Book" w:cstheme="minorHAnsi"/>
          <w:b/>
          <w:sz w:val="22"/>
          <w:szCs w:val="22"/>
        </w:rPr>
        <w:t>CEDAW Committee</w:t>
      </w:r>
      <w:r w:rsidRPr="002F0B6D">
        <w:rPr>
          <w:rFonts w:ascii="Avenir Book" w:hAnsi="Avenir Book" w:cstheme="minorHAnsi"/>
          <w:sz w:val="22"/>
          <w:szCs w:val="22"/>
        </w:rPr>
        <w:t xml:space="preserve"> expressed its concern that temporary special measures may not be used sufficiently to accelerate progress towards substantive gender equality, and recommended that Australia put in place temporary special measures to accelerate the equal participation of women in political and public life, education, employment and the health sector, including with regard to women facing intersecting forms of discrimination.</w:t>
      </w:r>
    </w:p>
    <w:p w14:paraId="04DAA4E2" w14:textId="77777777" w:rsidR="001B0325" w:rsidRPr="001B0325" w:rsidRDefault="001B0325" w:rsidP="00D71C5D">
      <w:pPr>
        <w:pStyle w:val="ListParagraph"/>
        <w:spacing w:line="240" w:lineRule="auto"/>
        <w:jc w:val="left"/>
        <w:rPr>
          <w:rFonts w:ascii="Avenir Book" w:hAnsi="Avenir Book" w:cstheme="minorHAnsi"/>
          <w:sz w:val="22"/>
          <w:szCs w:val="22"/>
        </w:rPr>
      </w:pPr>
    </w:p>
    <w:p w14:paraId="330D128D" w14:textId="311821E4" w:rsidR="00490D6D" w:rsidRDefault="00490D6D" w:rsidP="00564172">
      <w:pPr>
        <w:pStyle w:val="ListParagraph"/>
        <w:numPr>
          <w:ilvl w:val="3"/>
          <w:numId w:val="31"/>
        </w:numPr>
        <w:spacing w:line="240" w:lineRule="auto"/>
        <w:ind w:left="851" w:hanging="851"/>
        <w:jc w:val="left"/>
        <w:rPr>
          <w:rFonts w:ascii="Avenir Book" w:hAnsi="Avenir Book" w:cstheme="minorHAnsi"/>
          <w:sz w:val="22"/>
          <w:szCs w:val="22"/>
        </w:rPr>
      </w:pPr>
      <w:r w:rsidRPr="001B0325">
        <w:rPr>
          <w:rFonts w:ascii="Avenir Book" w:hAnsi="Avenir Book" w:cstheme="minorHAnsi"/>
          <w:sz w:val="22"/>
          <w:szCs w:val="22"/>
        </w:rPr>
        <w:t xml:space="preserve">In 2019, the </w:t>
      </w:r>
      <w:r w:rsidRPr="001B0325">
        <w:rPr>
          <w:rFonts w:ascii="Avenir Book" w:hAnsi="Avenir Book" w:cstheme="minorHAnsi"/>
          <w:b/>
          <w:sz w:val="22"/>
          <w:szCs w:val="22"/>
        </w:rPr>
        <w:t>C</w:t>
      </w:r>
      <w:r w:rsidR="001B0325" w:rsidRPr="001B0325">
        <w:rPr>
          <w:rFonts w:ascii="Avenir Book" w:hAnsi="Avenir Book" w:cstheme="minorHAnsi"/>
          <w:b/>
          <w:sz w:val="22"/>
          <w:szCs w:val="22"/>
        </w:rPr>
        <w:t>RC C</w:t>
      </w:r>
      <w:r w:rsidRPr="001B0325">
        <w:rPr>
          <w:rFonts w:ascii="Avenir Book" w:hAnsi="Avenir Book" w:cstheme="minorHAnsi"/>
          <w:b/>
          <w:sz w:val="22"/>
          <w:szCs w:val="22"/>
        </w:rPr>
        <w:t>ommittee</w:t>
      </w:r>
      <w:r w:rsidRPr="001B0325">
        <w:rPr>
          <w:rFonts w:ascii="Avenir Book" w:hAnsi="Avenir Book" w:cstheme="minorHAnsi"/>
          <w:sz w:val="22"/>
          <w:szCs w:val="22"/>
        </w:rPr>
        <w:t xml:space="preserve"> provided its Concluding Observations</w:t>
      </w:r>
      <w:r w:rsidR="001B0325">
        <w:rPr>
          <w:rStyle w:val="FootnoteReference"/>
          <w:rFonts w:ascii="Avenir Book" w:hAnsi="Avenir Book" w:cstheme="minorHAnsi"/>
          <w:sz w:val="22"/>
          <w:szCs w:val="22"/>
        </w:rPr>
        <w:footnoteReference w:id="189"/>
      </w:r>
      <w:r w:rsidRPr="001B0325">
        <w:rPr>
          <w:rFonts w:ascii="Avenir Book" w:hAnsi="Avenir Book" w:cstheme="minorHAnsi"/>
          <w:sz w:val="22"/>
          <w:szCs w:val="22"/>
        </w:rPr>
        <w:t xml:space="preserve"> to Australia following its review.  The </w:t>
      </w:r>
      <w:r w:rsidR="001B0325">
        <w:rPr>
          <w:rFonts w:ascii="Avenir Book" w:hAnsi="Avenir Book" w:cstheme="minorHAnsi"/>
          <w:sz w:val="22"/>
          <w:szCs w:val="22"/>
        </w:rPr>
        <w:t xml:space="preserve">CRC </w:t>
      </w:r>
      <w:r w:rsidRPr="001B0325">
        <w:rPr>
          <w:rFonts w:ascii="Avenir Book" w:hAnsi="Avenir Book" w:cstheme="minorHAnsi"/>
          <w:sz w:val="22"/>
          <w:szCs w:val="22"/>
        </w:rPr>
        <w:t xml:space="preserve">Committee recommended that Australia enhance children’s meaningful and empowered participation in the family, in the community and in schools, paying particular attention to girls, children with disability and Indigenous children. The </w:t>
      </w:r>
      <w:r w:rsidR="001B0325">
        <w:rPr>
          <w:rFonts w:ascii="Avenir Book" w:hAnsi="Avenir Book" w:cstheme="minorHAnsi"/>
          <w:sz w:val="22"/>
          <w:szCs w:val="22"/>
        </w:rPr>
        <w:t xml:space="preserve">CRC </w:t>
      </w:r>
      <w:r w:rsidRPr="001B0325">
        <w:rPr>
          <w:rFonts w:ascii="Avenir Book" w:hAnsi="Avenir Book" w:cstheme="minorHAnsi"/>
          <w:sz w:val="22"/>
          <w:szCs w:val="22"/>
        </w:rPr>
        <w:t xml:space="preserve">Committee also recommended providing audio description and captioning on online information to ensure greater information access for children with disability, and promoting the right to freedom of expression, particularly for children with disability, Indigenous children, children with a refugee or migrant background and children living in rural and remote areas.  </w:t>
      </w:r>
    </w:p>
    <w:p w14:paraId="6D9577A8" w14:textId="77777777" w:rsidR="001B0325" w:rsidRPr="001B0325" w:rsidRDefault="001B0325" w:rsidP="00D71C5D">
      <w:pPr>
        <w:pStyle w:val="ListParagraph"/>
        <w:spacing w:line="240" w:lineRule="auto"/>
        <w:jc w:val="left"/>
        <w:rPr>
          <w:rFonts w:ascii="Avenir Book" w:hAnsi="Avenir Book" w:cstheme="minorHAnsi"/>
          <w:sz w:val="22"/>
          <w:szCs w:val="22"/>
        </w:rPr>
      </w:pPr>
    </w:p>
    <w:p w14:paraId="32885684" w14:textId="2403D0FC" w:rsidR="00D1282E" w:rsidRDefault="00490D6D" w:rsidP="00564172">
      <w:pPr>
        <w:pStyle w:val="ListParagraph"/>
        <w:numPr>
          <w:ilvl w:val="3"/>
          <w:numId w:val="31"/>
        </w:numPr>
        <w:spacing w:line="240" w:lineRule="auto"/>
        <w:ind w:left="851" w:hanging="851"/>
        <w:jc w:val="left"/>
        <w:rPr>
          <w:rFonts w:ascii="Avenir Book" w:hAnsi="Avenir Book" w:cstheme="minorHAnsi"/>
          <w:sz w:val="22"/>
          <w:szCs w:val="22"/>
        </w:rPr>
      </w:pPr>
      <w:r w:rsidRPr="001B0325">
        <w:rPr>
          <w:rFonts w:ascii="Avenir Book" w:hAnsi="Avenir Book" w:cstheme="minorHAnsi"/>
          <w:sz w:val="22"/>
          <w:szCs w:val="22"/>
        </w:rPr>
        <w:t xml:space="preserve">In 2017, the </w:t>
      </w:r>
      <w:r w:rsidRPr="001B0325">
        <w:rPr>
          <w:rFonts w:ascii="Avenir Book" w:hAnsi="Avenir Book" w:cstheme="minorHAnsi"/>
          <w:b/>
          <w:sz w:val="22"/>
          <w:szCs w:val="22"/>
        </w:rPr>
        <w:t>Human Rights Committee</w:t>
      </w:r>
      <w:r w:rsidRPr="001B0325">
        <w:rPr>
          <w:rFonts w:ascii="Avenir Book" w:hAnsi="Avenir Book" w:cstheme="minorHAnsi"/>
          <w:sz w:val="22"/>
          <w:szCs w:val="22"/>
        </w:rPr>
        <w:t xml:space="preserve"> </w:t>
      </w:r>
      <w:r w:rsidR="001B0325">
        <w:rPr>
          <w:rFonts w:ascii="Avenir Book" w:hAnsi="Avenir Book" w:cstheme="minorHAnsi"/>
          <w:sz w:val="22"/>
          <w:szCs w:val="22"/>
        </w:rPr>
        <w:t xml:space="preserve">(HRC Committee) </w:t>
      </w:r>
      <w:r w:rsidRPr="001B0325">
        <w:rPr>
          <w:rFonts w:ascii="Avenir Book" w:hAnsi="Avenir Book" w:cstheme="minorHAnsi"/>
          <w:sz w:val="22"/>
          <w:szCs w:val="22"/>
        </w:rPr>
        <w:t>released its Concluding Observations</w:t>
      </w:r>
      <w:r w:rsidR="001B0325">
        <w:rPr>
          <w:rStyle w:val="FootnoteReference"/>
          <w:rFonts w:ascii="Avenir Book" w:hAnsi="Avenir Book" w:cstheme="minorHAnsi"/>
          <w:sz w:val="22"/>
          <w:szCs w:val="22"/>
        </w:rPr>
        <w:footnoteReference w:id="190"/>
      </w:r>
      <w:r w:rsidRPr="001B0325">
        <w:rPr>
          <w:rFonts w:ascii="Avenir Book" w:hAnsi="Avenir Book" w:cstheme="minorHAnsi"/>
          <w:sz w:val="22"/>
          <w:szCs w:val="22"/>
        </w:rPr>
        <w:t xml:space="preserve"> on the sixth periodic report of Australia under the International Covenant on Civil and Political Rights</w:t>
      </w:r>
      <w:r w:rsidR="001B0325">
        <w:rPr>
          <w:rFonts w:ascii="Avenir Book" w:hAnsi="Avenir Book" w:cstheme="minorHAnsi"/>
          <w:sz w:val="22"/>
          <w:szCs w:val="22"/>
        </w:rPr>
        <w:t xml:space="preserve"> (ICCPR)</w:t>
      </w:r>
      <w:r w:rsidRPr="001B0325">
        <w:rPr>
          <w:rFonts w:ascii="Avenir Book" w:hAnsi="Avenir Book" w:cstheme="minorHAnsi"/>
          <w:sz w:val="22"/>
          <w:szCs w:val="22"/>
        </w:rPr>
        <w:t>.</w:t>
      </w:r>
      <w:r w:rsidR="001B0325">
        <w:rPr>
          <w:rStyle w:val="FootnoteReference"/>
          <w:rFonts w:ascii="Avenir Book" w:hAnsi="Avenir Book" w:cstheme="minorHAnsi"/>
          <w:sz w:val="22"/>
          <w:szCs w:val="22"/>
        </w:rPr>
        <w:footnoteReference w:id="191"/>
      </w:r>
      <w:r w:rsidRPr="001B0325">
        <w:rPr>
          <w:rFonts w:ascii="Avenir Book" w:hAnsi="Avenir Book" w:cstheme="minorHAnsi"/>
          <w:sz w:val="22"/>
          <w:szCs w:val="22"/>
        </w:rPr>
        <w:t xml:space="preserve"> The Committee expressed its concern that section 93 (8) of the Commonwealth Electoral Act 1918 denies the right to vote to any person of “unsound mind” and that similar provisions are contained in state and territory electoral legislation. The </w:t>
      </w:r>
      <w:r w:rsidR="001B0325">
        <w:rPr>
          <w:rFonts w:ascii="Avenir Book" w:hAnsi="Avenir Book" w:cstheme="minorHAnsi"/>
          <w:sz w:val="22"/>
          <w:szCs w:val="22"/>
        </w:rPr>
        <w:t xml:space="preserve">HRC </w:t>
      </w:r>
      <w:r w:rsidRPr="001B0325">
        <w:rPr>
          <w:rFonts w:ascii="Avenir Book" w:hAnsi="Avenir Book" w:cstheme="minorHAnsi"/>
          <w:sz w:val="22"/>
          <w:szCs w:val="22"/>
        </w:rPr>
        <w:t>Committee recommended that Australia ensure that federal, state and territory electoral legislation does not discriminate against persons with intellectual and psychosocial disabilities by denying them the right to vote on bases that are disproportionate or that have no reasonable or objective relation to their ability to vote.</w:t>
      </w:r>
    </w:p>
    <w:p w14:paraId="41750DFE" w14:textId="77777777" w:rsidR="00D1282E" w:rsidRPr="00D1282E" w:rsidRDefault="00D1282E" w:rsidP="00D1282E">
      <w:pPr>
        <w:pStyle w:val="ListParagraph"/>
        <w:spacing w:line="240" w:lineRule="auto"/>
        <w:ind w:left="851"/>
        <w:jc w:val="left"/>
        <w:rPr>
          <w:rFonts w:ascii="Avenir Book" w:hAnsi="Avenir Book" w:cstheme="minorHAnsi"/>
          <w:sz w:val="22"/>
          <w:szCs w:val="22"/>
        </w:rPr>
      </w:pPr>
    </w:p>
    <w:p w14:paraId="2A54CE54" w14:textId="3104B970" w:rsidR="0047401F" w:rsidRPr="001460B8" w:rsidRDefault="001B0325" w:rsidP="00564172">
      <w:pPr>
        <w:pStyle w:val="ListParagraph"/>
        <w:numPr>
          <w:ilvl w:val="2"/>
          <w:numId w:val="31"/>
        </w:numPr>
        <w:tabs>
          <w:tab w:val="left" w:pos="0"/>
        </w:tabs>
        <w:spacing w:after="120" w:line="240" w:lineRule="auto"/>
        <w:ind w:left="851" w:hanging="851"/>
        <w:contextualSpacing w:val="0"/>
        <w:jc w:val="left"/>
        <w:rPr>
          <w:rFonts w:ascii="Avenir Book" w:eastAsia="Calibri" w:hAnsi="Avenir Book" w:cstheme="minorHAnsi"/>
          <w:b/>
          <w:sz w:val="22"/>
          <w:szCs w:val="22"/>
        </w:rPr>
      </w:pPr>
      <w:r w:rsidRPr="001460B8">
        <w:rPr>
          <w:rFonts w:ascii="Avenir Book" w:eastAsia="Calibri" w:hAnsi="Avenir Book" w:cstheme="minorHAnsi"/>
          <w:b/>
          <w:sz w:val="22"/>
          <w:szCs w:val="22"/>
        </w:rPr>
        <w:t>Equality</w:t>
      </w:r>
      <w:r w:rsidR="001460B8" w:rsidRPr="001460B8">
        <w:rPr>
          <w:rFonts w:ascii="Avenir Book" w:eastAsia="Calibri" w:hAnsi="Avenir Book" w:cstheme="minorHAnsi"/>
          <w:b/>
          <w:sz w:val="22"/>
          <w:szCs w:val="22"/>
        </w:rPr>
        <w:t xml:space="preserve"> and non-discrimination</w:t>
      </w:r>
      <w:r w:rsidR="00A46C08">
        <w:rPr>
          <w:rFonts w:ascii="Avenir Book" w:eastAsia="Calibri" w:hAnsi="Avenir Book" w:cstheme="minorHAnsi"/>
          <w:b/>
          <w:sz w:val="22"/>
          <w:szCs w:val="22"/>
        </w:rPr>
        <w:t>:</w:t>
      </w:r>
    </w:p>
    <w:p w14:paraId="4E1F26EE" w14:textId="2BF1AB9B" w:rsidR="001B0325" w:rsidRDefault="001B0325" w:rsidP="00564172">
      <w:pPr>
        <w:pStyle w:val="ListParagraph"/>
        <w:numPr>
          <w:ilvl w:val="3"/>
          <w:numId w:val="31"/>
        </w:numPr>
        <w:snapToGrid w:val="0"/>
        <w:spacing w:line="240" w:lineRule="auto"/>
        <w:ind w:left="851" w:hanging="851"/>
        <w:jc w:val="left"/>
        <w:rPr>
          <w:rFonts w:ascii="Avenir Book" w:hAnsi="Avenir Book" w:cstheme="minorHAnsi"/>
          <w:bCs/>
          <w:sz w:val="22"/>
          <w:szCs w:val="22"/>
        </w:rPr>
      </w:pPr>
      <w:r w:rsidRPr="001460B8">
        <w:rPr>
          <w:rFonts w:ascii="Avenir Book" w:eastAsia="Calibri" w:hAnsi="Avenir Book" w:cstheme="minorHAnsi"/>
          <w:sz w:val="22"/>
          <w:szCs w:val="22"/>
        </w:rPr>
        <w:t>In its 2019 Concluding Observations,</w:t>
      </w:r>
      <w:r w:rsidR="000709B9">
        <w:rPr>
          <w:rStyle w:val="FootnoteReference"/>
          <w:rFonts w:ascii="Avenir Book" w:eastAsia="Calibri" w:hAnsi="Avenir Book" w:cstheme="minorHAnsi"/>
          <w:sz w:val="22"/>
          <w:szCs w:val="22"/>
        </w:rPr>
        <w:footnoteReference w:id="192"/>
      </w:r>
      <w:r w:rsidRPr="001460B8">
        <w:rPr>
          <w:rFonts w:ascii="Avenir Book" w:eastAsia="Calibri" w:hAnsi="Avenir Book" w:cstheme="minorHAnsi"/>
          <w:sz w:val="22"/>
          <w:szCs w:val="22"/>
        </w:rPr>
        <w:t xml:space="preserve"> the </w:t>
      </w:r>
      <w:r w:rsidRPr="001460B8">
        <w:rPr>
          <w:rFonts w:ascii="Avenir Book" w:eastAsia="Calibri" w:hAnsi="Avenir Book" w:cstheme="minorHAnsi"/>
          <w:b/>
          <w:sz w:val="22"/>
          <w:szCs w:val="22"/>
        </w:rPr>
        <w:t>CRPD Committee</w:t>
      </w:r>
      <w:r w:rsidRPr="001460B8">
        <w:rPr>
          <w:rFonts w:ascii="Avenir Book" w:eastAsia="Calibri" w:hAnsi="Avenir Book" w:cstheme="minorHAnsi"/>
          <w:sz w:val="22"/>
          <w:szCs w:val="22"/>
        </w:rPr>
        <w:t xml:space="preserve"> expressed and reiterated a number of concerns from its 2013 initial review of Australia: the lack of an effective </w:t>
      </w:r>
      <w:r w:rsidRPr="001460B8">
        <w:rPr>
          <w:rFonts w:ascii="Avenir Book" w:hAnsi="Avenir Book" w:cstheme="minorHAnsi"/>
          <w:sz w:val="22"/>
          <w:szCs w:val="22"/>
        </w:rPr>
        <w:t xml:space="preserve">legislative framework to protect people with disability from systemic, intersectional and multiple forms of discrimination; a lack of an effective monitoring mechanism and insufficient resources to effectively implement the National Disability Strategy; limited opportunities for women and girls with disability to participate in the development of policies regarding the rights of women and gender equality; and the lack of nationally consistent measures for the collection and public reporting of disaggregated data on the full range of obligations contained in the Convention.  The Committee recommended that Australia: enact a comprehensive national human rights law; strengthen anti-discrimination laws to </w:t>
      </w:r>
      <w:r w:rsidRPr="001460B8">
        <w:rPr>
          <w:rFonts w:ascii="Avenir Book" w:hAnsi="Avenir Book" w:cstheme="minorHAnsi"/>
          <w:bCs/>
          <w:sz w:val="22"/>
          <w:szCs w:val="22"/>
        </w:rPr>
        <w:t xml:space="preserve">address and prohibit systemic, intersectional and multiple forms of discrimination; provide sufficient resources and establish a formal monitoring mechanism for the National Disability Strategy; and develop a national disability data framework to ensure nationally consistent measures for the collection and public reporting of disaggregated data on the full range of obligations contained in the Convention, especially with regard to women, children and Indigenous persons with disabilities. The </w:t>
      </w:r>
      <w:r w:rsidR="001460B8" w:rsidRPr="001460B8">
        <w:rPr>
          <w:rFonts w:ascii="Avenir Book" w:hAnsi="Avenir Book" w:cstheme="minorHAnsi"/>
          <w:bCs/>
          <w:sz w:val="22"/>
          <w:szCs w:val="22"/>
        </w:rPr>
        <w:t xml:space="preserve">CRPD </w:t>
      </w:r>
      <w:r w:rsidRPr="001460B8">
        <w:rPr>
          <w:rFonts w:ascii="Avenir Book" w:hAnsi="Avenir Book" w:cstheme="minorHAnsi"/>
          <w:bCs/>
          <w:sz w:val="22"/>
          <w:szCs w:val="22"/>
        </w:rPr>
        <w:t>Committee further recommended that Australia strengthen measures to address multiple and intersectional forms of discrimination against women and girls with disability and, in particular, adequately support organisations and networks of women and girls with disability, particularly those representing Indigenous women and girls with disability, to engage in all initiatives to promote gender equality and ensure their effective participation in the development of policies for gender equality and the advancement of women and girls.</w:t>
      </w:r>
    </w:p>
    <w:p w14:paraId="0CEE41CF" w14:textId="77777777" w:rsidR="001460B8" w:rsidRDefault="001460B8" w:rsidP="00D71C5D">
      <w:pPr>
        <w:pStyle w:val="ListParagraph"/>
        <w:snapToGrid w:val="0"/>
        <w:spacing w:line="240" w:lineRule="auto"/>
        <w:ind w:left="851"/>
        <w:jc w:val="left"/>
        <w:rPr>
          <w:rFonts w:ascii="Avenir Book" w:hAnsi="Avenir Book" w:cstheme="minorHAnsi"/>
          <w:bCs/>
          <w:sz w:val="22"/>
          <w:szCs w:val="22"/>
        </w:rPr>
      </w:pPr>
    </w:p>
    <w:p w14:paraId="6037959B" w14:textId="0067A5A4" w:rsidR="001B0325" w:rsidRPr="001460B8" w:rsidRDefault="001B0325" w:rsidP="00564172">
      <w:pPr>
        <w:pStyle w:val="ListParagraph"/>
        <w:numPr>
          <w:ilvl w:val="3"/>
          <w:numId w:val="31"/>
        </w:numPr>
        <w:snapToGrid w:val="0"/>
        <w:spacing w:line="240" w:lineRule="auto"/>
        <w:ind w:left="851" w:hanging="851"/>
        <w:jc w:val="left"/>
        <w:rPr>
          <w:rFonts w:ascii="Avenir Book" w:hAnsi="Avenir Book" w:cstheme="minorHAnsi"/>
          <w:bCs/>
          <w:sz w:val="22"/>
          <w:szCs w:val="22"/>
        </w:rPr>
      </w:pPr>
      <w:r w:rsidRPr="001460B8">
        <w:rPr>
          <w:rFonts w:ascii="Avenir Book" w:hAnsi="Avenir Book" w:cstheme="minorHAnsi"/>
          <w:sz w:val="22"/>
          <w:szCs w:val="22"/>
        </w:rPr>
        <w:t xml:space="preserve">The </w:t>
      </w:r>
      <w:r w:rsidRPr="001460B8">
        <w:rPr>
          <w:rFonts w:ascii="Avenir Book" w:hAnsi="Avenir Book" w:cstheme="minorHAnsi"/>
          <w:b/>
          <w:sz w:val="22"/>
          <w:szCs w:val="22"/>
        </w:rPr>
        <w:t>CEDAW Committee</w:t>
      </w:r>
      <w:r w:rsidR="000709B9" w:rsidRPr="00D368FC">
        <w:rPr>
          <w:rStyle w:val="FootnoteReference"/>
          <w:rFonts w:ascii="Avenir Book" w:hAnsi="Avenir Book" w:cstheme="minorHAnsi"/>
          <w:sz w:val="22"/>
          <w:szCs w:val="22"/>
        </w:rPr>
        <w:footnoteReference w:id="193"/>
      </w:r>
      <w:r w:rsidRPr="001460B8">
        <w:rPr>
          <w:rFonts w:ascii="Avenir Book" w:hAnsi="Avenir Book" w:cstheme="minorHAnsi"/>
          <w:sz w:val="22"/>
          <w:szCs w:val="22"/>
        </w:rPr>
        <w:t xml:space="preserve"> expressed its concern at the lack of harmonisation of anti-discrimination legislation, and the absence of a Charter of Human Rights that guarantees equality between women and men or a general prohibition of discrimination against women. Amongst other things, the Committee recommended that Australia harmonise federal, state and territory legislation against discrimination in line with </w:t>
      </w:r>
      <w:r w:rsidR="001460B8">
        <w:rPr>
          <w:rFonts w:ascii="Avenir Book" w:hAnsi="Avenir Book" w:cstheme="minorHAnsi"/>
          <w:sz w:val="22"/>
          <w:szCs w:val="22"/>
        </w:rPr>
        <w:t>CEDAW</w:t>
      </w:r>
      <w:r w:rsidRPr="001460B8">
        <w:rPr>
          <w:rFonts w:ascii="Avenir Book" w:hAnsi="Avenir Book" w:cstheme="minorHAnsi"/>
          <w:sz w:val="22"/>
          <w:szCs w:val="22"/>
        </w:rPr>
        <w:t xml:space="preserve">; and, fully incorporate </w:t>
      </w:r>
      <w:r w:rsidR="001460B8">
        <w:rPr>
          <w:rFonts w:ascii="Avenir Book" w:hAnsi="Avenir Book" w:cstheme="minorHAnsi"/>
          <w:sz w:val="22"/>
          <w:szCs w:val="22"/>
        </w:rPr>
        <w:t>CEDAW</w:t>
      </w:r>
      <w:r w:rsidRPr="001460B8">
        <w:rPr>
          <w:rFonts w:ascii="Avenir Book" w:hAnsi="Avenir Book" w:cstheme="minorHAnsi"/>
          <w:sz w:val="22"/>
          <w:szCs w:val="22"/>
        </w:rPr>
        <w:t xml:space="preserve"> into national law by adopting a Charter of Human Rights that includes a guarantee of equality between women and men and prohibits discrimination against women. The </w:t>
      </w:r>
      <w:r w:rsidR="001460B8">
        <w:rPr>
          <w:rFonts w:ascii="Avenir Book" w:hAnsi="Avenir Book" w:cstheme="minorHAnsi"/>
          <w:sz w:val="22"/>
          <w:szCs w:val="22"/>
        </w:rPr>
        <w:t xml:space="preserve">CEDAW </w:t>
      </w:r>
      <w:r w:rsidRPr="001460B8">
        <w:rPr>
          <w:rFonts w:ascii="Avenir Book" w:hAnsi="Avenir Book" w:cstheme="minorHAnsi"/>
          <w:sz w:val="22"/>
          <w:szCs w:val="22"/>
        </w:rPr>
        <w:t>Committee further recommended that Australia adopt a comprehensive national gender equality policy with performance indicators and ensure sufficient human and financial resources to coordinate and monitor the implementation of that policy.</w:t>
      </w:r>
    </w:p>
    <w:p w14:paraId="35661501" w14:textId="77777777" w:rsidR="001460B8" w:rsidRPr="001460B8" w:rsidRDefault="001460B8" w:rsidP="00D71C5D">
      <w:pPr>
        <w:pStyle w:val="ListParagraph"/>
        <w:spacing w:line="240" w:lineRule="auto"/>
        <w:jc w:val="left"/>
        <w:rPr>
          <w:rFonts w:ascii="Avenir Book" w:hAnsi="Avenir Book" w:cstheme="minorHAnsi"/>
          <w:bCs/>
          <w:sz w:val="22"/>
          <w:szCs w:val="22"/>
        </w:rPr>
      </w:pPr>
    </w:p>
    <w:p w14:paraId="15A1D840" w14:textId="5358205F" w:rsidR="001B0325" w:rsidRDefault="001B0325" w:rsidP="00564172">
      <w:pPr>
        <w:pStyle w:val="ListParagraph"/>
        <w:numPr>
          <w:ilvl w:val="3"/>
          <w:numId w:val="31"/>
        </w:numPr>
        <w:snapToGrid w:val="0"/>
        <w:spacing w:line="240" w:lineRule="auto"/>
        <w:ind w:left="851" w:hanging="851"/>
        <w:jc w:val="left"/>
        <w:rPr>
          <w:rFonts w:ascii="Avenir Book" w:hAnsi="Avenir Book" w:cstheme="minorHAnsi"/>
          <w:bCs/>
          <w:sz w:val="22"/>
          <w:szCs w:val="22"/>
        </w:rPr>
      </w:pPr>
      <w:r w:rsidRPr="001460B8">
        <w:rPr>
          <w:rFonts w:ascii="Avenir Book" w:hAnsi="Avenir Book" w:cstheme="minorHAnsi"/>
          <w:sz w:val="22"/>
          <w:szCs w:val="22"/>
        </w:rPr>
        <w:lastRenderedPageBreak/>
        <w:t xml:space="preserve">In 2019, the </w:t>
      </w:r>
      <w:r w:rsidRPr="001460B8">
        <w:rPr>
          <w:rFonts w:ascii="Avenir Book" w:hAnsi="Avenir Book" w:cstheme="minorHAnsi"/>
          <w:b/>
          <w:bCs/>
          <w:sz w:val="22"/>
          <w:szCs w:val="22"/>
        </w:rPr>
        <w:t xml:space="preserve">CRC </w:t>
      </w:r>
      <w:r w:rsidRPr="001460B8">
        <w:rPr>
          <w:rFonts w:ascii="Avenir Book" w:hAnsi="Avenir Book" w:cstheme="minorHAnsi"/>
          <w:b/>
          <w:sz w:val="22"/>
          <w:szCs w:val="22"/>
        </w:rPr>
        <w:t>Committee</w:t>
      </w:r>
      <w:r w:rsidR="000709B9" w:rsidRPr="00D1282E">
        <w:rPr>
          <w:rStyle w:val="FootnoteReference"/>
          <w:rFonts w:ascii="Avenir Book" w:hAnsi="Avenir Book" w:cstheme="minorHAnsi"/>
          <w:sz w:val="22"/>
          <w:szCs w:val="22"/>
        </w:rPr>
        <w:footnoteReference w:id="194"/>
      </w:r>
      <w:r w:rsidRPr="00D1282E">
        <w:rPr>
          <w:rFonts w:ascii="Avenir Book" w:hAnsi="Avenir Book" w:cstheme="minorHAnsi"/>
          <w:sz w:val="22"/>
          <w:szCs w:val="22"/>
        </w:rPr>
        <w:t xml:space="preserve"> </w:t>
      </w:r>
      <w:r w:rsidRPr="001460B8">
        <w:rPr>
          <w:rFonts w:ascii="Avenir Book" w:hAnsi="Avenir Book" w:cstheme="minorHAnsi"/>
          <w:bCs/>
          <w:sz w:val="22"/>
          <w:szCs w:val="22"/>
        </w:rPr>
        <w:t xml:space="preserve">recommended that Australia: enact comprehensive national child rights legislation fully incorporating </w:t>
      </w:r>
      <w:r w:rsidR="001460B8">
        <w:rPr>
          <w:rFonts w:ascii="Avenir Book" w:hAnsi="Avenir Book" w:cstheme="minorHAnsi"/>
          <w:bCs/>
          <w:sz w:val="22"/>
          <w:szCs w:val="22"/>
        </w:rPr>
        <w:t>CRC</w:t>
      </w:r>
      <w:r w:rsidRPr="001460B8">
        <w:rPr>
          <w:rFonts w:ascii="Avenir Book" w:hAnsi="Avenir Book" w:cstheme="minorHAnsi"/>
          <w:bCs/>
          <w:sz w:val="22"/>
          <w:szCs w:val="22"/>
        </w:rPr>
        <w:t xml:space="preserve"> and providing clear guidelines for its consistent and direct application throughout Australia; ensure adequate resources for the Parliamentary Joint Committee on Human Rights to effectively examine all proposed legislation and its impact on children’s rights; ensure that the National Children’s Commissioner has adequate and sufficient human, technical and financial resources to implement and monitor the application of the Convention; and establish by law mandatory consultations between the National Children’s Commissioner and children on issues that affect them and ensure that the results of those consultations and any other recommendations made by the Commissioner are taken into consideration in law and policymaking. The Committee also recommended that Australia adopt a national comprehensive policy and strategy on children that encompasses all areas of the </w:t>
      </w:r>
      <w:r w:rsidR="001460B8">
        <w:rPr>
          <w:rFonts w:ascii="Avenir Book" w:hAnsi="Avenir Book" w:cstheme="minorHAnsi"/>
          <w:bCs/>
          <w:sz w:val="22"/>
          <w:szCs w:val="22"/>
        </w:rPr>
        <w:t>CRC</w:t>
      </w:r>
      <w:r w:rsidRPr="001460B8">
        <w:rPr>
          <w:rFonts w:ascii="Avenir Book" w:hAnsi="Avenir Book" w:cstheme="minorHAnsi"/>
          <w:bCs/>
          <w:sz w:val="22"/>
          <w:szCs w:val="22"/>
        </w:rPr>
        <w:t xml:space="preserve">, with sufficient human, technical and financial resources for its implementation; establish appropriate mechanisms and inclusive processes so that civil society, the community and children specifically may participate in all stages of the budget process, including formulation, implementation and evaluation;  and ensure that data collected on children’s rights cover all areas of the </w:t>
      </w:r>
      <w:r w:rsidR="001460B8">
        <w:rPr>
          <w:rFonts w:ascii="Avenir Book" w:hAnsi="Avenir Book" w:cstheme="minorHAnsi"/>
          <w:bCs/>
          <w:sz w:val="22"/>
          <w:szCs w:val="22"/>
        </w:rPr>
        <w:t>CRC</w:t>
      </w:r>
      <w:r w:rsidRPr="001460B8">
        <w:rPr>
          <w:rFonts w:ascii="Avenir Book" w:hAnsi="Avenir Book" w:cstheme="minorHAnsi"/>
          <w:bCs/>
          <w:sz w:val="22"/>
          <w:szCs w:val="22"/>
        </w:rPr>
        <w:t>, in particular those relating to violence, alternative care, natural disasters and children in conflict with the law, that they are disaggregated by age, sex, disability, geographic location, ethnic origin, national origin and socioeconomic background, and that they identify children in situations of vulnerability, such as Indigenous children, children with disability and asylum-seeking, refugee and migrant children.</w:t>
      </w:r>
    </w:p>
    <w:p w14:paraId="2AE7C7AB" w14:textId="77777777" w:rsidR="001460B8" w:rsidRDefault="001460B8" w:rsidP="00D71C5D">
      <w:pPr>
        <w:pStyle w:val="ListParagraph"/>
        <w:snapToGrid w:val="0"/>
        <w:spacing w:line="240" w:lineRule="auto"/>
        <w:ind w:left="851"/>
        <w:jc w:val="left"/>
        <w:rPr>
          <w:rFonts w:ascii="Avenir Book" w:hAnsi="Avenir Book" w:cstheme="minorHAnsi"/>
          <w:bCs/>
          <w:sz w:val="22"/>
          <w:szCs w:val="22"/>
        </w:rPr>
      </w:pPr>
    </w:p>
    <w:p w14:paraId="63381AB0" w14:textId="18DF172E" w:rsidR="001B0325" w:rsidRPr="001460B8" w:rsidRDefault="001B0325" w:rsidP="00564172">
      <w:pPr>
        <w:pStyle w:val="ListParagraph"/>
        <w:numPr>
          <w:ilvl w:val="3"/>
          <w:numId w:val="31"/>
        </w:numPr>
        <w:snapToGrid w:val="0"/>
        <w:spacing w:line="240" w:lineRule="auto"/>
        <w:ind w:left="851" w:hanging="851"/>
        <w:jc w:val="left"/>
        <w:rPr>
          <w:rFonts w:ascii="Avenir Book" w:hAnsi="Avenir Book" w:cstheme="minorHAnsi"/>
          <w:bCs/>
          <w:sz w:val="22"/>
          <w:szCs w:val="22"/>
        </w:rPr>
      </w:pPr>
      <w:r w:rsidRPr="001460B8">
        <w:rPr>
          <w:rFonts w:ascii="Avenir Book" w:hAnsi="Avenir Book" w:cstheme="minorHAnsi"/>
          <w:sz w:val="22"/>
          <w:szCs w:val="22"/>
        </w:rPr>
        <w:t xml:space="preserve">In 2017, the </w:t>
      </w:r>
      <w:r w:rsidRPr="001460B8">
        <w:rPr>
          <w:rFonts w:ascii="Avenir Book" w:hAnsi="Avenir Book" w:cstheme="minorHAnsi"/>
          <w:b/>
          <w:sz w:val="22"/>
          <w:szCs w:val="22"/>
        </w:rPr>
        <w:t>ESCR Committee</w:t>
      </w:r>
      <w:r w:rsidR="00D368FC">
        <w:rPr>
          <w:rStyle w:val="FootnoteReference"/>
          <w:rFonts w:ascii="Avenir Book" w:hAnsi="Avenir Book" w:cstheme="minorHAnsi"/>
          <w:b/>
          <w:sz w:val="22"/>
          <w:szCs w:val="22"/>
        </w:rPr>
        <w:footnoteReference w:id="195"/>
      </w:r>
      <w:r w:rsidRPr="001460B8">
        <w:rPr>
          <w:rFonts w:ascii="Avenir Book" w:hAnsi="Avenir Book" w:cstheme="minorHAnsi"/>
          <w:sz w:val="22"/>
          <w:szCs w:val="22"/>
        </w:rPr>
        <w:t xml:space="preserve"> expressed its concern that women continue to experience disadvantages across key areas (including work, health, education, and housing) and recommended that Australia intensify its efforts to address the obstacles to achieving substantive equality between men and women, including through the strengthening of temporary special measures. The </w:t>
      </w:r>
      <w:r w:rsidR="001460B8">
        <w:rPr>
          <w:rFonts w:ascii="Avenir Book" w:hAnsi="Avenir Book" w:cstheme="minorHAnsi"/>
          <w:sz w:val="22"/>
          <w:szCs w:val="22"/>
        </w:rPr>
        <w:t xml:space="preserve">ESCR </w:t>
      </w:r>
      <w:r w:rsidRPr="001460B8">
        <w:rPr>
          <w:rFonts w:ascii="Avenir Book" w:hAnsi="Avenir Book" w:cstheme="minorHAnsi"/>
          <w:sz w:val="22"/>
          <w:szCs w:val="22"/>
        </w:rPr>
        <w:t xml:space="preserve">Committee also recommended that Australia consider introducing a federal Charter of Rights that guarantees the full range of economic, social and cultural rights. In relation to the </w:t>
      </w:r>
      <w:r w:rsidRPr="001460B8">
        <w:rPr>
          <w:rFonts w:ascii="Avenir Book" w:hAnsi="Avenir Book" w:cstheme="minorHAnsi"/>
          <w:i/>
          <w:iCs/>
          <w:sz w:val="22"/>
          <w:szCs w:val="22"/>
        </w:rPr>
        <w:t>National Disability Strategy 2010-2020</w:t>
      </w:r>
      <w:r w:rsidRPr="001460B8">
        <w:rPr>
          <w:rFonts w:ascii="Avenir Book" w:hAnsi="Avenir Book" w:cstheme="minorHAnsi"/>
          <w:sz w:val="22"/>
          <w:szCs w:val="22"/>
        </w:rPr>
        <w:t xml:space="preserve">, the </w:t>
      </w:r>
      <w:r w:rsidR="001460B8">
        <w:rPr>
          <w:rFonts w:ascii="Avenir Book" w:hAnsi="Avenir Book" w:cstheme="minorHAnsi"/>
          <w:sz w:val="22"/>
          <w:szCs w:val="22"/>
        </w:rPr>
        <w:t xml:space="preserve">ESCR </w:t>
      </w:r>
      <w:r w:rsidRPr="001460B8">
        <w:rPr>
          <w:rFonts w:ascii="Avenir Book" w:hAnsi="Avenir Book" w:cstheme="minorHAnsi"/>
          <w:sz w:val="22"/>
          <w:szCs w:val="22"/>
        </w:rPr>
        <w:t xml:space="preserve">Committee expressed its concern at the slow progress in its implementation and its weak accountability and implementation mechanisms. The </w:t>
      </w:r>
      <w:r w:rsidR="001460B8">
        <w:rPr>
          <w:rFonts w:ascii="Avenir Book" w:hAnsi="Avenir Book" w:cstheme="minorHAnsi"/>
          <w:sz w:val="22"/>
          <w:szCs w:val="22"/>
        </w:rPr>
        <w:t xml:space="preserve">ESCR </w:t>
      </w:r>
      <w:r w:rsidRPr="001460B8">
        <w:rPr>
          <w:rFonts w:ascii="Avenir Book" w:hAnsi="Avenir Book" w:cstheme="minorHAnsi"/>
          <w:sz w:val="22"/>
          <w:szCs w:val="22"/>
        </w:rPr>
        <w:t xml:space="preserve">Committee recommended that Australia ensure full implementation of the National Disability Strategy by focusing on all the six areas covered and allocating the necessary resources. The </w:t>
      </w:r>
      <w:r w:rsidR="001460B8">
        <w:rPr>
          <w:rFonts w:ascii="Avenir Book" w:hAnsi="Avenir Book" w:cstheme="minorHAnsi"/>
          <w:sz w:val="22"/>
          <w:szCs w:val="22"/>
        </w:rPr>
        <w:t xml:space="preserve">ESCR </w:t>
      </w:r>
      <w:r w:rsidRPr="001460B8">
        <w:rPr>
          <w:rFonts w:ascii="Avenir Book" w:hAnsi="Avenir Book" w:cstheme="minorHAnsi"/>
          <w:sz w:val="22"/>
          <w:szCs w:val="22"/>
        </w:rPr>
        <w:t xml:space="preserve">Committee further recommended that Australia strengthen accountability mechanisms to ensure that people with disability fully enjoy their economic, social and cultural rights. </w:t>
      </w:r>
    </w:p>
    <w:p w14:paraId="1E70A6F0" w14:textId="77777777" w:rsidR="001460B8" w:rsidRPr="001460B8" w:rsidRDefault="001460B8" w:rsidP="00D71C5D">
      <w:pPr>
        <w:pStyle w:val="ListParagraph"/>
        <w:snapToGrid w:val="0"/>
        <w:spacing w:line="240" w:lineRule="auto"/>
        <w:ind w:left="851"/>
        <w:jc w:val="left"/>
        <w:rPr>
          <w:rFonts w:ascii="Avenir Book" w:hAnsi="Avenir Book" w:cstheme="minorHAnsi"/>
          <w:bCs/>
          <w:sz w:val="22"/>
          <w:szCs w:val="22"/>
        </w:rPr>
      </w:pPr>
    </w:p>
    <w:p w14:paraId="048332EF" w14:textId="32D93775" w:rsidR="001B0325" w:rsidRPr="00D1282E" w:rsidRDefault="001B0325" w:rsidP="00564172">
      <w:pPr>
        <w:pStyle w:val="ListParagraph"/>
        <w:numPr>
          <w:ilvl w:val="3"/>
          <w:numId w:val="31"/>
        </w:numPr>
        <w:snapToGrid w:val="0"/>
        <w:spacing w:line="240" w:lineRule="auto"/>
        <w:ind w:left="851" w:hanging="851"/>
        <w:jc w:val="left"/>
        <w:rPr>
          <w:rFonts w:ascii="Avenir Book" w:hAnsi="Avenir Book" w:cstheme="minorHAnsi"/>
          <w:bCs/>
          <w:sz w:val="22"/>
          <w:szCs w:val="22"/>
        </w:rPr>
      </w:pPr>
      <w:r w:rsidRPr="001460B8">
        <w:rPr>
          <w:rFonts w:ascii="Avenir Book" w:hAnsi="Avenir Book" w:cstheme="minorHAnsi"/>
          <w:sz w:val="22"/>
          <w:szCs w:val="22"/>
        </w:rPr>
        <w:t xml:space="preserve">In 2017, the </w:t>
      </w:r>
      <w:r w:rsidRPr="001460B8">
        <w:rPr>
          <w:rFonts w:ascii="Avenir Book" w:hAnsi="Avenir Book" w:cstheme="minorHAnsi"/>
          <w:b/>
          <w:sz w:val="22"/>
          <w:szCs w:val="22"/>
        </w:rPr>
        <w:t>Human Rights Committee</w:t>
      </w:r>
      <w:r w:rsidRPr="001460B8">
        <w:rPr>
          <w:rFonts w:ascii="Avenir Book" w:hAnsi="Avenir Book" w:cstheme="minorHAnsi"/>
          <w:sz w:val="22"/>
          <w:szCs w:val="22"/>
        </w:rPr>
        <w:t xml:space="preserve"> recommended</w:t>
      </w:r>
      <w:r w:rsidR="00D368FC">
        <w:rPr>
          <w:rStyle w:val="FootnoteReference"/>
          <w:rFonts w:ascii="Avenir Book" w:hAnsi="Avenir Book" w:cstheme="minorHAnsi"/>
          <w:sz w:val="22"/>
          <w:szCs w:val="22"/>
        </w:rPr>
        <w:footnoteReference w:id="196"/>
      </w:r>
      <w:r w:rsidRPr="001460B8">
        <w:rPr>
          <w:rFonts w:ascii="Avenir Book" w:hAnsi="Avenir Book" w:cstheme="minorHAnsi"/>
          <w:sz w:val="22"/>
          <w:szCs w:val="22"/>
        </w:rPr>
        <w:t xml:space="preserve"> that Australia take measures, including considering consolidating existing non-discrimination provisions in a </w:t>
      </w:r>
      <w:r w:rsidRPr="001460B8">
        <w:rPr>
          <w:rFonts w:ascii="Avenir Book" w:hAnsi="Avenir Book" w:cstheme="minorHAnsi"/>
          <w:sz w:val="22"/>
          <w:szCs w:val="22"/>
        </w:rPr>
        <w:lastRenderedPageBreak/>
        <w:t>comprehensive federal law, in order to ensure adequate and effective substantive and procedural protection against all forms of discrimination on all the prohibited grounds, including intersectional discrimination, as well as access to effective and appropriate remedies for all victims of discrimination.</w:t>
      </w:r>
    </w:p>
    <w:p w14:paraId="44DDDA72" w14:textId="77777777" w:rsidR="00D1282E" w:rsidRPr="00D1282E" w:rsidRDefault="00D1282E" w:rsidP="00F87724">
      <w:pPr>
        <w:pStyle w:val="ListParagraph"/>
        <w:spacing w:after="0" w:line="240" w:lineRule="auto"/>
        <w:contextualSpacing w:val="0"/>
        <w:rPr>
          <w:rFonts w:ascii="Avenir Book" w:hAnsi="Avenir Book" w:cstheme="minorHAnsi"/>
          <w:bCs/>
          <w:sz w:val="22"/>
          <w:szCs w:val="22"/>
        </w:rPr>
      </w:pPr>
    </w:p>
    <w:p w14:paraId="44B801D3" w14:textId="04ED7CE5" w:rsidR="0047401F" w:rsidRPr="00A46C08" w:rsidRDefault="00A46C08" w:rsidP="00564172">
      <w:pPr>
        <w:pStyle w:val="ListParagraph"/>
        <w:numPr>
          <w:ilvl w:val="2"/>
          <w:numId w:val="31"/>
        </w:numPr>
        <w:tabs>
          <w:tab w:val="left" w:pos="0"/>
        </w:tabs>
        <w:spacing w:after="120" w:line="240" w:lineRule="auto"/>
        <w:ind w:left="851" w:hanging="851"/>
        <w:contextualSpacing w:val="0"/>
        <w:jc w:val="left"/>
        <w:rPr>
          <w:rFonts w:ascii="Avenir Book" w:eastAsia="Calibri" w:hAnsi="Avenir Book" w:cstheme="minorHAnsi"/>
          <w:b/>
          <w:sz w:val="22"/>
          <w:szCs w:val="22"/>
        </w:rPr>
      </w:pPr>
      <w:r w:rsidRPr="00A46C08">
        <w:rPr>
          <w:rFonts w:ascii="Avenir Book" w:eastAsia="Calibri" w:hAnsi="Avenir Book" w:cstheme="minorHAnsi"/>
          <w:b/>
          <w:sz w:val="22"/>
          <w:szCs w:val="22"/>
        </w:rPr>
        <w:t>Awareness-raising and positive social attitudes</w:t>
      </w:r>
      <w:r w:rsidR="00D1282E">
        <w:rPr>
          <w:rFonts w:ascii="Avenir Book" w:eastAsia="Calibri" w:hAnsi="Avenir Book" w:cstheme="minorHAnsi"/>
          <w:b/>
          <w:sz w:val="22"/>
          <w:szCs w:val="22"/>
        </w:rPr>
        <w:t>:</w:t>
      </w:r>
    </w:p>
    <w:p w14:paraId="55DC4017" w14:textId="40F74FE6" w:rsidR="005F339F" w:rsidRDefault="005F339F" w:rsidP="00564172">
      <w:pPr>
        <w:pStyle w:val="ListParagraph"/>
        <w:numPr>
          <w:ilvl w:val="3"/>
          <w:numId w:val="31"/>
        </w:numPr>
        <w:tabs>
          <w:tab w:val="left" w:pos="0"/>
        </w:tabs>
        <w:spacing w:line="240" w:lineRule="auto"/>
        <w:ind w:left="851" w:hanging="851"/>
        <w:jc w:val="left"/>
        <w:rPr>
          <w:rFonts w:ascii="Avenir Book" w:eastAsia="Calibri" w:hAnsi="Avenir Book" w:cstheme="minorHAnsi"/>
          <w:bCs/>
          <w:sz w:val="22"/>
          <w:szCs w:val="22"/>
        </w:rPr>
      </w:pPr>
      <w:r w:rsidRPr="000709B9">
        <w:rPr>
          <w:rFonts w:ascii="Avenir Book" w:eastAsia="Calibri" w:hAnsi="Avenir Book" w:cstheme="minorHAnsi"/>
          <w:sz w:val="22"/>
          <w:szCs w:val="22"/>
        </w:rPr>
        <w:t xml:space="preserve">In 2019, the </w:t>
      </w:r>
      <w:r w:rsidRPr="000709B9">
        <w:rPr>
          <w:rFonts w:ascii="Avenir Book" w:eastAsia="Calibri" w:hAnsi="Avenir Book" w:cstheme="minorHAnsi"/>
          <w:b/>
          <w:bCs/>
          <w:sz w:val="22"/>
          <w:szCs w:val="22"/>
        </w:rPr>
        <w:t>Committee on the Rights of Persons with Disabilities</w:t>
      </w:r>
      <w:r w:rsidRPr="000709B9">
        <w:rPr>
          <w:rFonts w:ascii="Avenir Book" w:eastAsia="Calibri" w:hAnsi="Avenir Book" w:cstheme="minorHAnsi"/>
          <w:sz w:val="22"/>
          <w:szCs w:val="22"/>
        </w:rPr>
        <w:t xml:space="preserve"> adopted its Concluding Observations following its review of Australia’s compliance with the Convention on the Rights of Persons with Disabilities.</w:t>
      </w:r>
      <w:r>
        <w:rPr>
          <w:rStyle w:val="FootnoteReference"/>
          <w:rFonts w:ascii="Avenir Book" w:eastAsia="Calibri" w:hAnsi="Avenir Book" w:cstheme="minorHAnsi"/>
          <w:sz w:val="22"/>
          <w:szCs w:val="22"/>
        </w:rPr>
        <w:footnoteReference w:id="197"/>
      </w:r>
      <w:r w:rsidRPr="000709B9">
        <w:rPr>
          <w:rFonts w:ascii="Avenir Book" w:eastAsia="Calibri" w:hAnsi="Avenir Book" w:cstheme="minorHAnsi"/>
          <w:sz w:val="22"/>
          <w:szCs w:val="22"/>
        </w:rPr>
        <w:t xml:space="preserve"> The </w:t>
      </w:r>
      <w:r w:rsidR="000709B9" w:rsidRPr="000709B9">
        <w:rPr>
          <w:rFonts w:ascii="Avenir Book" w:eastAsia="Calibri" w:hAnsi="Avenir Book" w:cstheme="minorHAnsi"/>
          <w:sz w:val="22"/>
          <w:szCs w:val="22"/>
        </w:rPr>
        <w:t xml:space="preserve">CRPD </w:t>
      </w:r>
      <w:r w:rsidRPr="000709B9">
        <w:rPr>
          <w:rFonts w:ascii="Avenir Book" w:eastAsia="Calibri" w:hAnsi="Avenir Book" w:cstheme="minorHAnsi"/>
          <w:sz w:val="22"/>
          <w:szCs w:val="22"/>
        </w:rPr>
        <w:t xml:space="preserve">Committee expressed its concern about the lack of concerted efforts at all levels to promote awareness-raising efforts about disability, including campaigns promoting a positive image and awareness of the contribution of persons with disabilities, and the low level of participation of people with disability in awareness-raising efforts, particularly women, Indigenous peoples, people with disability from culturally and linguistically diverse backgrounds and lesbian, gay, bisexual, transgender, intersex and queer (LGBTIQ) persons with disability, through their representative organisations.  The </w:t>
      </w:r>
      <w:r w:rsidR="000709B9" w:rsidRPr="000709B9">
        <w:rPr>
          <w:rFonts w:ascii="Avenir Book" w:eastAsia="Calibri" w:hAnsi="Avenir Book" w:cstheme="minorHAnsi"/>
          <w:sz w:val="22"/>
          <w:szCs w:val="22"/>
        </w:rPr>
        <w:t xml:space="preserve">CRPD </w:t>
      </w:r>
      <w:r w:rsidRPr="000709B9">
        <w:rPr>
          <w:rFonts w:ascii="Avenir Book" w:eastAsia="Calibri" w:hAnsi="Avenir Book" w:cstheme="minorHAnsi"/>
          <w:sz w:val="22"/>
          <w:szCs w:val="22"/>
        </w:rPr>
        <w:t>Committee recommended that Australia develop a national government strategy to promote a positive image and awareness of the rights of all people with disability and that it ensure the consultation and participation of representative organisations of people with disability, particularly women, Indigenous people, people with disability from culturally and linguistically diverse backgrounds and LGBTIQ people with disability,</w:t>
      </w:r>
      <w:r w:rsidRPr="000709B9">
        <w:rPr>
          <w:rFonts w:ascii="Avenir Book" w:eastAsia="Calibri" w:hAnsi="Avenir Book" w:cstheme="minorHAnsi"/>
          <w:bCs/>
          <w:sz w:val="22"/>
          <w:szCs w:val="22"/>
        </w:rPr>
        <w:t xml:space="preserve"> in the development and delivery of all awareness-raising activities.</w:t>
      </w:r>
    </w:p>
    <w:p w14:paraId="6AC10D4F" w14:textId="77777777" w:rsidR="000709B9" w:rsidRPr="000709B9" w:rsidRDefault="000709B9" w:rsidP="00D71C5D">
      <w:pPr>
        <w:pStyle w:val="ListParagraph"/>
        <w:tabs>
          <w:tab w:val="left" w:pos="0"/>
        </w:tabs>
        <w:spacing w:line="240" w:lineRule="auto"/>
        <w:jc w:val="left"/>
        <w:rPr>
          <w:rFonts w:ascii="Avenir Book" w:eastAsia="Calibri" w:hAnsi="Avenir Book" w:cstheme="minorHAnsi"/>
          <w:bCs/>
          <w:sz w:val="22"/>
          <w:szCs w:val="22"/>
        </w:rPr>
      </w:pPr>
    </w:p>
    <w:p w14:paraId="7D9382FA" w14:textId="1D9DE987" w:rsidR="005F339F" w:rsidRDefault="005F339F" w:rsidP="00564172">
      <w:pPr>
        <w:pStyle w:val="ListParagraph"/>
        <w:numPr>
          <w:ilvl w:val="3"/>
          <w:numId w:val="31"/>
        </w:numPr>
        <w:tabs>
          <w:tab w:val="left" w:pos="0"/>
        </w:tabs>
        <w:spacing w:line="240" w:lineRule="auto"/>
        <w:ind w:left="851" w:hanging="851"/>
        <w:jc w:val="left"/>
        <w:rPr>
          <w:rFonts w:ascii="Avenir Book" w:eastAsia="Calibri" w:hAnsi="Avenir Book" w:cstheme="minorHAnsi"/>
          <w:sz w:val="22"/>
          <w:szCs w:val="22"/>
        </w:rPr>
      </w:pPr>
      <w:r w:rsidRPr="000709B9">
        <w:rPr>
          <w:rFonts w:ascii="Avenir Book" w:eastAsia="Calibri" w:hAnsi="Avenir Book" w:cstheme="minorHAnsi"/>
          <w:sz w:val="22"/>
          <w:szCs w:val="22"/>
        </w:rPr>
        <w:t>In its 2018 Concluding Observations</w:t>
      </w:r>
      <w:r w:rsidR="000709B9">
        <w:rPr>
          <w:rStyle w:val="FootnoteReference"/>
          <w:rFonts w:ascii="Avenir Book" w:eastAsia="Calibri" w:hAnsi="Avenir Book" w:cstheme="minorHAnsi"/>
          <w:sz w:val="22"/>
          <w:szCs w:val="22"/>
        </w:rPr>
        <w:footnoteReference w:id="198"/>
      </w:r>
      <w:r w:rsidRPr="000709B9">
        <w:rPr>
          <w:rFonts w:ascii="Avenir Book" w:eastAsia="Calibri" w:hAnsi="Avenir Book" w:cstheme="minorHAnsi"/>
          <w:sz w:val="22"/>
          <w:szCs w:val="22"/>
        </w:rPr>
        <w:t xml:space="preserve"> of Australia, the </w:t>
      </w:r>
      <w:r w:rsidRPr="000709B9">
        <w:rPr>
          <w:rFonts w:ascii="Avenir Book" w:eastAsia="Calibri" w:hAnsi="Avenir Book" w:cstheme="minorHAnsi"/>
          <w:b/>
          <w:bCs/>
          <w:sz w:val="22"/>
          <w:szCs w:val="22"/>
        </w:rPr>
        <w:t>Convention on the Elimination of All Forms of Discrimination Against Women</w:t>
      </w:r>
      <w:r w:rsidRPr="000709B9">
        <w:rPr>
          <w:rFonts w:ascii="Avenir Book" w:eastAsia="Calibri" w:hAnsi="Avenir Book" w:cstheme="minorHAnsi"/>
          <w:sz w:val="22"/>
          <w:szCs w:val="22"/>
        </w:rPr>
        <w:t xml:space="preserve"> expressed its concern at the absence of a holistic strategy to address negative social and cultural patterns in public discourse, the media, the workplace, schools, universities, health institutions and the judiciary that exacerbates discrimination against various groups of women on the basis of their gender, belonging to an indigenous group, migration, asylum or social status, religion, ethnicity, nationality, colour, age, disability, sexual orientation or gender identity. The </w:t>
      </w:r>
      <w:r w:rsidR="000709B9">
        <w:rPr>
          <w:rFonts w:ascii="Avenir Book" w:eastAsia="Calibri" w:hAnsi="Avenir Book" w:cstheme="minorHAnsi"/>
          <w:sz w:val="22"/>
          <w:szCs w:val="22"/>
        </w:rPr>
        <w:t xml:space="preserve">CEDAW </w:t>
      </w:r>
      <w:r w:rsidRPr="000709B9">
        <w:rPr>
          <w:rFonts w:ascii="Avenir Book" w:eastAsia="Calibri" w:hAnsi="Avenir Book" w:cstheme="minorHAnsi"/>
          <w:sz w:val="22"/>
          <w:szCs w:val="22"/>
        </w:rPr>
        <w:t xml:space="preserve">Committee recommended that Australia develop a comprehensive strategy to overcome discriminatory stereotypes regarding the roles and responsibilities of women and men in the family and society and raise awareness of the benefits for Australian society of respecting and protecting the diversity of its population, aiming at the full inclusion of Indigenous women, migrant women and their daughters, women belonging to ethnic minority groups, refugee and asylum- seeking women, women with disability, foreign women, older women, women in poverty, women belonging to religious minority groups, lesbian, bisexual and transgender women and intersex persons. </w:t>
      </w:r>
    </w:p>
    <w:p w14:paraId="4E149D54" w14:textId="77777777" w:rsidR="000709B9" w:rsidRDefault="000709B9" w:rsidP="00D71C5D">
      <w:pPr>
        <w:pStyle w:val="ListParagraph"/>
        <w:tabs>
          <w:tab w:val="left" w:pos="0"/>
        </w:tabs>
        <w:spacing w:line="240" w:lineRule="auto"/>
        <w:ind w:left="851"/>
        <w:jc w:val="left"/>
        <w:rPr>
          <w:rFonts w:ascii="Avenir Book" w:eastAsia="Calibri" w:hAnsi="Avenir Book" w:cstheme="minorHAnsi"/>
          <w:sz w:val="22"/>
          <w:szCs w:val="22"/>
        </w:rPr>
      </w:pPr>
    </w:p>
    <w:p w14:paraId="74A7A9A7" w14:textId="56CA0750" w:rsidR="005F339F" w:rsidRPr="00D1282E" w:rsidRDefault="005F339F" w:rsidP="00564172">
      <w:pPr>
        <w:pStyle w:val="ListParagraph"/>
        <w:numPr>
          <w:ilvl w:val="3"/>
          <w:numId w:val="31"/>
        </w:numPr>
        <w:tabs>
          <w:tab w:val="left" w:pos="0"/>
        </w:tabs>
        <w:spacing w:line="240" w:lineRule="auto"/>
        <w:ind w:left="851" w:hanging="851"/>
        <w:jc w:val="left"/>
        <w:rPr>
          <w:rFonts w:ascii="Avenir Book" w:eastAsia="Calibri" w:hAnsi="Avenir Book" w:cstheme="minorHAnsi"/>
          <w:sz w:val="22"/>
          <w:szCs w:val="22"/>
        </w:rPr>
      </w:pPr>
      <w:r w:rsidRPr="000709B9">
        <w:rPr>
          <w:rFonts w:ascii="Avenir Book" w:eastAsia="Calibri" w:hAnsi="Avenir Book" w:cstheme="minorHAnsi"/>
          <w:sz w:val="22"/>
          <w:szCs w:val="22"/>
          <w:lang w:val="en-AU"/>
        </w:rPr>
        <w:lastRenderedPageBreak/>
        <w:t>In its 2019 Concluding Observations</w:t>
      </w:r>
      <w:r w:rsidR="000709B9">
        <w:rPr>
          <w:rStyle w:val="FootnoteReference"/>
          <w:rFonts w:ascii="Avenir Book" w:eastAsia="Calibri" w:hAnsi="Avenir Book" w:cstheme="minorHAnsi"/>
          <w:sz w:val="22"/>
          <w:szCs w:val="22"/>
          <w:lang w:val="en-AU"/>
        </w:rPr>
        <w:footnoteReference w:id="199"/>
      </w:r>
      <w:r w:rsidRPr="000709B9">
        <w:rPr>
          <w:rFonts w:ascii="Avenir Book" w:eastAsia="Calibri" w:hAnsi="Avenir Book" w:cstheme="minorHAnsi"/>
          <w:sz w:val="22"/>
          <w:szCs w:val="22"/>
          <w:lang w:val="en-AU"/>
        </w:rPr>
        <w:t xml:space="preserve"> of Australia, the </w:t>
      </w:r>
      <w:r w:rsidRPr="000709B9">
        <w:rPr>
          <w:rFonts w:ascii="Avenir Book" w:eastAsia="Calibri" w:hAnsi="Avenir Book" w:cstheme="minorHAnsi"/>
          <w:b/>
          <w:bCs/>
          <w:sz w:val="22"/>
          <w:szCs w:val="22"/>
          <w:lang w:val="en-AU"/>
        </w:rPr>
        <w:t xml:space="preserve">Committee on the Rights of the Child </w:t>
      </w:r>
      <w:r w:rsidRPr="000709B9">
        <w:rPr>
          <w:rFonts w:ascii="Avenir Book" w:eastAsia="Calibri" w:hAnsi="Avenir Book" w:cstheme="minorHAnsi"/>
          <w:bCs/>
          <w:sz w:val="22"/>
          <w:szCs w:val="22"/>
          <w:lang w:val="en-AU"/>
        </w:rPr>
        <w:t xml:space="preserve">recommended that Australia </w:t>
      </w:r>
      <w:r w:rsidRPr="000709B9">
        <w:rPr>
          <w:rFonts w:ascii="Avenir Book" w:eastAsia="Calibri" w:hAnsi="Avenir Book" w:cstheme="minorHAnsi"/>
          <w:bCs/>
          <w:sz w:val="22"/>
          <w:szCs w:val="22"/>
        </w:rPr>
        <w:t>strengthen its programs to raise awareness of the Convention, by engaging more with the media, including social media, in a child-friendly manner, and by promoting the active involvement of children in public outreach activities, including in measures targeting parents, social workers, teachers and law enforcement officials.  The Committee also recommended that Australia include mandatory modules on human rights and the Convention in the school curriculum and in training programs for all professionals working with or for children, including all law enforcement officials, teachers, health personnel, social workers and personnel of childcare institutions, as well as State and local government officials.  Further, the Committee recommended that awareness-raising campaigns aimed at government officials, the public and families be conducted to combat the stigmatisation of and prejudice against children with disability and promote a positive image of such children.</w:t>
      </w:r>
    </w:p>
    <w:p w14:paraId="2AB1F64D" w14:textId="38E2D497" w:rsidR="00D1282E" w:rsidRDefault="00D1282E" w:rsidP="00D1282E">
      <w:pPr>
        <w:pStyle w:val="ListParagraph"/>
        <w:rPr>
          <w:rFonts w:ascii="Avenir Book" w:eastAsia="Calibri" w:hAnsi="Avenir Book" w:cstheme="minorHAnsi"/>
          <w:sz w:val="22"/>
          <w:szCs w:val="22"/>
        </w:rPr>
      </w:pPr>
    </w:p>
    <w:p w14:paraId="575AC313" w14:textId="692D0EA0" w:rsidR="00F57741" w:rsidRPr="00D1282E" w:rsidRDefault="008552FD" w:rsidP="00564172">
      <w:pPr>
        <w:pStyle w:val="ListParagraph"/>
        <w:numPr>
          <w:ilvl w:val="1"/>
          <w:numId w:val="31"/>
        </w:numPr>
        <w:snapToGrid w:val="0"/>
        <w:spacing w:after="120" w:line="240" w:lineRule="auto"/>
        <w:ind w:left="851" w:hanging="851"/>
        <w:contextualSpacing w:val="0"/>
        <w:jc w:val="left"/>
        <w:rPr>
          <w:rFonts w:ascii="Avenir Book" w:hAnsi="Avenir Book" w:cstheme="minorHAnsi"/>
          <w:b/>
          <w:color w:val="AC1F79"/>
          <w:sz w:val="22"/>
          <w:szCs w:val="22"/>
        </w:rPr>
      </w:pPr>
      <w:r w:rsidRPr="00D1282E">
        <w:rPr>
          <w:rFonts w:ascii="Avenir Book" w:hAnsi="Avenir Book" w:cstheme="minorHAnsi"/>
          <w:b/>
          <w:color w:val="AC1F79"/>
          <w:sz w:val="22"/>
          <w:szCs w:val="22"/>
        </w:rPr>
        <w:t>Right to freedom from v</w:t>
      </w:r>
      <w:r w:rsidR="00F57741" w:rsidRPr="00D1282E">
        <w:rPr>
          <w:rFonts w:ascii="Avenir Book" w:hAnsi="Avenir Book" w:cstheme="minorHAnsi"/>
          <w:b/>
          <w:color w:val="AC1F79"/>
          <w:sz w:val="22"/>
          <w:szCs w:val="22"/>
        </w:rPr>
        <w:t>iolence, abuse, neglect and exploitation</w:t>
      </w:r>
      <w:r w:rsidR="001B7338" w:rsidRPr="00D1282E">
        <w:rPr>
          <w:rFonts w:ascii="Avenir Book" w:hAnsi="Avenir Book" w:cstheme="minorHAnsi"/>
          <w:b/>
          <w:color w:val="AC1F79"/>
          <w:sz w:val="22"/>
          <w:szCs w:val="22"/>
        </w:rPr>
        <w:t>:</w:t>
      </w:r>
    </w:p>
    <w:p w14:paraId="2068AF89" w14:textId="75CF3A8D" w:rsidR="000479F2" w:rsidRDefault="000B33F6" w:rsidP="00564172">
      <w:pPr>
        <w:pStyle w:val="ListParagraph"/>
        <w:numPr>
          <w:ilvl w:val="2"/>
          <w:numId w:val="31"/>
        </w:numPr>
        <w:spacing w:after="60" w:line="240" w:lineRule="auto"/>
        <w:ind w:left="851" w:hanging="851"/>
        <w:contextualSpacing w:val="0"/>
        <w:jc w:val="left"/>
        <w:rPr>
          <w:rFonts w:ascii="Avenir Book" w:eastAsia="Calibri" w:hAnsi="Avenir Book" w:cstheme="minorHAnsi"/>
          <w:sz w:val="22"/>
          <w:szCs w:val="22"/>
        </w:rPr>
      </w:pPr>
      <w:r w:rsidRPr="000840B9">
        <w:rPr>
          <w:rFonts w:ascii="Avenir Book" w:hAnsi="Avenir Book" w:cstheme="minorHAnsi"/>
          <w:sz w:val="22"/>
          <w:szCs w:val="22"/>
        </w:rPr>
        <w:t>In t</w:t>
      </w:r>
      <w:r w:rsidR="00F57741" w:rsidRPr="000840B9">
        <w:rPr>
          <w:rFonts w:ascii="Avenir Book" w:eastAsia="Calibri" w:hAnsi="Avenir Book" w:cstheme="minorHAnsi"/>
          <w:sz w:val="22"/>
          <w:szCs w:val="22"/>
        </w:rPr>
        <w:t xml:space="preserve">he </w:t>
      </w:r>
      <w:r w:rsidR="00F850F4" w:rsidRPr="000840B9">
        <w:rPr>
          <w:rFonts w:ascii="Avenir Book" w:eastAsia="Calibri" w:hAnsi="Avenir Book" w:cstheme="minorHAnsi"/>
          <w:sz w:val="22"/>
          <w:szCs w:val="22"/>
        </w:rPr>
        <w:t>September 2019</w:t>
      </w:r>
      <w:r w:rsidRPr="000840B9">
        <w:rPr>
          <w:rFonts w:ascii="Avenir Book" w:eastAsia="Calibri" w:hAnsi="Avenir Book" w:cstheme="minorHAnsi"/>
          <w:sz w:val="22"/>
          <w:szCs w:val="22"/>
        </w:rPr>
        <w:t xml:space="preserve"> Concluding Observations,</w:t>
      </w:r>
      <w:r w:rsidR="00D368FC">
        <w:rPr>
          <w:rStyle w:val="FootnoteReference"/>
          <w:rFonts w:ascii="Avenir Book" w:eastAsia="Calibri" w:hAnsi="Avenir Book" w:cstheme="minorHAnsi"/>
          <w:sz w:val="22"/>
          <w:szCs w:val="22"/>
        </w:rPr>
        <w:footnoteReference w:id="200"/>
      </w:r>
      <w:r w:rsidRPr="000840B9">
        <w:rPr>
          <w:rFonts w:ascii="Avenir Book" w:eastAsia="Calibri" w:hAnsi="Avenir Book" w:cstheme="minorHAnsi"/>
          <w:sz w:val="22"/>
          <w:szCs w:val="22"/>
        </w:rPr>
        <w:t xml:space="preserve"> the </w:t>
      </w:r>
      <w:r w:rsidR="00F57741" w:rsidRPr="003A762F">
        <w:rPr>
          <w:rFonts w:ascii="Avenir Book" w:eastAsia="Calibri" w:hAnsi="Avenir Book" w:cstheme="minorHAnsi"/>
          <w:b/>
          <w:sz w:val="22"/>
          <w:szCs w:val="22"/>
        </w:rPr>
        <w:t xml:space="preserve">CRPD </w:t>
      </w:r>
      <w:r w:rsidR="00F850F4" w:rsidRPr="003A762F">
        <w:rPr>
          <w:rFonts w:ascii="Avenir Book" w:eastAsia="Calibri" w:hAnsi="Avenir Book" w:cstheme="minorHAnsi"/>
          <w:b/>
          <w:bCs/>
          <w:sz w:val="22"/>
          <w:szCs w:val="22"/>
        </w:rPr>
        <w:t>Committee</w:t>
      </w:r>
      <w:r w:rsidRPr="000840B9">
        <w:rPr>
          <w:rFonts w:ascii="Avenir Book" w:eastAsia="Calibri" w:hAnsi="Avenir Book" w:cstheme="minorHAnsi"/>
          <w:b/>
          <w:bCs/>
          <w:sz w:val="22"/>
          <w:szCs w:val="22"/>
        </w:rPr>
        <w:t xml:space="preserve"> </w:t>
      </w:r>
      <w:r w:rsidR="00F850F4" w:rsidRPr="000840B9">
        <w:rPr>
          <w:rFonts w:ascii="Avenir Book" w:eastAsia="Calibri" w:hAnsi="Avenir Book" w:cstheme="minorHAnsi"/>
          <w:sz w:val="22"/>
          <w:szCs w:val="22"/>
        </w:rPr>
        <w:t xml:space="preserve">expressed concern about: the lack of oversight, complaint and redress mechanisms for people who are not eligible for the NDIS and who experience violence, particularly women with disability; the lack of resources and redress mechanisms available for people with disability to participate in the Royal Commission; the non-implementation of recommendations in the report from the Australian Human Rights Commission (AHRC), “A Future without Violence”; the lack of explicit reference to women and girls with disability in the National Plan to Reduce Violence against Women and their Children 2010-2020; the insufficient expertise and structural barriers within services dealing with domestic violence, sexual assault and related crises to adequately support women and girls with disability; and the limited number and scope of instruments to collect data on violence against women and girls with disability.  </w:t>
      </w:r>
      <w:r w:rsidR="0059129C">
        <w:rPr>
          <w:rFonts w:ascii="Avenir Book" w:eastAsia="Calibri" w:hAnsi="Avenir Book" w:cstheme="minorHAnsi"/>
          <w:sz w:val="22"/>
          <w:szCs w:val="22"/>
        </w:rPr>
        <w:t xml:space="preserve">The CRPD Committee also expressed concern </w:t>
      </w:r>
      <w:r w:rsidR="0059129C" w:rsidRPr="0059129C">
        <w:rPr>
          <w:rFonts w:ascii="Avenir Book" w:eastAsia="Calibri" w:hAnsi="Avenir Book" w:cstheme="minorHAnsi"/>
          <w:sz w:val="22"/>
          <w:szCs w:val="22"/>
          <w:lang w:val="en-AU"/>
        </w:rPr>
        <w:t>about t</w:t>
      </w:r>
      <w:r w:rsidR="0059129C" w:rsidRPr="0059129C">
        <w:rPr>
          <w:rFonts w:ascii="Avenir Book" w:eastAsia="Calibri" w:hAnsi="Avenir Book" w:cstheme="minorHAnsi"/>
          <w:sz w:val="22"/>
          <w:szCs w:val="22"/>
        </w:rPr>
        <w:t xml:space="preserve">he ongoing practice of forced sterilisation, forced abortion and forced contraception, and </w:t>
      </w:r>
      <w:r w:rsidR="0059129C" w:rsidRPr="0059129C">
        <w:rPr>
          <w:rFonts w:ascii="Avenir Book" w:eastAsia="Calibri" w:hAnsi="Avenir Book" w:cstheme="minorHAnsi"/>
          <w:sz w:val="22"/>
          <w:szCs w:val="22"/>
          <w:lang w:val="en-AU"/>
        </w:rPr>
        <w:t>t</w:t>
      </w:r>
      <w:r w:rsidR="0059129C" w:rsidRPr="0059129C">
        <w:rPr>
          <w:rFonts w:ascii="Avenir Book" w:eastAsia="Calibri" w:hAnsi="Avenir Book" w:cstheme="minorHAnsi"/>
          <w:sz w:val="22"/>
          <w:szCs w:val="22"/>
        </w:rPr>
        <w:t>he unregulated use of involuntary, intrusive and irreversible surgery and medical interventions on intersex infants and children</w:t>
      </w:r>
      <w:r w:rsidR="0059129C">
        <w:rPr>
          <w:rFonts w:ascii="Avenir Book" w:eastAsia="Calibri" w:hAnsi="Avenir Book" w:cstheme="minorHAnsi"/>
          <w:sz w:val="22"/>
          <w:szCs w:val="22"/>
        </w:rPr>
        <w:t xml:space="preserve">; </w:t>
      </w:r>
      <w:r w:rsidR="0059129C" w:rsidRPr="0059129C">
        <w:rPr>
          <w:rFonts w:ascii="Avenir Book" w:eastAsia="Calibri" w:hAnsi="Avenir Book" w:cstheme="minorHAnsi"/>
          <w:sz w:val="22"/>
          <w:szCs w:val="22"/>
        </w:rPr>
        <w:t>the lack of progress made to abolish substitute decision-making regimes and establish supported decision-making systems; the lack of nationally consistent disability justice plans to ensure that people with disability can access the same legal protections and redress as the rest of the community</w:t>
      </w:r>
      <w:r w:rsidR="0059129C">
        <w:rPr>
          <w:rFonts w:ascii="Avenir Book" w:eastAsia="Calibri" w:hAnsi="Avenir Book" w:cstheme="minorHAnsi"/>
          <w:sz w:val="22"/>
          <w:szCs w:val="22"/>
        </w:rPr>
        <w:t xml:space="preserve">. </w:t>
      </w:r>
      <w:r w:rsidR="0059129C" w:rsidRPr="0059129C">
        <w:rPr>
          <w:rFonts w:ascii="Avenir Book" w:eastAsia="Calibri" w:hAnsi="Avenir Book" w:cstheme="minorHAnsi"/>
          <w:sz w:val="22"/>
          <w:szCs w:val="22"/>
        </w:rPr>
        <w:t xml:space="preserve">In relation to torture and </w:t>
      </w:r>
      <w:r w:rsidR="0059129C">
        <w:rPr>
          <w:rFonts w:ascii="Avenir Book" w:eastAsia="Calibri" w:hAnsi="Avenir Book" w:cstheme="minorHAnsi"/>
          <w:sz w:val="22"/>
          <w:szCs w:val="22"/>
        </w:rPr>
        <w:t xml:space="preserve">ill-treatment, </w:t>
      </w:r>
      <w:r w:rsidR="0059129C" w:rsidRPr="0059129C">
        <w:rPr>
          <w:rFonts w:ascii="Avenir Book" w:eastAsia="Calibri" w:hAnsi="Avenir Book" w:cstheme="minorHAnsi"/>
          <w:sz w:val="22"/>
          <w:szCs w:val="22"/>
        </w:rPr>
        <w:t xml:space="preserve">the </w:t>
      </w:r>
      <w:r w:rsidR="0059129C">
        <w:rPr>
          <w:rFonts w:ascii="Avenir Book" w:eastAsia="Calibri" w:hAnsi="Avenir Book" w:cstheme="minorHAnsi"/>
          <w:sz w:val="22"/>
          <w:szCs w:val="22"/>
        </w:rPr>
        <w:t xml:space="preserve">CRPD </w:t>
      </w:r>
      <w:r w:rsidR="0059129C" w:rsidRPr="0059129C">
        <w:rPr>
          <w:rFonts w:ascii="Avenir Book" w:eastAsia="Calibri" w:hAnsi="Avenir Book" w:cstheme="minorHAnsi"/>
          <w:sz w:val="22"/>
          <w:szCs w:val="22"/>
        </w:rPr>
        <w:t>Committee expressed concern about legislation, policies and practices that permit the use of psychotropic medications, physical restraints and seclusion and restrictive practices against people with disability, including children, in any setting</w:t>
      </w:r>
      <w:r w:rsidR="0059129C">
        <w:rPr>
          <w:rFonts w:ascii="Avenir Book" w:eastAsia="Calibri" w:hAnsi="Avenir Book" w:cstheme="minorHAnsi"/>
          <w:sz w:val="22"/>
          <w:szCs w:val="22"/>
        </w:rPr>
        <w:t xml:space="preserve">; </w:t>
      </w:r>
      <w:r w:rsidR="0059129C" w:rsidRPr="0059129C">
        <w:rPr>
          <w:rFonts w:ascii="Avenir Book" w:eastAsia="Calibri" w:hAnsi="Avenir Book" w:cstheme="minorHAnsi"/>
          <w:sz w:val="22"/>
          <w:szCs w:val="22"/>
        </w:rPr>
        <w:t>lack of safe and accessible channels for making complaints; and the lack of engagem</w:t>
      </w:r>
      <w:r w:rsidR="0059129C">
        <w:rPr>
          <w:rFonts w:ascii="Avenir Book" w:eastAsia="Calibri" w:hAnsi="Avenir Book" w:cstheme="minorHAnsi"/>
          <w:sz w:val="22"/>
          <w:szCs w:val="22"/>
        </w:rPr>
        <w:t>e</w:t>
      </w:r>
      <w:r w:rsidR="0059129C" w:rsidRPr="0059129C">
        <w:rPr>
          <w:rFonts w:ascii="Avenir Book" w:eastAsia="Calibri" w:hAnsi="Avenir Book" w:cstheme="minorHAnsi"/>
          <w:sz w:val="22"/>
          <w:szCs w:val="22"/>
        </w:rPr>
        <w:t>nt with people with disability, through their representative organisations, regarding the designation and establishment of a disability-</w:t>
      </w:r>
      <w:r w:rsidR="0059129C" w:rsidRPr="0059129C">
        <w:rPr>
          <w:rFonts w:ascii="Avenir Book" w:eastAsia="Calibri" w:hAnsi="Avenir Book" w:cstheme="minorHAnsi"/>
          <w:sz w:val="22"/>
          <w:szCs w:val="22"/>
        </w:rPr>
        <w:lastRenderedPageBreak/>
        <w:t xml:space="preserve">inclusive national preventive mechanism under the Optional Protocol to the Convention Against Torture (OPCAT).  </w:t>
      </w:r>
    </w:p>
    <w:p w14:paraId="2429937A" w14:textId="2B42DB3B" w:rsidR="0091389D" w:rsidRDefault="00F850F4" w:rsidP="003A762F">
      <w:pPr>
        <w:spacing w:after="0" w:line="240" w:lineRule="auto"/>
        <w:ind w:left="851"/>
        <w:jc w:val="left"/>
        <w:rPr>
          <w:rFonts w:ascii="Avenir Book" w:eastAsia="Calibri" w:hAnsi="Avenir Book" w:cstheme="minorHAnsi"/>
          <w:bCs/>
          <w:sz w:val="22"/>
          <w:szCs w:val="22"/>
        </w:rPr>
      </w:pPr>
      <w:r w:rsidRPr="0059129C">
        <w:rPr>
          <w:rFonts w:ascii="Avenir Book" w:eastAsia="Calibri" w:hAnsi="Avenir Book" w:cstheme="minorHAnsi"/>
          <w:sz w:val="22"/>
          <w:szCs w:val="22"/>
        </w:rPr>
        <w:t xml:space="preserve">The Committee recommended that Australia: establish a national accessible oversight, complaint and redress mechanism for all people with disability in all settings, particularly older women with disability; ensure adequate resources and a redress mechanism for the Royal Commission; implement the recommendations contained in the AHRC report; ensure inclusion of women and girls with disability in the National Plan; ensure accessible gender and age sensitive services that are inclusive of women and girls with disability; and address the methodological restrictions in data collection instruments used to capture data on violence against women and girls with disability. </w:t>
      </w:r>
      <w:r w:rsidR="000479F2">
        <w:rPr>
          <w:rFonts w:ascii="Avenir Book" w:eastAsia="Calibri" w:hAnsi="Avenir Book" w:cstheme="minorHAnsi"/>
          <w:sz w:val="22"/>
          <w:szCs w:val="22"/>
        </w:rPr>
        <w:t xml:space="preserve">The CRPD Committee further recommended </w:t>
      </w:r>
      <w:r w:rsidR="000479F2" w:rsidRPr="0059129C">
        <w:rPr>
          <w:rFonts w:ascii="Avenir Book" w:eastAsia="Calibri" w:hAnsi="Avenir Book" w:cstheme="minorHAnsi"/>
          <w:sz w:val="22"/>
          <w:szCs w:val="22"/>
        </w:rPr>
        <w:t xml:space="preserve">that Australia: </w:t>
      </w:r>
      <w:r w:rsidR="000479F2" w:rsidRPr="0059129C">
        <w:rPr>
          <w:rFonts w:ascii="Avenir Book" w:eastAsia="Calibri" w:hAnsi="Avenir Book" w:cstheme="minorHAnsi"/>
          <w:bCs/>
          <w:sz w:val="22"/>
          <w:szCs w:val="22"/>
        </w:rPr>
        <w:t>adopt uniform legislation prohibiting forced sterilisation, the administration of contraception and the imposition of abortion procedures on women and girls with disability;</w:t>
      </w:r>
      <w:r w:rsidR="000479F2" w:rsidRPr="0059129C">
        <w:rPr>
          <w:rFonts w:ascii="Avenir Book" w:eastAsia="Calibri" w:hAnsi="Avenir Book" w:cstheme="minorHAnsi"/>
          <w:sz w:val="22"/>
          <w:szCs w:val="22"/>
        </w:rPr>
        <w:t xml:space="preserve"> a</w:t>
      </w:r>
      <w:r w:rsidR="000479F2" w:rsidRPr="0059129C">
        <w:rPr>
          <w:rFonts w:ascii="Avenir Book" w:eastAsia="Calibri" w:hAnsi="Avenir Book" w:cstheme="minorHAnsi"/>
          <w:bCs/>
          <w:sz w:val="22"/>
          <w:szCs w:val="22"/>
        </w:rPr>
        <w:t>dopt clear legislative provisions that explicitly prohibit unnecessary, invasive and irreversible medical interventions, including surgical, hormonal or other medical procedures on intersex children before they reach the legal age of consent; and provide adequate counselling and support for the families of intersex children and redress to intersex persons having undergone such medical procedures;</w:t>
      </w:r>
      <w:r w:rsidR="000479F2" w:rsidRPr="0059129C">
        <w:rPr>
          <w:rFonts w:ascii="Avenir Book" w:eastAsia="Calibri" w:hAnsi="Avenir Book" w:cstheme="minorHAnsi"/>
          <w:sz w:val="22"/>
          <w:szCs w:val="22"/>
        </w:rPr>
        <w:t xml:space="preserve"> p</w:t>
      </w:r>
      <w:r w:rsidR="000479F2" w:rsidRPr="0059129C">
        <w:rPr>
          <w:rFonts w:ascii="Avenir Book" w:eastAsia="Calibri" w:hAnsi="Avenir Book" w:cstheme="minorHAnsi"/>
          <w:bCs/>
          <w:sz w:val="22"/>
          <w:szCs w:val="22"/>
        </w:rPr>
        <w:t xml:space="preserve">rohibit the use of non-consensual electroconvulsive therapy on the basis of any form of impairment; and ensure that the free and informed consent of the person concerned is provided prior to any medical treatment. The Committee also recommended to: develop nationally consistent disability justice plans across governments to ensure that people with disability are supported in accessing the same legal protections and redress as the rest of the community; </w:t>
      </w:r>
      <w:r w:rsidR="000479F2" w:rsidRPr="0059129C">
        <w:rPr>
          <w:rFonts w:ascii="Avenir Book" w:eastAsia="Calibri" w:hAnsi="Avenir Book" w:cstheme="minorHAnsi"/>
          <w:sz w:val="22"/>
          <w:szCs w:val="22"/>
        </w:rPr>
        <w:t>e</w:t>
      </w:r>
      <w:r w:rsidR="000479F2" w:rsidRPr="0059129C">
        <w:rPr>
          <w:rFonts w:ascii="Avenir Book" w:eastAsia="Calibri" w:hAnsi="Avenir Book" w:cstheme="minorHAnsi"/>
          <w:bCs/>
          <w:sz w:val="22"/>
          <w:szCs w:val="22"/>
        </w:rPr>
        <w:t>liminate substitute decision-making</w:t>
      </w:r>
      <w:r w:rsidR="000479F2">
        <w:rPr>
          <w:rFonts w:ascii="Avenir Book" w:eastAsia="Calibri" w:hAnsi="Avenir Book" w:cstheme="minorHAnsi"/>
          <w:bCs/>
          <w:sz w:val="22"/>
          <w:szCs w:val="22"/>
        </w:rPr>
        <w:t>;</w:t>
      </w:r>
      <w:r w:rsidR="000479F2" w:rsidRPr="0059129C">
        <w:rPr>
          <w:rFonts w:ascii="Avenir Book" w:eastAsia="Calibri" w:hAnsi="Avenir Book" w:cstheme="minorHAnsi"/>
          <w:bCs/>
          <w:sz w:val="22"/>
          <w:szCs w:val="22"/>
        </w:rPr>
        <w:t xml:space="preserve"> </w:t>
      </w:r>
      <w:r w:rsidR="000479F2" w:rsidRPr="0059129C">
        <w:rPr>
          <w:rFonts w:ascii="Avenir Book" w:eastAsia="Calibri" w:hAnsi="Avenir Book" w:cstheme="minorHAnsi"/>
          <w:sz w:val="22"/>
          <w:szCs w:val="22"/>
        </w:rPr>
        <w:t>r</w:t>
      </w:r>
      <w:r w:rsidR="000479F2" w:rsidRPr="0059129C">
        <w:rPr>
          <w:rFonts w:ascii="Avenir Book" w:eastAsia="Calibri" w:hAnsi="Avenir Book" w:cstheme="minorHAnsi"/>
          <w:bCs/>
          <w:sz w:val="22"/>
          <w:szCs w:val="22"/>
        </w:rPr>
        <w:t>epeal laws and policies and cease practices that enable the deprivation of liberty on the basis of impairment and that enable forced medical interventions on people with disability, particularly Indigenous peoples with disability;</w:t>
      </w:r>
      <w:r w:rsidR="000479F2" w:rsidRPr="0059129C">
        <w:rPr>
          <w:rFonts w:ascii="Avenir Book" w:eastAsia="Calibri" w:hAnsi="Avenir Book" w:cstheme="minorHAnsi"/>
          <w:sz w:val="22"/>
          <w:szCs w:val="22"/>
        </w:rPr>
        <w:t xml:space="preserve"> and e</w:t>
      </w:r>
      <w:r w:rsidR="000479F2" w:rsidRPr="0059129C">
        <w:rPr>
          <w:rFonts w:ascii="Avenir Book" w:eastAsia="Calibri" w:hAnsi="Avenir Book" w:cstheme="minorHAnsi"/>
          <w:bCs/>
          <w:sz w:val="22"/>
          <w:szCs w:val="22"/>
        </w:rPr>
        <w:t>nd the practice of detaining and restraining children with disability in any setting.</w:t>
      </w:r>
      <w:r w:rsidR="000479F2" w:rsidRPr="0059129C">
        <w:rPr>
          <w:rFonts w:ascii="Avenir Book" w:eastAsia="Calibri" w:hAnsi="Avenir Book" w:cstheme="minorHAnsi"/>
          <w:sz w:val="22"/>
          <w:szCs w:val="22"/>
        </w:rPr>
        <w:t xml:space="preserve">  The Committee also recommended that Australia: e</w:t>
      </w:r>
      <w:r w:rsidR="000479F2" w:rsidRPr="0059129C">
        <w:rPr>
          <w:rFonts w:ascii="Avenir Book" w:eastAsia="Calibri" w:hAnsi="Avenir Book" w:cstheme="minorHAnsi"/>
          <w:bCs/>
          <w:sz w:val="22"/>
          <w:szCs w:val="22"/>
        </w:rPr>
        <w:t>stablish a nationally consistent legislative and administrative framework for the protection of all people with disability, including children, from the use of psychotropic medications, physical restraints and seclusion and the elimination of restrictive practices, including corporal punishment, in all settings, including the home;</w:t>
      </w:r>
      <w:r w:rsidR="000479F2" w:rsidRPr="0059129C">
        <w:rPr>
          <w:rFonts w:ascii="Avenir Book" w:eastAsia="Calibri" w:hAnsi="Avenir Book" w:cstheme="minorHAnsi"/>
          <w:sz w:val="22"/>
          <w:szCs w:val="22"/>
        </w:rPr>
        <w:t xml:space="preserve"> </w:t>
      </w:r>
      <w:r w:rsidR="000479F2">
        <w:rPr>
          <w:rFonts w:ascii="Avenir Book" w:eastAsia="Calibri" w:hAnsi="Avenir Book" w:cstheme="minorHAnsi"/>
          <w:bCs/>
          <w:sz w:val="22"/>
          <w:szCs w:val="22"/>
        </w:rPr>
        <w:t xml:space="preserve">and </w:t>
      </w:r>
      <w:r w:rsidR="000479F2" w:rsidRPr="0059129C">
        <w:rPr>
          <w:rFonts w:ascii="Avenir Book" w:eastAsia="Calibri" w:hAnsi="Avenir Book" w:cstheme="minorHAnsi"/>
          <w:sz w:val="22"/>
          <w:szCs w:val="22"/>
        </w:rPr>
        <w:t xml:space="preserve">ensure </w:t>
      </w:r>
      <w:r w:rsidR="000479F2" w:rsidRPr="0059129C">
        <w:rPr>
          <w:rFonts w:ascii="Avenir Book" w:eastAsia="Calibri" w:hAnsi="Avenir Book" w:cstheme="minorHAnsi"/>
          <w:bCs/>
          <w:sz w:val="22"/>
          <w:szCs w:val="22"/>
        </w:rPr>
        <w:t xml:space="preserve">that organisations of people with disability can effectively engage in the establishment and work of the OPCAT national preventive mechanism. </w:t>
      </w:r>
    </w:p>
    <w:p w14:paraId="3EE131F6" w14:textId="77777777" w:rsidR="003A762F" w:rsidRPr="000840B9" w:rsidRDefault="003A762F" w:rsidP="003A762F">
      <w:pPr>
        <w:spacing w:after="0" w:line="240" w:lineRule="auto"/>
        <w:ind w:left="851"/>
        <w:jc w:val="left"/>
        <w:rPr>
          <w:rFonts w:ascii="Avenir Book" w:eastAsia="Calibri" w:hAnsi="Avenir Book" w:cstheme="minorHAnsi"/>
          <w:sz w:val="22"/>
          <w:szCs w:val="22"/>
        </w:rPr>
      </w:pPr>
    </w:p>
    <w:p w14:paraId="0708259E" w14:textId="06E73E6E" w:rsidR="003A762F" w:rsidRPr="003A762F" w:rsidRDefault="00F850F4" w:rsidP="00564172">
      <w:pPr>
        <w:pStyle w:val="ListParagraph"/>
        <w:numPr>
          <w:ilvl w:val="2"/>
          <w:numId w:val="31"/>
        </w:numPr>
        <w:spacing w:line="240" w:lineRule="auto"/>
        <w:ind w:left="851" w:hanging="851"/>
        <w:jc w:val="left"/>
        <w:rPr>
          <w:rFonts w:ascii="Avenir Book" w:eastAsia="Calibri" w:hAnsi="Avenir Book" w:cstheme="minorHAnsi"/>
          <w:sz w:val="22"/>
          <w:szCs w:val="22"/>
        </w:rPr>
      </w:pPr>
      <w:r w:rsidRPr="000840B9">
        <w:rPr>
          <w:rFonts w:ascii="Avenir Book" w:hAnsi="Avenir Book" w:cstheme="minorHAnsi"/>
          <w:color w:val="000000" w:themeColor="text1"/>
          <w:sz w:val="22"/>
          <w:szCs w:val="22"/>
          <w:shd w:val="clear" w:color="auto" w:fill="FFFFFF"/>
          <w:lang w:eastAsia="en-AU"/>
        </w:rPr>
        <w:t>In its 2018 review</w:t>
      </w:r>
      <w:r w:rsidRPr="000840B9">
        <w:rPr>
          <w:rFonts w:ascii="Avenir Book" w:hAnsi="Avenir Book" w:cstheme="minorHAnsi"/>
          <w:sz w:val="22"/>
          <w:szCs w:val="22"/>
        </w:rPr>
        <w:t xml:space="preserve"> the </w:t>
      </w:r>
      <w:r w:rsidRPr="003A762F">
        <w:rPr>
          <w:rFonts w:ascii="Avenir Book" w:hAnsi="Avenir Book" w:cstheme="minorHAnsi"/>
          <w:b/>
          <w:sz w:val="22"/>
          <w:szCs w:val="22"/>
        </w:rPr>
        <w:t>CEDAW Committee</w:t>
      </w:r>
      <w:r w:rsidRPr="000840B9">
        <w:rPr>
          <w:rFonts w:ascii="Avenir Book" w:hAnsi="Avenir Book" w:cstheme="minorHAnsi"/>
          <w:sz w:val="22"/>
          <w:szCs w:val="22"/>
        </w:rPr>
        <w:t xml:space="preserve"> expressed its concern</w:t>
      </w:r>
      <w:r w:rsidR="00D368FC">
        <w:rPr>
          <w:rStyle w:val="FootnoteReference"/>
          <w:rFonts w:ascii="Avenir Book" w:hAnsi="Avenir Book" w:cstheme="minorHAnsi"/>
          <w:sz w:val="22"/>
          <w:szCs w:val="22"/>
        </w:rPr>
        <w:footnoteReference w:id="201"/>
      </w:r>
      <w:r w:rsidRPr="000840B9">
        <w:rPr>
          <w:rFonts w:ascii="Avenir Book" w:hAnsi="Avenir Book" w:cstheme="minorHAnsi"/>
          <w:sz w:val="22"/>
          <w:szCs w:val="22"/>
        </w:rPr>
        <w:t xml:space="preserve"> at the lack of national legislation prohibiting all forms of gender-based violence against women</w:t>
      </w:r>
      <w:r w:rsidR="003A762F">
        <w:rPr>
          <w:rFonts w:ascii="Avenir Book" w:hAnsi="Avenir Book" w:cstheme="minorHAnsi"/>
          <w:sz w:val="22"/>
          <w:szCs w:val="22"/>
        </w:rPr>
        <w:t xml:space="preserve"> and</w:t>
      </w:r>
      <w:r w:rsidRPr="000840B9">
        <w:rPr>
          <w:rFonts w:ascii="Avenir Book" w:hAnsi="Avenir Book" w:cstheme="minorHAnsi"/>
          <w:sz w:val="22"/>
          <w:szCs w:val="22"/>
        </w:rPr>
        <w:t xml:space="preserve"> </w:t>
      </w:r>
      <w:r w:rsidR="003A762F" w:rsidRPr="0059129C">
        <w:rPr>
          <w:rFonts w:ascii="Avenir Book" w:eastAsia="Calibri" w:hAnsi="Avenir Book" w:cstheme="minorHAnsi"/>
          <w:sz w:val="22"/>
          <w:szCs w:val="22"/>
          <w:lang w:val="en-AU"/>
        </w:rPr>
        <w:t>at harmful practices against women and children occurring in Australia.</w:t>
      </w:r>
      <w:r w:rsidR="003A762F">
        <w:rPr>
          <w:rFonts w:ascii="Avenir Book" w:eastAsia="Calibri" w:hAnsi="Avenir Book" w:cstheme="minorHAnsi"/>
          <w:sz w:val="22"/>
          <w:szCs w:val="22"/>
          <w:lang w:val="en-AU"/>
        </w:rPr>
        <w:t xml:space="preserve"> </w:t>
      </w:r>
      <w:r w:rsidRPr="000840B9">
        <w:rPr>
          <w:rFonts w:ascii="Avenir Book" w:hAnsi="Avenir Book" w:cstheme="minorHAnsi"/>
          <w:sz w:val="22"/>
          <w:szCs w:val="22"/>
        </w:rPr>
        <w:t xml:space="preserve">The CEDAW Committee recommended that the Australian Government adopt commonwealth legislation that is in line with the Convention and prohibits all forms of gender-based violence against women and girls. The Committee also recommended that Australia should expedite the establishment of the national data collection framework and guarantee that data on femicide and violence against women with disability is systematically collected under the </w:t>
      </w:r>
      <w:r w:rsidRPr="000840B9">
        <w:rPr>
          <w:rFonts w:ascii="Avenir Book" w:hAnsi="Avenir Book" w:cstheme="minorHAnsi"/>
          <w:sz w:val="22"/>
          <w:szCs w:val="22"/>
        </w:rPr>
        <w:lastRenderedPageBreak/>
        <w:t>framework.</w:t>
      </w:r>
      <w:r w:rsidR="003A762F">
        <w:rPr>
          <w:rFonts w:ascii="Avenir Book" w:hAnsi="Avenir Book" w:cstheme="minorHAnsi"/>
          <w:sz w:val="22"/>
          <w:szCs w:val="22"/>
        </w:rPr>
        <w:t xml:space="preserve">  </w:t>
      </w:r>
      <w:r w:rsidR="003A762F" w:rsidRPr="003A762F">
        <w:rPr>
          <w:rFonts w:ascii="Avenir Book" w:eastAsia="Calibri" w:hAnsi="Avenir Book" w:cstheme="minorHAnsi"/>
          <w:sz w:val="22"/>
          <w:szCs w:val="22"/>
          <w:lang w:val="en-AU"/>
        </w:rPr>
        <w:t xml:space="preserve">The </w:t>
      </w:r>
      <w:r w:rsidR="003A762F">
        <w:rPr>
          <w:rFonts w:ascii="Avenir Book" w:eastAsia="Calibri" w:hAnsi="Avenir Book" w:cstheme="minorHAnsi"/>
          <w:sz w:val="22"/>
          <w:szCs w:val="22"/>
          <w:lang w:val="en-AU"/>
        </w:rPr>
        <w:t xml:space="preserve">CEDAW </w:t>
      </w:r>
      <w:r w:rsidR="003A762F" w:rsidRPr="003A762F">
        <w:rPr>
          <w:rFonts w:ascii="Avenir Book" w:eastAsia="Calibri" w:hAnsi="Avenir Book" w:cstheme="minorHAnsi"/>
          <w:sz w:val="22"/>
          <w:szCs w:val="22"/>
          <w:lang w:val="en-AU"/>
        </w:rPr>
        <w:t xml:space="preserve">Committee </w:t>
      </w:r>
      <w:r w:rsidR="003A762F">
        <w:rPr>
          <w:rFonts w:ascii="Avenir Book" w:eastAsia="Calibri" w:hAnsi="Avenir Book" w:cstheme="minorHAnsi"/>
          <w:sz w:val="22"/>
          <w:szCs w:val="22"/>
          <w:lang w:val="en-AU"/>
        </w:rPr>
        <w:t xml:space="preserve">further </w:t>
      </w:r>
      <w:r w:rsidR="003A762F" w:rsidRPr="003A762F">
        <w:rPr>
          <w:rFonts w:ascii="Avenir Book" w:eastAsia="Calibri" w:hAnsi="Avenir Book" w:cstheme="minorHAnsi"/>
          <w:sz w:val="22"/>
          <w:szCs w:val="22"/>
          <w:lang w:val="en-AU"/>
        </w:rPr>
        <w:t xml:space="preserve">recommended that Australia abolish the practices of the non-consensual administration of contraceptives to, the performance of abortion on and the sterilisation of women and girls with disabilities, and develop and enforce strict guidelines on the sexual and reproductive health rights of women and girls with disabilities who are unable to consent. The </w:t>
      </w:r>
      <w:r w:rsidR="003A762F">
        <w:rPr>
          <w:rFonts w:ascii="Avenir Book" w:eastAsia="Calibri" w:hAnsi="Avenir Book" w:cstheme="minorHAnsi"/>
          <w:sz w:val="22"/>
          <w:szCs w:val="22"/>
          <w:lang w:val="en-AU"/>
        </w:rPr>
        <w:t xml:space="preserve">CEDAW </w:t>
      </w:r>
      <w:r w:rsidR="003A762F" w:rsidRPr="003A762F">
        <w:rPr>
          <w:rFonts w:ascii="Avenir Book" w:eastAsia="Calibri" w:hAnsi="Avenir Book" w:cstheme="minorHAnsi"/>
          <w:sz w:val="22"/>
          <w:szCs w:val="22"/>
          <w:lang w:val="en-AU"/>
        </w:rPr>
        <w:t xml:space="preserve">Committee also recommended that Australia adopt clear legislative provisions that explicitly prohibit the performance of unnecessary surgical or other medical procedures on intersex children before they reach the legal age of consent, provide adequate counselling and support for the families of intersex children and provide redress to intersex persons having undergone such medical procedures. In addition, the </w:t>
      </w:r>
      <w:r w:rsidR="003A762F">
        <w:rPr>
          <w:rFonts w:ascii="Avenir Book" w:eastAsia="Calibri" w:hAnsi="Avenir Book" w:cstheme="minorHAnsi"/>
          <w:sz w:val="22"/>
          <w:szCs w:val="22"/>
          <w:lang w:val="en-AU"/>
        </w:rPr>
        <w:t xml:space="preserve">CEDAW </w:t>
      </w:r>
      <w:r w:rsidR="003A762F" w:rsidRPr="003A762F">
        <w:rPr>
          <w:rFonts w:ascii="Avenir Book" w:eastAsia="Calibri" w:hAnsi="Avenir Book" w:cstheme="minorHAnsi"/>
          <w:sz w:val="22"/>
          <w:szCs w:val="22"/>
          <w:lang w:val="en-AU"/>
        </w:rPr>
        <w:t>Committee recommended that Australia build the capacity of immigration and child protection workers, law enforcement officers and community organisations working on domestic violence, health and education to detect and respond to cases of early and forced marriage and investigate and prosecute such cases.</w:t>
      </w:r>
    </w:p>
    <w:p w14:paraId="33331060" w14:textId="77777777" w:rsidR="003A762F" w:rsidRPr="003A762F" w:rsidRDefault="003A762F" w:rsidP="003A762F">
      <w:pPr>
        <w:pStyle w:val="ListParagraph"/>
        <w:spacing w:line="240" w:lineRule="auto"/>
        <w:ind w:left="851"/>
        <w:jc w:val="left"/>
        <w:rPr>
          <w:rFonts w:ascii="Avenir Book" w:eastAsia="Calibri" w:hAnsi="Avenir Book" w:cstheme="minorHAnsi"/>
          <w:sz w:val="22"/>
          <w:szCs w:val="22"/>
        </w:rPr>
      </w:pPr>
    </w:p>
    <w:p w14:paraId="20209058" w14:textId="38356115" w:rsidR="00F850F4" w:rsidRPr="001F15B5" w:rsidRDefault="00F850F4" w:rsidP="00564172">
      <w:pPr>
        <w:pStyle w:val="ListParagraph"/>
        <w:numPr>
          <w:ilvl w:val="2"/>
          <w:numId w:val="31"/>
        </w:numPr>
        <w:spacing w:after="0" w:line="240" w:lineRule="auto"/>
        <w:ind w:left="851" w:hanging="851"/>
        <w:contextualSpacing w:val="0"/>
        <w:jc w:val="left"/>
        <w:rPr>
          <w:rFonts w:ascii="Avenir Book" w:eastAsia="Calibri" w:hAnsi="Avenir Book" w:cstheme="minorHAnsi"/>
          <w:sz w:val="22"/>
          <w:szCs w:val="22"/>
        </w:rPr>
      </w:pPr>
      <w:r w:rsidRPr="003A762F">
        <w:rPr>
          <w:rFonts w:ascii="Avenir Book" w:hAnsi="Avenir Book" w:cstheme="minorHAnsi"/>
          <w:sz w:val="22"/>
          <w:szCs w:val="22"/>
        </w:rPr>
        <w:t>In its 2019 Concluding Observations</w:t>
      </w:r>
      <w:r w:rsidR="00E35892" w:rsidRPr="003A762F">
        <w:rPr>
          <w:rFonts w:ascii="Avenir Book" w:hAnsi="Avenir Book" w:cstheme="minorHAnsi"/>
          <w:sz w:val="22"/>
          <w:szCs w:val="22"/>
        </w:rPr>
        <w:t xml:space="preserve"> </w:t>
      </w:r>
      <w:r w:rsidRPr="003A762F">
        <w:rPr>
          <w:rFonts w:ascii="Avenir Book" w:hAnsi="Avenir Book" w:cstheme="minorHAnsi"/>
          <w:sz w:val="22"/>
          <w:szCs w:val="22"/>
        </w:rPr>
        <w:t xml:space="preserve">the </w:t>
      </w:r>
      <w:r w:rsidR="00E35892" w:rsidRPr="003A762F">
        <w:rPr>
          <w:rFonts w:ascii="Avenir Book" w:hAnsi="Avenir Book" w:cstheme="minorHAnsi"/>
          <w:b/>
          <w:sz w:val="22"/>
          <w:szCs w:val="22"/>
        </w:rPr>
        <w:t xml:space="preserve">CRC </w:t>
      </w:r>
      <w:r w:rsidRPr="003A762F">
        <w:rPr>
          <w:rFonts w:ascii="Avenir Book" w:hAnsi="Avenir Book" w:cstheme="minorHAnsi"/>
          <w:b/>
          <w:bCs/>
          <w:sz w:val="22"/>
          <w:szCs w:val="22"/>
        </w:rPr>
        <w:t xml:space="preserve">Committee </w:t>
      </w:r>
      <w:r w:rsidRPr="003A762F">
        <w:rPr>
          <w:rFonts w:ascii="Avenir Book" w:hAnsi="Avenir Book" w:cstheme="minorHAnsi"/>
          <w:bCs/>
          <w:sz w:val="22"/>
          <w:szCs w:val="22"/>
        </w:rPr>
        <w:t>expressed its serious concerns</w:t>
      </w:r>
      <w:r w:rsidR="00D368FC">
        <w:rPr>
          <w:rStyle w:val="FootnoteReference"/>
          <w:rFonts w:ascii="Avenir Book" w:hAnsi="Avenir Book" w:cstheme="minorHAnsi"/>
          <w:bCs/>
          <w:sz w:val="22"/>
          <w:szCs w:val="22"/>
        </w:rPr>
        <w:footnoteReference w:id="202"/>
      </w:r>
      <w:r w:rsidRPr="003A762F">
        <w:rPr>
          <w:rFonts w:ascii="Avenir Book" w:hAnsi="Avenir Book" w:cstheme="minorHAnsi"/>
          <w:bCs/>
          <w:sz w:val="22"/>
          <w:szCs w:val="22"/>
        </w:rPr>
        <w:t xml:space="preserve"> about the high rates of violence against children in the home, that girls between the ages of 10-19 years suffer the highest rate of sexual abuse, that Indigenous children continue to be disproportionally affected by family and domestic violence, including sexual violence, that children with disability are more vulnerable to violence, neglect and abuse, including sexual abuse, and that girls with disability are forced to undergo sterilisation procedures.  The Committee recommended that Australia: prioritise implementation of violence prevention and response measures for children, particularly girls, of all ages within the National Framework for Protecting Australia’s Children 2009-2020 (National Framework) and the National Plan to Reduce Violence against Women and their Children 2010–2022 (National Plan); ensure that the National Centre for the Prevention of Child Sexual Abuse establishes a comprehensive standard with regard to intervention in cases of child sexual abuse to avoid the re</w:t>
      </w:r>
      <w:r w:rsidR="00066509" w:rsidRPr="003A762F">
        <w:rPr>
          <w:rFonts w:ascii="Avenir Book" w:hAnsi="Avenir Book" w:cstheme="minorHAnsi"/>
          <w:bCs/>
          <w:sz w:val="22"/>
          <w:szCs w:val="22"/>
        </w:rPr>
        <w:t>-</w:t>
      </w:r>
      <w:r w:rsidRPr="003A762F">
        <w:rPr>
          <w:rFonts w:ascii="Avenir Book" w:hAnsi="Avenir Book" w:cstheme="minorHAnsi"/>
          <w:bCs/>
          <w:sz w:val="22"/>
          <w:szCs w:val="22"/>
        </w:rPr>
        <w:t xml:space="preserve">traumatisation of child victims; provide child-specific therapeutic interventions and counselling to child victims of violence, in addition to the support provided to families; substantially increase family violence prevention and responses related to Indigenous children; review the National Framework and the National Plan to ensure they adequately prevent violence against children with disability and prohibit by law forced or coerced sterilisation of girls with disability; and enact legislation to prohibit unnecessary medical or surgical treatment on intersex children and provide support and counselling to families of intersex children. </w:t>
      </w:r>
    </w:p>
    <w:p w14:paraId="6D3F259B" w14:textId="77777777" w:rsidR="001F15B5" w:rsidRPr="001F15B5" w:rsidRDefault="001F15B5" w:rsidP="001F15B5">
      <w:pPr>
        <w:pStyle w:val="ListParagraph"/>
        <w:spacing w:after="0" w:line="240" w:lineRule="auto"/>
        <w:ind w:left="851"/>
        <w:contextualSpacing w:val="0"/>
        <w:jc w:val="left"/>
        <w:rPr>
          <w:rFonts w:ascii="Avenir Book" w:eastAsia="Calibri" w:hAnsi="Avenir Book" w:cstheme="minorHAnsi"/>
          <w:sz w:val="22"/>
          <w:szCs w:val="22"/>
        </w:rPr>
      </w:pPr>
    </w:p>
    <w:p w14:paraId="5CED212F" w14:textId="2CA5081B" w:rsidR="001F15B5" w:rsidRPr="001F15B5" w:rsidRDefault="00F850F4" w:rsidP="00564172">
      <w:pPr>
        <w:pStyle w:val="ListParagraph"/>
        <w:numPr>
          <w:ilvl w:val="2"/>
          <w:numId w:val="31"/>
        </w:numPr>
        <w:spacing w:line="240" w:lineRule="auto"/>
        <w:ind w:left="851" w:hanging="851"/>
        <w:jc w:val="left"/>
        <w:rPr>
          <w:rFonts w:ascii="Avenir Book" w:eastAsia="Calibri" w:hAnsi="Avenir Book" w:cstheme="minorHAnsi"/>
          <w:sz w:val="22"/>
          <w:szCs w:val="22"/>
        </w:rPr>
      </w:pPr>
      <w:r w:rsidRPr="001F15B5">
        <w:rPr>
          <w:rFonts w:ascii="Avenir Book" w:hAnsi="Avenir Book" w:cstheme="minorHAnsi"/>
          <w:sz w:val="22"/>
          <w:szCs w:val="22"/>
        </w:rPr>
        <w:t>In its 2017 Concluding observations</w:t>
      </w:r>
      <w:r w:rsidR="00E35892" w:rsidRPr="001F15B5">
        <w:rPr>
          <w:rFonts w:ascii="Avenir Book" w:hAnsi="Avenir Book" w:cstheme="minorHAnsi"/>
          <w:sz w:val="22"/>
          <w:szCs w:val="22"/>
        </w:rPr>
        <w:t>,</w:t>
      </w:r>
      <w:r w:rsidR="00D368FC">
        <w:rPr>
          <w:rStyle w:val="FootnoteReference"/>
          <w:rFonts w:ascii="Avenir Book" w:hAnsi="Avenir Book" w:cstheme="minorHAnsi"/>
          <w:sz w:val="22"/>
          <w:szCs w:val="22"/>
        </w:rPr>
        <w:footnoteReference w:id="203"/>
      </w:r>
      <w:r w:rsidR="00E35892" w:rsidRPr="001F15B5">
        <w:rPr>
          <w:rFonts w:ascii="Avenir Book" w:hAnsi="Avenir Book" w:cstheme="minorHAnsi"/>
          <w:sz w:val="22"/>
          <w:szCs w:val="22"/>
        </w:rPr>
        <w:t xml:space="preserve"> </w:t>
      </w:r>
      <w:r w:rsidRPr="001F15B5">
        <w:rPr>
          <w:rFonts w:ascii="Avenir Book" w:hAnsi="Avenir Book" w:cstheme="minorHAnsi"/>
          <w:sz w:val="22"/>
          <w:szCs w:val="22"/>
        </w:rPr>
        <w:t xml:space="preserve">the </w:t>
      </w:r>
      <w:r w:rsidR="00E35892" w:rsidRPr="001F15B5">
        <w:rPr>
          <w:rFonts w:ascii="Avenir Book" w:hAnsi="Avenir Book" w:cstheme="minorHAnsi"/>
          <w:b/>
          <w:sz w:val="22"/>
          <w:szCs w:val="22"/>
        </w:rPr>
        <w:t xml:space="preserve">ESCR </w:t>
      </w:r>
      <w:r w:rsidRPr="001F15B5">
        <w:rPr>
          <w:rFonts w:ascii="Avenir Book" w:hAnsi="Avenir Book" w:cstheme="minorHAnsi"/>
          <w:b/>
          <w:bCs/>
          <w:sz w:val="22"/>
          <w:szCs w:val="22"/>
        </w:rPr>
        <w:t xml:space="preserve">Committee </w:t>
      </w:r>
      <w:r w:rsidRPr="001F15B5">
        <w:rPr>
          <w:rFonts w:ascii="Avenir Book" w:hAnsi="Avenir Book" w:cstheme="minorHAnsi"/>
          <w:sz w:val="22"/>
          <w:szCs w:val="22"/>
        </w:rPr>
        <w:t xml:space="preserve">expressed its concern </w:t>
      </w:r>
      <w:r w:rsidRPr="001F15B5">
        <w:rPr>
          <w:rFonts w:ascii="Avenir Book" w:hAnsi="Avenir Book" w:cstheme="minorHAnsi"/>
          <w:sz w:val="22"/>
          <w:szCs w:val="22"/>
          <w:lang w:eastAsia="en-GB"/>
        </w:rPr>
        <w:t>about the high levels of violence and abuse against persons with disability, especially those with intellectual disability and women with disability</w:t>
      </w:r>
      <w:r w:rsidR="001F15B5">
        <w:rPr>
          <w:rFonts w:ascii="Avenir Book" w:hAnsi="Avenir Book" w:cstheme="minorHAnsi"/>
          <w:sz w:val="22"/>
          <w:szCs w:val="22"/>
          <w:lang w:eastAsia="en-GB"/>
        </w:rPr>
        <w:t>,</w:t>
      </w:r>
      <w:r w:rsidRPr="001F15B5">
        <w:rPr>
          <w:rFonts w:ascii="Avenir Book" w:hAnsi="Avenir Book" w:cstheme="minorHAnsi"/>
          <w:sz w:val="22"/>
          <w:szCs w:val="22"/>
          <w:lang w:eastAsia="en-GB"/>
        </w:rPr>
        <w:t xml:space="preserve"> placed in institutions or residences. The Committee also articulated its concern at the lack of effectiveness of oversight and complaint mechanisms in alternative care settings</w:t>
      </w:r>
      <w:r w:rsidR="001F15B5">
        <w:rPr>
          <w:rFonts w:ascii="Avenir Book" w:hAnsi="Avenir Book" w:cstheme="minorHAnsi"/>
          <w:sz w:val="22"/>
          <w:szCs w:val="22"/>
          <w:lang w:eastAsia="en-GB"/>
        </w:rPr>
        <w:t xml:space="preserve">, and </w:t>
      </w:r>
      <w:r w:rsidR="001F15B5" w:rsidRPr="001F15B5">
        <w:rPr>
          <w:rFonts w:ascii="Avenir Book" w:eastAsia="Calibri" w:hAnsi="Avenir Book" w:cstheme="minorHAnsi"/>
          <w:sz w:val="22"/>
          <w:szCs w:val="22"/>
          <w:lang w:val="en-AU"/>
        </w:rPr>
        <w:t xml:space="preserve">the fact that laws in Australia permit compulsory treatment, including forced sterilisation and electroconvulsive </w:t>
      </w:r>
      <w:r w:rsidR="001F15B5" w:rsidRPr="001F15B5">
        <w:rPr>
          <w:rFonts w:ascii="Avenir Book" w:eastAsia="Calibri" w:hAnsi="Avenir Book" w:cstheme="minorHAnsi"/>
          <w:sz w:val="22"/>
          <w:szCs w:val="22"/>
          <w:lang w:val="en-AU"/>
        </w:rPr>
        <w:lastRenderedPageBreak/>
        <w:t>therapy.</w:t>
      </w:r>
      <w:r w:rsidRPr="001F15B5">
        <w:rPr>
          <w:rFonts w:ascii="Avenir Book" w:hAnsi="Avenir Book" w:cstheme="minorHAnsi"/>
          <w:sz w:val="22"/>
          <w:szCs w:val="22"/>
          <w:lang w:eastAsia="en-GB"/>
        </w:rPr>
        <w:t xml:space="preserve"> The </w:t>
      </w:r>
      <w:r w:rsidR="001F15B5">
        <w:rPr>
          <w:rFonts w:ascii="Avenir Book" w:hAnsi="Avenir Book" w:cstheme="minorHAnsi"/>
          <w:sz w:val="22"/>
          <w:szCs w:val="22"/>
          <w:lang w:eastAsia="en-GB"/>
        </w:rPr>
        <w:t xml:space="preserve">ESCR </w:t>
      </w:r>
      <w:r w:rsidRPr="001F15B5">
        <w:rPr>
          <w:rFonts w:ascii="Avenir Book" w:hAnsi="Avenir Book" w:cstheme="minorHAnsi"/>
          <w:sz w:val="22"/>
          <w:szCs w:val="22"/>
          <w:lang w:eastAsia="en-GB"/>
        </w:rPr>
        <w:t>Committee recommended amongst other things, that Australia redouble its efforts to combat domestic violence against women and children, including among indigenous peoples; increase accommodation and support services, especially in rural and remote areas; fully implement the recommendations in the inquiry report by the Senate Community Affairs References Committee into violence, abuse and neglect against people with disability in institutional and residential settings (2015); and pay particular attention to ensure that women with disability who are victims of domestic violence can claim their rights.</w:t>
      </w:r>
      <w:r w:rsidR="001F15B5">
        <w:rPr>
          <w:rFonts w:ascii="Avenir Book" w:hAnsi="Avenir Book" w:cstheme="minorHAnsi"/>
          <w:sz w:val="22"/>
          <w:szCs w:val="22"/>
          <w:lang w:eastAsia="en-GB"/>
        </w:rPr>
        <w:t xml:space="preserve"> The ESCR also </w:t>
      </w:r>
      <w:r w:rsidR="001F15B5" w:rsidRPr="001F15B5">
        <w:rPr>
          <w:rFonts w:ascii="Avenir Book" w:eastAsia="Calibri" w:hAnsi="Avenir Book" w:cstheme="minorHAnsi"/>
          <w:sz w:val="22"/>
          <w:szCs w:val="22"/>
          <w:lang w:val="en-AU"/>
        </w:rPr>
        <w:t xml:space="preserve">recommended that Australia: revise its approach to mental health and ensure full respect for the human rights of persons with cognitive or psychosocial disability; and repeal all legislation that authorises medical intervention without the free, prior and informed consent of the person concerned, abolishing the use of restraint and the enforced administration of intrusive and irreversible treatments.  </w:t>
      </w:r>
    </w:p>
    <w:p w14:paraId="1128FF33" w14:textId="77777777" w:rsidR="001F15B5" w:rsidRPr="001F15B5" w:rsidRDefault="001F15B5" w:rsidP="001F15B5">
      <w:pPr>
        <w:pStyle w:val="ListParagraph"/>
        <w:spacing w:line="240" w:lineRule="auto"/>
        <w:ind w:left="851"/>
        <w:jc w:val="left"/>
        <w:rPr>
          <w:rFonts w:ascii="Avenir Book" w:eastAsia="Calibri" w:hAnsi="Avenir Book" w:cstheme="minorHAnsi"/>
          <w:sz w:val="22"/>
          <w:szCs w:val="22"/>
        </w:rPr>
      </w:pPr>
    </w:p>
    <w:p w14:paraId="42C8464D" w14:textId="2ED2B6FE" w:rsidR="001F15B5" w:rsidRPr="00822F9E" w:rsidRDefault="00F850F4" w:rsidP="00564172">
      <w:pPr>
        <w:pStyle w:val="ListParagraph"/>
        <w:numPr>
          <w:ilvl w:val="2"/>
          <w:numId w:val="31"/>
        </w:numPr>
        <w:spacing w:line="240" w:lineRule="auto"/>
        <w:ind w:left="851" w:hanging="851"/>
        <w:jc w:val="left"/>
        <w:rPr>
          <w:rFonts w:ascii="Avenir Book" w:eastAsia="Calibri" w:hAnsi="Avenir Book" w:cstheme="minorHAnsi"/>
          <w:sz w:val="22"/>
          <w:szCs w:val="22"/>
        </w:rPr>
      </w:pPr>
      <w:r w:rsidRPr="001F15B5">
        <w:rPr>
          <w:rFonts w:ascii="Avenir Book" w:hAnsi="Avenir Book" w:cstheme="minorHAnsi"/>
          <w:sz w:val="22"/>
          <w:szCs w:val="22"/>
        </w:rPr>
        <w:t xml:space="preserve">In 2017, the </w:t>
      </w:r>
      <w:r w:rsidRPr="001F15B5">
        <w:rPr>
          <w:rFonts w:ascii="Avenir Book" w:hAnsi="Avenir Book" w:cstheme="minorHAnsi"/>
          <w:b/>
          <w:sz w:val="22"/>
          <w:szCs w:val="22"/>
        </w:rPr>
        <w:t>H</w:t>
      </w:r>
      <w:r w:rsidR="00822F9E">
        <w:rPr>
          <w:rFonts w:ascii="Avenir Book" w:hAnsi="Avenir Book" w:cstheme="minorHAnsi"/>
          <w:b/>
          <w:sz w:val="22"/>
          <w:szCs w:val="22"/>
        </w:rPr>
        <w:t xml:space="preserve">RC </w:t>
      </w:r>
      <w:r w:rsidRPr="001F15B5">
        <w:rPr>
          <w:rFonts w:ascii="Avenir Book" w:hAnsi="Avenir Book" w:cstheme="minorHAnsi"/>
          <w:b/>
          <w:sz w:val="22"/>
          <w:szCs w:val="22"/>
        </w:rPr>
        <w:t>Committee</w:t>
      </w:r>
      <w:r w:rsidRPr="001F15B5">
        <w:rPr>
          <w:rFonts w:ascii="Avenir Book" w:hAnsi="Avenir Book" w:cstheme="minorHAnsi"/>
          <w:sz w:val="22"/>
          <w:szCs w:val="22"/>
        </w:rPr>
        <w:t xml:space="preserve"> released its Concluding Observations</w:t>
      </w:r>
      <w:r w:rsidR="00CF430C" w:rsidRPr="000840B9">
        <w:rPr>
          <w:rStyle w:val="FootnoteReference"/>
          <w:rFonts w:ascii="Avenir Book" w:hAnsi="Avenir Book" w:cstheme="minorHAnsi"/>
          <w:sz w:val="22"/>
          <w:szCs w:val="22"/>
        </w:rPr>
        <w:footnoteReference w:id="204"/>
      </w:r>
      <w:r w:rsidR="00CF430C" w:rsidRPr="001F15B5">
        <w:rPr>
          <w:rFonts w:ascii="Avenir Book" w:hAnsi="Avenir Book" w:cstheme="minorHAnsi"/>
          <w:sz w:val="22"/>
          <w:szCs w:val="22"/>
        </w:rPr>
        <w:t xml:space="preserve"> </w:t>
      </w:r>
      <w:r w:rsidRPr="001F15B5">
        <w:rPr>
          <w:rFonts w:ascii="Avenir Book" w:hAnsi="Avenir Book" w:cstheme="minorHAnsi"/>
          <w:sz w:val="22"/>
          <w:szCs w:val="22"/>
        </w:rPr>
        <w:t xml:space="preserve">on the sixth periodic report of Australia under the </w:t>
      </w:r>
      <w:r w:rsidRPr="001F15B5">
        <w:rPr>
          <w:rFonts w:ascii="Avenir Book" w:hAnsi="Avenir Book" w:cstheme="minorHAnsi"/>
          <w:bCs/>
          <w:sz w:val="22"/>
          <w:szCs w:val="22"/>
        </w:rPr>
        <w:t>International Covenant on Civil and Political Rights</w:t>
      </w:r>
      <w:r w:rsidRPr="001F15B5">
        <w:rPr>
          <w:rFonts w:ascii="Avenir Book" w:hAnsi="Avenir Book" w:cstheme="minorHAnsi"/>
          <w:sz w:val="22"/>
          <w:szCs w:val="22"/>
        </w:rPr>
        <w:t xml:space="preserve">. While welcoming the various measures taken to address violence against women, the Committee specifically noted its concern that violence against women in Australia continues to have a disproportionate effect on women with disability and Indigenous women. </w:t>
      </w:r>
      <w:r w:rsidR="001F15B5">
        <w:rPr>
          <w:rFonts w:ascii="Avenir Book" w:hAnsi="Avenir Book" w:cstheme="minorHAnsi"/>
          <w:sz w:val="22"/>
          <w:szCs w:val="22"/>
        </w:rPr>
        <w:t xml:space="preserve">The </w:t>
      </w:r>
      <w:r w:rsidR="00822F9E">
        <w:rPr>
          <w:rFonts w:ascii="Avenir Book" w:hAnsi="Avenir Book" w:cstheme="minorHAnsi"/>
          <w:sz w:val="22"/>
          <w:szCs w:val="22"/>
        </w:rPr>
        <w:t xml:space="preserve">HRC </w:t>
      </w:r>
      <w:r w:rsidR="001F15B5">
        <w:rPr>
          <w:rFonts w:ascii="Avenir Book" w:hAnsi="Avenir Book" w:cstheme="minorHAnsi"/>
          <w:sz w:val="22"/>
          <w:szCs w:val="22"/>
        </w:rPr>
        <w:t xml:space="preserve">Committee also </w:t>
      </w:r>
      <w:r w:rsidR="001F15B5" w:rsidRPr="0059129C">
        <w:rPr>
          <w:rFonts w:ascii="Avenir Book" w:eastAsia="Calibri" w:hAnsi="Avenir Book" w:cstheme="minorHAnsi"/>
          <w:sz w:val="22"/>
          <w:szCs w:val="22"/>
          <w:lang w:val="en-AU"/>
        </w:rPr>
        <w:t>expressed concern at the ongoing practice of forced sterilisation of women and girls with disability</w:t>
      </w:r>
      <w:r w:rsidR="001F15B5">
        <w:rPr>
          <w:rFonts w:ascii="Avenir Book" w:eastAsia="Calibri" w:hAnsi="Avenir Book" w:cstheme="minorHAnsi"/>
          <w:sz w:val="22"/>
          <w:szCs w:val="22"/>
          <w:lang w:val="en-AU"/>
        </w:rPr>
        <w:t xml:space="preserve">, and forced </w:t>
      </w:r>
      <w:r w:rsidR="001F15B5" w:rsidRPr="0059129C">
        <w:rPr>
          <w:rFonts w:ascii="Avenir Book" w:eastAsia="Calibri" w:hAnsi="Avenir Book" w:cstheme="minorHAnsi"/>
          <w:sz w:val="22"/>
          <w:szCs w:val="22"/>
          <w:lang w:val="en-AU"/>
        </w:rPr>
        <w:t>irreversible and invasive medical interventions</w:t>
      </w:r>
      <w:r w:rsidR="001F15B5">
        <w:rPr>
          <w:rFonts w:ascii="Avenir Book" w:eastAsia="Calibri" w:hAnsi="Avenir Book" w:cstheme="minorHAnsi"/>
          <w:sz w:val="22"/>
          <w:szCs w:val="22"/>
          <w:lang w:val="en-AU"/>
        </w:rPr>
        <w:t xml:space="preserve"> on </w:t>
      </w:r>
      <w:r w:rsidR="001F15B5" w:rsidRPr="0059129C">
        <w:rPr>
          <w:rFonts w:ascii="Avenir Book" w:eastAsia="Calibri" w:hAnsi="Avenir Book" w:cstheme="minorHAnsi"/>
          <w:sz w:val="22"/>
          <w:szCs w:val="22"/>
          <w:lang w:val="en-AU"/>
        </w:rPr>
        <w:t>infants and children born with intersex variations</w:t>
      </w:r>
      <w:r w:rsidR="001F15B5">
        <w:rPr>
          <w:rFonts w:ascii="Avenir Book" w:eastAsia="Calibri" w:hAnsi="Avenir Book" w:cstheme="minorHAnsi"/>
          <w:sz w:val="22"/>
          <w:szCs w:val="22"/>
          <w:lang w:val="en-AU"/>
        </w:rPr>
        <w:t xml:space="preserve">. </w:t>
      </w:r>
      <w:r w:rsidR="00CF430C" w:rsidRPr="001F15B5">
        <w:rPr>
          <w:rFonts w:ascii="Avenir Book" w:hAnsi="Avenir Book" w:cstheme="minorHAnsi"/>
          <w:sz w:val="22"/>
          <w:szCs w:val="22"/>
        </w:rPr>
        <w:t>T</w:t>
      </w:r>
      <w:r w:rsidRPr="001F15B5">
        <w:rPr>
          <w:rFonts w:ascii="Avenir Book" w:hAnsi="Avenir Book" w:cstheme="minorHAnsi"/>
          <w:sz w:val="22"/>
          <w:szCs w:val="22"/>
        </w:rPr>
        <w:t xml:space="preserve">he </w:t>
      </w:r>
      <w:r w:rsidR="00822F9E">
        <w:rPr>
          <w:rFonts w:ascii="Avenir Book" w:hAnsi="Avenir Book" w:cstheme="minorHAnsi"/>
          <w:sz w:val="22"/>
          <w:szCs w:val="22"/>
        </w:rPr>
        <w:t xml:space="preserve">HRC </w:t>
      </w:r>
      <w:r w:rsidRPr="001F15B5">
        <w:rPr>
          <w:rFonts w:ascii="Avenir Book" w:hAnsi="Avenir Book" w:cstheme="minorHAnsi"/>
          <w:sz w:val="22"/>
          <w:szCs w:val="22"/>
        </w:rPr>
        <w:t xml:space="preserve">Committee recommended that Australia improve support services to women with disability who are victims of domestic violence, including through the implementation of the relevant recommendations from the Stop the Violence Project. The </w:t>
      </w:r>
      <w:r w:rsidR="00822F9E">
        <w:rPr>
          <w:rFonts w:ascii="Avenir Book" w:hAnsi="Avenir Book" w:cstheme="minorHAnsi"/>
          <w:sz w:val="22"/>
          <w:szCs w:val="22"/>
        </w:rPr>
        <w:t xml:space="preserve">HRC </w:t>
      </w:r>
      <w:r w:rsidRPr="001F15B5">
        <w:rPr>
          <w:rFonts w:ascii="Avenir Book" w:hAnsi="Avenir Book" w:cstheme="minorHAnsi"/>
          <w:sz w:val="22"/>
          <w:szCs w:val="22"/>
        </w:rPr>
        <w:t>Committee also recommended that all allegations of sexual abuse, regardless of the time of their commission, are promptly, impartially, thoroughly and effectively investigated and perpetrators are brought to justice and, if found responsible, are punished in accordance with the gravity of their acts.</w:t>
      </w:r>
      <w:r w:rsidR="00822F9E">
        <w:rPr>
          <w:rFonts w:ascii="Avenir Book" w:hAnsi="Avenir Book" w:cstheme="minorHAnsi"/>
          <w:sz w:val="22"/>
          <w:szCs w:val="22"/>
        </w:rPr>
        <w:t xml:space="preserve">  The HRC </w:t>
      </w:r>
      <w:r w:rsidR="001F15B5" w:rsidRPr="00822F9E">
        <w:rPr>
          <w:rFonts w:ascii="Avenir Book" w:eastAsia="Calibri" w:hAnsi="Avenir Book" w:cstheme="minorHAnsi"/>
          <w:sz w:val="22"/>
          <w:szCs w:val="22"/>
          <w:lang w:val="en-AU"/>
        </w:rPr>
        <w:t xml:space="preserve">Committee </w:t>
      </w:r>
      <w:r w:rsidR="00822F9E">
        <w:rPr>
          <w:rFonts w:ascii="Avenir Book" w:eastAsia="Calibri" w:hAnsi="Avenir Book" w:cstheme="minorHAnsi"/>
          <w:sz w:val="22"/>
          <w:szCs w:val="22"/>
          <w:lang w:val="en-AU"/>
        </w:rPr>
        <w:t xml:space="preserve">also </w:t>
      </w:r>
      <w:r w:rsidR="001F15B5" w:rsidRPr="00822F9E">
        <w:rPr>
          <w:rFonts w:ascii="Avenir Book" w:eastAsia="Calibri" w:hAnsi="Avenir Book" w:cstheme="minorHAnsi"/>
          <w:sz w:val="22"/>
          <w:szCs w:val="22"/>
          <w:lang w:val="en-AU"/>
        </w:rPr>
        <w:t>recommended that Australia abolish the practice of forced sterilisation of women and girls with disability</w:t>
      </w:r>
      <w:r w:rsidR="00822F9E">
        <w:rPr>
          <w:rFonts w:ascii="Avenir Book" w:eastAsia="Calibri" w:hAnsi="Avenir Book" w:cstheme="minorHAnsi"/>
          <w:sz w:val="22"/>
          <w:szCs w:val="22"/>
          <w:lang w:val="en-AU"/>
        </w:rPr>
        <w:t xml:space="preserve">; and </w:t>
      </w:r>
      <w:r w:rsidR="001F15B5" w:rsidRPr="00822F9E">
        <w:rPr>
          <w:rFonts w:ascii="Avenir Book" w:eastAsia="Calibri" w:hAnsi="Avenir Book" w:cstheme="minorHAnsi"/>
          <w:sz w:val="22"/>
          <w:szCs w:val="22"/>
          <w:lang w:val="en-AU"/>
        </w:rPr>
        <w:t>move to end irreversible medical treatment, especially surgery, of intersex infants and children, who are not yet able to provide fully informed and free consent</w:t>
      </w:r>
      <w:r w:rsidR="00822F9E">
        <w:rPr>
          <w:rFonts w:ascii="Avenir Book" w:eastAsia="Calibri" w:hAnsi="Avenir Book" w:cstheme="minorHAnsi"/>
          <w:sz w:val="22"/>
          <w:szCs w:val="22"/>
          <w:lang w:val="en-AU"/>
        </w:rPr>
        <w:t>.</w:t>
      </w:r>
    </w:p>
    <w:p w14:paraId="64C2F5C1" w14:textId="77777777" w:rsidR="00822F9E" w:rsidRPr="00822F9E" w:rsidRDefault="00822F9E" w:rsidP="00822F9E">
      <w:pPr>
        <w:pStyle w:val="ListParagraph"/>
        <w:spacing w:line="240" w:lineRule="auto"/>
        <w:ind w:left="851"/>
        <w:jc w:val="left"/>
        <w:rPr>
          <w:rFonts w:ascii="Avenir Book" w:eastAsia="Calibri" w:hAnsi="Avenir Book" w:cstheme="minorHAnsi"/>
          <w:sz w:val="22"/>
          <w:szCs w:val="22"/>
        </w:rPr>
      </w:pPr>
    </w:p>
    <w:p w14:paraId="59DE1686" w14:textId="4F987BE8" w:rsidR="00F850F4" w:rsidRPr="00822F9E" w:rsidRDefault="00F850F4" w:rsidP="00564172">
      <w:pPr>
        <w:pStyle w:val="ListParagraph"/>
        <w:numPr>
          <w:ilvl w:val="2"/>
          <w:numId w:val="31"/>
        </w:numPr>
        <w:spacing w:after="0" w:line="240" w:lineRule="auto"/>
        <w:ind w:left="851" w:hanging="851"/>
        <w:contextualSpacing w:val="0"/>
        <w:jc w:val="left"/>
        <w:rPr>
          <w:rFonts w:ascii="Avenir Book" w:eastAsia="Calibri" w:hAnsi="Avenir Book" w:cstheme="minorHAnsi"/>
          <w:sz w:val="22"/>
          <w:szCs w:val="22"/>
        </w:rPr>
      </w:pPr>
      <w:r w:rsidRPr="00822F9E">
        <w:rPr>
          <w:rFonts w:ascii="Avenir Book" w:hAnsi="Avenir Book" w:cstheme="minorHAnsi"/>
          <w:sz w:val="22"/>
          <w:szCs w:val="22"/>
        </w:rPr>
        <w:t xml:space="preserve">The </w:t>
      </w:r>
      <w:r w:rsidRPr="00822F9E">
        <w:rPr>
          <w:rFonts w:ascii="Avenir Book" w:hAnsi="Avenir Book" w:cstheme="minorHAnsi"/>
          <w:b/>
          <w:bCs/>
          <w:sz w:val="22"/>
          <w:szCs w:val="22"/>
        </w:rPr>
        <w:t>Committee against Torture</w:t>
      </w:r>
      <w:r w:rsidRPr="00822F9E">
        <w:rPr>
          <w:rFonts w:ascii="Avenir Book" w:hAnsi="Avenir Book" w:cstheme="minorHAnsi"/>
          <w:sz w:val="22"/>
          <w:szCs w:val="22"/>
        </w:rPr>
        <w:t xml:space="preserve"> </w:t>
      </w:r>
      <w:r w:rsidR="00CF430C" w:rsidRPr="00822F9E">
        <w:rPr>
          <w:rFonts w:ascii="Avenir Book" w:hAnsi="Avenir Book" w:cstheme="minorHAnsi"/>
          <w:sz w:val="22"/>
          <w:szCs w:val="22"/>
        </w:rPr>
        <w:t xml:space="preserve">(CAT Committee) </w:t>
      </w:r>
      <w:r w:rsidRPr="00822F9E">
        <w:rPr>
          <w:rFonts w:ascii="Avenir Book" w:hAnsi="Avenir Book" w:cstheme="minorHAnsi"/>
          <w:sz w:val="22"/>
          <w:szCs w:val="22"/>
        </w:rPr>
        <w:t>reviewed the combined fourth and fifth periodic reports of Australia in 2014. The Concluding Observations</w:t>
      </w:r>
      <w:r w:rsidR="00CF430C" w:rsidRPr="000840B9">
        <w:rPr>
          <w:rStyle w:val="FootnoteReference"/>
          <w:rFonts w:ascii="Avenir Book" w:hAnsi="Avenir Book" w:cstheme="minorHAnsi"/>
          <w:sz w:val="22"/>
          <w:szCs w:val="22"/>
        </w:rPr>
        <w:footnoteReference w:id="205"/>
      </w:r>
      <w:r w:rsidR="00CF430C" w:rsidRPr="00822F9E">
        <w:rPr>
          <w:rFonts w:ascii="Avenir Book" w:hAnsi="Avenir Book" w:cstheme="minorHAnsi"/>
          <w:sz w:val="22"/>
          <w:szCs w:val="22"/>
        </w:rPr>
        <w:t xml:space="preserve"> </w:t>
      </w:r>
      <w:r w:rsidRPr="00822F9E">
        <w:rPr>
          <w:rFonts w:ascii="Avenir Book" w:hAnsi="Avenir Book" w:cstheme="minorHAnsi"/>
          <w:sz w:val="22"/>
          <w:szCs w:val="22"/>
        </w:rPr>
        <w:t xml:space="preserve">from the review noted the Committee’s concern that violence against women in Australia disproportionately affects women with disability and Indigenous women. The </w:t>
      </w:r>
      <w:r w:rsidR="00822F9E">
        <w:rPr>
          <w:rFonts w:ascii="Avenir Book" w:hAnsi="Avenir Book" w:cstheme="minorHAnsi"/>
          <w:sz w:val="22"/>
          <w:szCs w:val="22"/>
        </w:rPr>
        <w:t xml:space="preserve">CAT </w:t>
      </w:r>
      <w:r w:rsidRPr="00822F9E">
        <w:rPr>
          <w:rFonts w:ascii="Avenir Book" w:hAnsi="Avenir Book" w:cstheme="minorHAnsi"/>
          <w:sz w:val="22"/>
          <w:szCs w:val="22"/>
        </w:rPr>
        <w:t>Committee recommended amongst other things that Australia redouble its efforts to prevent and combat all forms of violence against women and increase its efforts to address violence against women with disability and Indigenous women</w:t>
      </w:r>
      <w:r w:rsidR="00822F9E">
        <w:rPr>
          <w:rFonts w:ascii="Avenir Book" w:hAnsi="Avenir Book" w:cstheme="minorHAnsi"/>
          <w:sz w:val="22"/>
          <w:szCs w:val="22"/>
        </w:rPr>
        <w:t xml:space="preserve">; and to </w:t>
      </w:r>
      <w:r w:rsidR="00822F9E" w:rsidRPr="0059129C">
        <w:rPr>
          <w:rFonts w:ascii="Avenir Book" w:eastAsia="Calibri" w:hAnsi="Avenir Book" w:cstheme="minorHAnsi"/>
          <w:sz w:val="22"/>
          <w:szCs w:val="22"/>
          <w:lang w:val="en-AU"/>
        </w:rPr>
        <w:t xml:space="preserve">enact uniform national legislation prohibiting, except where there is a serious threat to life or </w:t>
      </w:r>
      <w:r w:rsidR="00822F9E" w:rsidRPr="0059129C">
        <w:rPr>
          <w:rFonts w:ascii="Avenir Book" w:eastAsia="Calibri" w:hAnsi="Avenir Book" w:cstheme="minorHAnsi"/>
          <w:sz w:val="22"/>
          <w:szCs w:val="22"/>
          <w:lang w:val="en-AU"/>
        </w:rPr>
        <w:lastRenderedPageBreak/>
        <w:t>health, the use of sterilisation without the prior, free and informed consent of the person concerned, and that it ensure that, once adopted, this legislation is effectively applied.</w:t>
      </w:r>
      <w:r w:rsidRPr="00822F9E">
        <w:rPr>
          <w:rFonts w:ascii="Avenir Book" w:hAnsi="Avenir Book" w:cstheme="minorHAnsi"/>
          <w:sz w:val="22"/>
          <w:szCs w:val="22"/>
        </w:rPr>
        <w:t xml:space="preserve">. </w:t>
      </w:r>
    </w:p>
    <w:p w14:paraId="6E0D4C37" w14:textId="77777777" w:rsidR="00822F9E" w:rsidRPr="00822F9E" w:rsidRDefault="00822F9E" w:rsidP="00822F9E">
      <w:pPr>
        <w:spacing w:after="0" w:line="240" w:lineRule="auto"/>
        <w:jc w:val="left"/>
        <w:rPr>
          <w:rFonts w:ascii="Avenir Book" w:eastAsia="Calibri" w:hAnsi="Avenir Book" w:cstheme="minorHAnsi"/>
          <w:sz w:val="22"/>
          <w:szCs w:val="22"/>
        </w:rPr>
      </w:pPr>
    </w:p>
    <w:p w14:paraId="0B42E16E" w14:textId="185F8440" w:rsidR="00D55076" w:rsidRPr="00D71C5D" w:rsidRDefault="00822F9E" w:rsidP="00822F9E">
      <w:pPr>
        <w:snapToGrid w:val="0"/>
        <w:spacing w:after="120" w:line="240" w:lineRule="auto"/>
        <w:ind w:left="851" w:hanging="851"/>
        <w:jc w:val="left"/>
        <w:rPr>
          <w:rFonts w:ascii="Avenir Book" w:hAnsi="Avenir Book" w:cstheme="minorHAnsi"/>
          <w:b/>
          <w:color w:val="AC1F79"/>
          <w:sz w:val="22"/>
          <w:szCs w:val="22"/>
        </w:rPr>
      </w:pPr>
      <w:r>
        <w:rPr>
          <w:rFonts w:ascii="Avenir Book" w:hAnsi="Avenir Book" w:cstheme="minorHAnsi"/>
          <w:b/>
          <w:color w:val="AC1F79"/>
          <w:sz w:val="22"/>
          <w:szCs w:val="22"/>
        </w:rPr>
        <w:t>8.4</w:t>
      </w:r>
      <w:r>
        <w:rPr>
          <w:rFonts w:ascii="Avenir Book" w:hAnsi="Avenir Book" w:cstheme="minorHAnsi"/>
          <w:b/>
          <w:color w:val="AC1F79"/>
          <w:sz w:val="22"/>
          <w:szCs w:val="22"/>
        </w:rPr>
        <w:tab/>
      </w:r>
      <w:r w:rsidR="007022C5" w:rsidRPr="00D71C5D">
        <w:rPr>
          <w:rFonts w:ascii="Avenir Book" w:hAnsi="Avenir Book" w:cstheme="minorHAnsi"/>
          <w:b/>
          <w:color w:val="AC1F79"/>
          <w:sz w:val="22"/>
          <w:szCs w:val="22"/>
        </w:rPr>
        <w:t>Rights of the Child</w:t>
      </w:r>
      <w:r w:rsidR="001B7338" w:rsidRPr="00D71C5D">
        <w:rPr>
          <w:rFonts w:ascii="Avenir Book" w:hAnsi="Avenir Book" w:cstheme="minorHAnsi"/>
          <w:b/>
          <w:color w:val="AC1F79"/>
          <w:sz w:val="22"/>
          <w:szCs w:val="22"/>
        </w:rPr>
        <w:t>:</w:t>
      </w:r>
    </w:p>
    <w:p w14:paraId="78AFF745" w14:textId="18B4D82D" w:rsidR="0063051A" w:rsidRDefault="00822F9E" w:rsidP="00822F9E">
      <w:pPr>
        <w:spacing w:after="0" w:line="240" w:lineRule="auto"/>
        <w:ind w:left="851" w:hanging="851"/>
        <w:jc w:val="left"/>
        <w:rPr>
          <w:rFonts w:ascii="Avenir Book" w:eastAsia="Calibri" w:hAnsi="Avenir Book" w:cstheme="minorHAnsi"/>
          <w:sz w:val="22"/>
          <w:szCs w:val="22"/>
        </w:rPr>
      </w:pPr>
      <w:r>
        <w:rPr>
          <w:rFonts w:ascii="Avenir Book" w:hAnsi="Avenir Book" w:cstheme="minorHAnsi"/>
          <w:sz w:val="22"/>
          <w:szCs w:val="22"/>
        </w:rPr>
        <w:t>8.4.1</w:t>
      </w:r>
      <w:r>
        <w:rPr>
          <w:rFonts w:ascii="Avenir Book" w:hAnsi="Avenir Book" w:cstheme="minorHAnsi"/>
          <w:sz w:val="22"/>
          <w:szCs w:val="22"/>
        </w:rPr>
        <w:tab/>
      </w:r>
      <w:r w:rsidR="00F850F4" w:rsidRPr="00D71C5D">
        <w:rPr>
          <w:rFonts w:ascii="Avenir Book" w:eastAsia="Calibri" w:hAnsi="Avenir Book" w:cstheme="minorHAnsi"/>
          <w:sz w:val="22"/>
          <w:szCs w:val="22"/>
        </w:rPr>
        <w:t>In its 2019 Concluding Observations</w:t>
      </w:r>
      <w:r w:rsidR="00200A08">
        <w:rPr>
          <w:rStyle w:val="FootnoteReference"/>
          <w:rFonts w:ascii="Avenir Book" w:eastAsia="Calibri" w:hAnsi="Avenir Book" w:cstheme="minorHAnsi"/>
          <w:sz w:val="22"/>
          <w:szCs w:val="22"/>
        </w:rPr>
        <w:footnoteReference w:id="206"/>
      </w:r>
      <w:r w:rsidR="00F850F4" w:rsidRPr="00D71C5D">
        <w:rPr>
          <w:rFonts w:ascii="Avenir Book" w:eastAsia="Calibri" w:hAnsi="Avenir Book" w:cstheme="minorHAnsi"/>
          <w:sz w:val="22"/>
          <w:szCs w:val="22"/>
        </w:rPr>
        <w:t xml:space="preserve"> </w:t>
      </w:r>
      <w:r w:rsidR="00F850F4" w:rsidRPr="00822F9E">
        <w:rPr>
          <w:rFonts w:ascii="Avenir Book" w:eastAsia="Calibri" w:hAnsi="Avenir Book" w:cstheme="minorHAnsi"/>
          <w:b/>
          <w:sz w:val="22"/>
          <w:szCs w:val="22"/>
        </w:rPr>
        <w:t xml:space="preserve">the </w:t>
      </w:r>
      <w:r w:rsidR="00B7091B" w:rsidRPr="00822F9E">
        <w:rPr>
          <w:rFonts w:ascii="Avenir Book" w:eastAsia="Calibri" w:hAnsi="Avenir Book" w:cstheme="minorHAnsi"/>
          <w:b/>
          <w:sz w:val="22"/>
          <w:szCs w:val="22"/>
        </w:rPr>
        <w:t xml:space="preserve">CRPD </w:t>
      </w:r>
      <w:r w:rsidR="00F850F4" w:rsidRPr="00822F9E">
        <w:rPr>
          <w:rFonts w:ascii="Avenir Book" w:eastAsia="Calibri" w:hAnsi="Avenir Book" w:cstheme="minorHAnsi"/>
          <w:b/>
          <w:bCs/>
          <w:sz w:val="22"/>
          <w:szCs w:val="22"/>
        </w:rPr>
        <w:t>Committee</w:t>
      </w:r>
      <w:r w:rsidR="00F850F4" w:rsidRPr="00D71C5D">
        <w:rPr>
          <w:rFonts w:ascii="Avenir Book" w:eastAsia="Calibri" w:hAnsi="Avenir Book" w:cstheme="minorHAnsi"/>
          <w:b/>
          <w:bCs/>
          <w:sz w:val="22"/>
          <w:szCs w:val="22"/>
        </w:rPr>
        <w:t xml:space="preserve"> </w:t>
      </w:r>
      <w:r w:rsidR="00F850F4" w:rsidRPr="00D71C5D">
        <w:rPr>
          <w:rFonts w:ascii="Avenir Book" w:eastAsia="Calibri" w:hAnsi="Avenir Book" w:cstheme="minorHAnsi"/>
          <w:sz w:val="22"/>
          <w:szCs w:val="22"/>
        </w:rPr>
        <w:t xml:space="preserve">recommended that Australia: </w:t>
      </w:r>
      <w:r w:rsidR="00F850F4" w:rsidRPr="00D71C5D">
        <w:rPr>
          <w:rFonts w:ascii="Avenir Book" w:hAnsi="Avenir Book" w:cstheme="minorHAnsi"/>
          <w:bCs/>
          <w:sz w:val="22"/>
          <w:szCs w:val="22"/>
        </w:rPr>
        <w:t xml:space="preserve">amend legislation to guarantee that children with disability are provided with age-appropriate support and accommodations to express their views in all matters that affect their rights or interests; include a focus on the rights of children with disability in national plans of action for the realisation of the rights of the child; facilitate access to services under the National Disability Insurance Scheme for women and girls with disability, particularly Indigenous women and girls with disability; strengthen measures to address multiple and intersectional forms of discrimination against women and girls with disability; end the practice of detaining and restraining children with disability in any setting; </w:t>
      </w:r>
      <w:r w:rsidR="00F850F4" w:rsidRPr="00D71C5D">
        <w:rPr>
          <w:rFonts w:ascii="Avenir Book" w:eastAsia="Calibri" w:hAnsi="Avenir Book" w:cstheme="minorHAnsi"/>
          <w:sz w:val="22"/>
          <w:szCs w:val="22"/>
        </w:rPr>
        <w:t>ensure inclusion of women and girls with disability in the National Plan to Reduce Violence Against Women and their Children; ensure accessible gender and age sensitive domestic violence, sexual assault and related violence services that are inclusive of women and girls with disability; and address the methodological restrictions in data collection instruments used to capture data on violence against women and girls with disability.</w:t>
      </w:r>
    </w:p>
    <w:p w14:paraId="6CADEAAE" w14:textId="77777777" w:rsidR="00822F9E" w:rsidRDefault="00822F9E" w:rsidP="00822F9E">
      <w:pPr>
        <w:spacing w:after="0" w:line="240" w:lineRule="auto"/>
        <w:ind w:left="851" w:hanging="851"/>
        <w:jc w:val="left"/>
        <w:rPr>
          <w:rFonts w:ascii="Avenir Book" w:eastAsia="Calibri" w:hAnsi="Avenir Book" w:cstheme="minorHAnsi"/>
          <w:sz w:val="22"/>
          <w:szCs w:val="22"/>
        </w:rPr>
      </w:pPr>
    </w:p>
    <w:p w14:paraId="4FB7967D" w14:textId="77F9CC29" w:rsidR="00F850F4" w:rsidRDefault="00822F9E" w:rsidP="00822F9E">
      <w:pPr>
        <w:spacing w:line="240" w:lineRule="auto"/>
        <w:ind w:left="851" w:hanging="851"/>
        <w:jc w:val="left"/>
        <w:rPr>
          <w:rFonts w:ascii="Avenir Book" w:hAnsi="Avenir Book" w:cstheme="minorHAnsi"/>
          <w:sz w:val="22"/>
          <w:szCs w:val="22"/>
        </w:rPr>
      </w:pPr>
      <w:r>
        <w:rPr>
          <w:rFonts w:ascii="Avenir Book" w:eastAsia="Calibri" w:hAnsi="Avenir Book" w:cstheme="minorHAnsi"/>
          <w:sz w:val="22"/>
          <w:szCs w:val="22"/>
        </w:rPr>
        <w:t>8.4.2</w:t>
      </w:r>
      <w:r>
        <w:rPr>
          <w:rFonts w:ascii="Avenir Book" w:eastAsia="Calibri" w:hAnsi="Avenir Book" w:cstheme="minorHAnsi"/>
          <w:sz w:val="22"/>
          <w:szCs w:val="22"/>
        </w:rPr>
        <w:tab/>
        <w:t>I</w:t>
      </w:r>
      <w:r w:rsidR="00F850F4" w:rsidRPr="00D71C5D">
        <w:rPr>
          <w:rFonts w:ascii="Avenir Book" w:hAnsi="Avenir Book" w:cstheme="minorHAnsi"/>
          <w:color w:val="000000" w:themeColor="text1"/>
          <w:sz w:val="22"/>
          <w:szCs w:val="22"/>
          <w:shd w:val="clear" w:color="auto" w:fill="FFFFFF"/>
          <w:lang w:eastAsia="en-AU"/>
        </w:rPr>
        <w:t>n 2018</w:t>
      </w:r>
      <w:r w:rsidR="00B7091B" w:rsidRPr="00D71C5D">
        <w:rPr>
          <w:rFonts w:ascii="Avenir Book" w:hAnsi="Avenir Book" w:cstheme="minorHAnsi"/>
          <w:color w:val="000000" w:themeColor="text1"/>
          <w:sz w:val="22"/>
          <w:szCs w:val="22"/>
          <w:shd w:val="clear" w:color="auto" w:fill="FFFFFF"/>
          <w:lang w:eastAsia="en-AU"/>
        </w:rPr>
        <w:t xml:space="preserve">, </w:t>
      </w:r>
      <w:r w:rsidR="00F850F4" w:rsidRPr="00D71C5D">
        <w:rPr>
          <w:rFonts w:ascii="Avenir Book" w:hAnsi="Avenir Book" w:cstheme="minorHAnsi"/>
          <w:color w:val="000000" w:themeColor="text1"/>
          <w:sz w:val="22"/>
          <w:szCs w:val="22"/>
          <w:shd w:val="clear" w:color="auto" w:fill="FFFFFF"/>
          <w:lang w:eastAsia="en-AU"/>
        </w:rPr>
        <w:t xml:space="preserve">the </w:t>
      </w:r>
      <w:r w:rsidR="00B7091B" w:rsidRPr="00822F9E">
        <w:rPr>
          <w:rFonts w:ascii="Avenir Book" w:hAnsi="Avenir Book" w:cstheme="minorHAnsi"/>
          <w:b/>
          <w:color w:val="000000" w:themeColor="text1"/>
          <w:sz w:val="22"/>
          <w:szCs w:val="22"/>
          <w:shd w:val="clear" w:color="auto" w:fill="FFFFFF"/>
          <w:lang w:eastAsia="en-AU"/>
        </w:rPr>
        <w:t>CEDAW</w:t>
      </w:r>
      <w:r w:rsidR="00F850F4" w:rsidRPr="00822F9E">
        <w:rPr>
          <w:rFonts w:ascii="Avenir Book" w:hAnsi="Avenir Book" w:cstheme="minorHAnsi"/>
          <w:b/>
          <w:sz w:val="22"/>
          <w:szCs w:val="22"/>
        </w:rPr>
        <w:t xml:space="preserve"> Committee </w:t>
      </w:r>
      <w:r w:rsidR="00F850F4" w:rsidRPr="00D71C5D">
        <w:rPr>
          <w:rFonts w:ascii="Avenir Book" w:hAnsi="Avenir Book" w:cstheme="minorHAnsi"/>
          <w:sz w:val="22"/>
          <w:szCs w:val="22"/>
        </w:rPr>
        <w:t>recommended</w:t>
      </w:r>
      <w:r w:rsidR="00200A08">
        <w:rPr>
          <w:rStyle w:val="FootnoteReference"/>
          <w:rFonts w:ascii="Avenir Book" w:hAnsi="Avenir Book" w:cstheme="minorHAnsi"/>
          <w:sz w:val="22"/>
          <w:szCs w:val="22"/>
        </w:rPr>
        <w:footnoteReference w:id="207"/>
      </w:r>
      <w:r w:rsidR="00F850F4" w:rsidRPr="00D71C5D">
        <w:rPr>
          <w:rFonts w:ascii="Avenir Book" w:hAnsi="Avenir Book" w:cstheme="minorHAnsi"/>
          <w:sz w:val="22"/>
          <w:szCs w:val="22"/>
        </w:rPr>
        <w:t xml:space="preserve"> that Australia abolish the practices of the non-consensual administration of contraceptives to, the performance of abortion on and the sterilisation of women and girls with </w:t>
      </w:r>
      <w:r w:rsidR="00066509" w:rsidRPr="00D71C5D">
        <w:rPr>
          <w:rFonts w:ascii="Avenir Book" w:hAnsi="Avenir Book" w:cstheme="minorHAnsi"/>
          <w:sz w:val="22"/>
          <w:szCs w:val="22"/>
        </w:rPr>
        <w:t>disabilities and</w:t>
      </w:r>
      <w:r w:rsidR="00F850F4" w:rsidRPr="00D71C5D">
        <w:rPr>
          <w:rFonts w:ascii="Avenir Book" w:hAnsi="Avenir Book" w:cstheme="minorHAnsi"/>
          <w:sz w:val="22"/>
          <w:szCs w:val="22"/>
        </w:rPr>
        <w:t xml:space="preserve"> develop and enforce strict guidelines on the sexual and reproductive health rights of women and girls with disability. </w:t>
      </w:r>
    </w:p>
    <w:p w14:paraId="124A1605" w14:textId="788A54A0" w:rsidR="0059129C" w:rsidRPr="00D71C5D" w:rsidRDefault="00822F9E" w:rsidP="00822F9E">
      <w:pPr>
        <w:spacing w:line="240" w:lineRule="auto"/>
        <w:ind w:left="851" w:hanging="851"/>
        <w:jc w:val="left"/>
        <w:rPr>
          <w:rFonts w:ascii="Avenir Book" w:eastAsia="Calibri" w:hAnsi="Avenir Book" w:cstheme="minorHAnsi"/>
          <w:sz w:val="22"/>
          <w:szCs w:val="22"/>
        </w:rPr>
      </w:pPr>
      <w:r>
        <w:rPr>
          <w:rFonts w:ascii="Avenir Book" w:eastAsia="Calibri" w:hAnsi="Avenir Book" w:cstheme="minorHAnsi"/>
          <w:sz w:val="22"/>
          <w:szCs w:val="22"/>
        </w:rPr>
        <w:t>8.4.3</w:t>
      </w:r>
      <w:r>
        <w:rPr>
          <w:rFonts w:ascii="Avenir Book" w:eastAsia="Calibri" w:hAnsi="Avenir Book" w:cstheme="minorHAnsi"/>
          <w:sz w:val="22"/>
          <w:szCs w:val="22"/>
        </w:rPr>
        <w:tab/>
      </w:r>
      <w:r w:rsidR="00F850F4" w:rsidRPr="00D71C5D">
        <w:rPr>
          <w:rFonts w:ascii="Avenir Book" w:hAnsi="Avenir Book" w:cstheme="minorHAnsi"/>
          <w:sz w:val="22"/>
          <w:szCs w:val="22"/>
        </w:rPr>
        <w:t xml:space="preserve">In 2019, the </w:t>
      </w:r>
      <w:r w:rsidR="00B7091B" w:rsidRPr="00822F9E">
        <w:rPr>
          <w:rFonts w:ascii="Avenir Book" w:hAnsi="Avenir Book" w:cstheme="minorHAnsi"/>
          <w:b/>
          <w:sz w:val="22"/>
          <w:szCs w:val="22"/>
        </w:rPr>
        <w:t xml:space="preserve">CRC </w:t>
      </w:r>
      <w:r w:rsidR="00F850F4" w:rsidRPr="00822F9E">
        <w:rPr>
          <w:rFonts w:ascii="Avenir Book" w:hAnsi="Avenir Book" w:cstheme="minorHAnsi"/>
          <w:b/>
          <w:bCs/>
          <w:sz w:val="22"/>
          <w:szCs w:val="22"/>
        </w:rPr>
        <w:t xml:space="preserve">Committee </w:t>
      </w:r>
      <w:r w:rsidR="00F850F4" w:rsidRPr="00D71C5D">
        <w:rPr>
          <w:rFonts w:ascii="Avenir Book" w:hAnsi="Avenir Book" w:cstheme="minorHAnsi"/>
          <w:sz w:val="22"/>
          <w:szCs w:val="22"/>
        </w:rPr>
        <w:t>recommended</w:t>
      </w:r>
      <w:r w:rsidR="00D368FC">
        <w:rPr>
          <w:rStyle w:val="FootnoteReference"/>
          <w:rFonts w:ascii="Avenir Book" w:hAnsi="Avenir Book" w:cstheme="minorHAnsi"/>
          <w:sz w:val="22"/>
          <w:szCs w:val="22"/>
        </w:rPr>
        <w:footnoteReference w:id="208"/>
      </w:r>
      <w:r w:rsidR="00F850F4" w:rsidRPr="00D71C5D">
        <w:rPr>
          <w:rFonts w:ascii="Avenir Book" w:hAnsi="Avenir Book" w:cstheme="minorHAnsi"/>
          <w:sz w:val="22"/>
          <w:szCs w:val="22"/>
        </w:rPr>
        <w:t xml:space="preserve"> that Australia: enact </w:t>
      </w:r>
      <w:r w:rsidR="00F850F4" w:rsidRPr="00D71C5D">
        <w:rPr>
          <w:rFonts w:ascii="Avenir Book" w:hAnsi="Avenir Book" w:cstheme="minorHAnsi"/>
          <w:bCs/>
          <w:sz w:val="22"/>
          <w:szCs w:val="22"/>
        </w:rPr>
        <w:t>legislation explicitly prohibiting forced or coerced sterilisation of girls with disability, or unnecessary medical or surgical treatment, guaranteeing the bodily integrity and autonomy of intersex children and providing adequate support and counselling to families of intersex children. The Committee also recommended strengthening measures to provide children with education on sexual and reproductive health as part of the mandatory school curriculum</w:t>
      </w:r>
      <w:r w:rsidR="007022C5" w:rsidRPr="00D71C5D">
        <w:rPr>
          <w:rFonts w:ascii="Avenir Book" w:hAnsi="Avenir Book" w:cstheme="minorHAnsi"/>
          <w:bCs/>
          <w:sz w:val="22"/>
          <w:szCs w:val="22"/>
        </w:rPr>
        <w:t>.</w:t>
      </w:r>
      <w:r w:rsidR="00F850F4" w:rsidRPr="00D71C5D">
        <w:rPr>
          <w:rFonts w:ascii="Avenir Book" w:hAnsi="Avenir Book" w:cstheme="minorHAnsi"/>
          <w:bCs/>
          <w:sz w:val="22"/>
          <w:szCs w:val="22"/>
        </w:rPr>
        <w:t xml:space="preserve"> The Committee further recommended that the action plans under the National Framework for Protecting Australia’s Children 2009–2020 and the National Plan to Reduce Violence against Women and their Children 2010–2022 be reviewed to prioritise the implementation of key violence prevention and response measures for children of all ages, in particular against girls. The Committee also recommended to strengthen its measures to enhance children’s meaningful and empowered participation in the family, in </w:t>
      </w:r>
      <w:r w:rsidR="00F850F4" w:rsidRPr="00D71C5D">
        <w:rPr>
          <w:rFonts w:ascii="Avenir Book" w:hAnsi="Avenir Book" w:cstheme="minorHAnsi"/>
          <w:bCs/>
          <w:sz w:val="22"/>
          <w:szCs w:val="22"/>
        </w:rPr>
        <w:lastRenderedPageBreak/>
        <w:t>the community and in schools, paying particular attention to girls, children with disability and Indigenous children.</w:t>
      </w:r>
    </w:p>
    <w:sectPr w:rsidR="0059129C" w:rsidRPr="00D71C5D" w:rsidSect="00BE3470">
      <w:footerReference w:type="even" r:id="rId16"/>
      <w:footerReference w:type="default" r:id="rId17"/>
      <w:pgSz w:w="11900" w:h="16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9639B" w14:textId="77777777" w:rsidR="00122837" w:rsidRDefault="00122837" w:rsidP="006811B8">
      <w:r>
        <w:separator/>
      </w:r>
    </w:p>
    <w:p w14:paraId="067F0BFA" w14:textId="77777777" w:rsidR="00122837" w:rsidRDefault="00122837"/>
  </w:endnote>
  <w:endnote w:type="continuationSeparator" w:id="0">
    <w:p w14:paraId="072FE883" w14:textId="77777777" w:rsidR="00122837" w:rsidRDefault="00122837" w:rsidP="006811B8">
      <w:r>
        <w:continuationSeparator/>
      </w:r>
    </w:p>
    <w:p w14:paraId="53F79592" w14:textId="77777777" w:rsidR="00122837" w:rsidRDefault="00122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INOT-Regular">
    <w:altName w:val="Calibri"/>
    <w:panose1 w:val="020B0604020202020204"/>
    <w:charset w:val="4D"/>
    <w:family w:val="swiss"/>
    <w:notTrueType/>
    <w:pitch w:val="default"/>
    <w:sig w:usb0="00000003" w:usb1="00000000" w:usb2="00000000" w:usb3="00000000" w:csb0="00000001" w:csb1="00000000"/>
  </w:font>
  <w:font w:name="Caecilia LT Pro 55 Roman">
    <w:altName w:val="Times New Roman"/>
    <w:panose1 w:val="020B0604020202020204"/>
    <w:charset w:val="00"/>
    <w:family w:val="roman"/>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etaPlusNormal-Roman">
    <w:altName w:val="MS Mincho"/>
    <w:panose1 w:val="020B0604020202020204"/>
    <w:charset w:val="80"/>
    <w:family w:val="auto"/>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Roman">
    <w:panose1 w:val="020B0503020203020204"/>
    <w:charset w:val="4D"/>
    <w:family w:val="swiss"/>
    <w:pitch w:val="variable"/>
    <w:sig w:usb0="800000AF" w:usb1="5000204A" w:usb2="00000000" w:usb3="00000000" w:csb0="0000009B" w:csb1="00000000"/>
  </w:font>
  <w:font w:name="TimesNewRomanPSMT">
    <w:panose1 w:val="020B0604020202020204"/>
    <w:charset w:val="00"/>
    <w:family w:val="roman"/>
    <w:pitch w:val="variable"/>
    <w:sig w:usb0="E0002AEF" w:usb1="C0007841" w:usb2="00000009" w:usb3="00000000" w:csb0="000001FF" w:csb1="00000000"/>
  </w:font>
  <w:font w:name="Helvetica-BoldOblique">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b/>
        <w:color w:val="17365D"/>
        <w:sz w:val="18"/>
        <w:szCs w:val="18"/>
      </w:rPr>
      <w:id w:val="-104576745"/>
      <w:docPartObj>
        <w:docPartGallery w:val="Page Numbers (Bottom of Page)"/>
        <w:docPartUnique/>
      </w:docPartObj>
    </w:sdtPr>
    <w:sdtEndPr>
      <w:rPr>
        <w:rStyle w:val="PageNumber"/>
      </w:rPr>
    </w:sdtEndPr>
    <w:sdtContent>
      <w:p w14:paraId="0FAA34AE" w14:textId="7B672234" w:rsidR="00D1282E" w:rsidRPr="00A16838" w:rsidRDefault="00D1282E" w:rsidP="003F6CBF">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3F7CDC1D" w14:textId="77777777" w:rsidR="00D1282E" w:rsidRPr="00E475FD" w:rsidRDefault="00D1282E">
    <w:pPr>
      <w:rPr>
        <w:rFonts w:ascii="Avenir Book" w:hAnsi="Avenir Book"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b/>
        <w:color w:val="17365D"/>
        <w:sz w:val="18"/>
        <w:szCs w:val="18"/>
      </w:rPr>
      <w:id w:val="1371108195"/>
      <w:docPartObj>
        <w:docPartGallery w:val="Page Numbers (Bottom of Page)"/>
        <w:docPartUnique/>
      </w:docPartObj>
    </w:sdtPr>
    <w:sdtEndPr>
      <w:rPr>
        <w:rStyle w:val="PageNumber"/>
      </w:rPr>
    </w:sdtEndPr>
    <w:sdtContent>
      <w:p w14:paraId="70F88CB6" w14:textId="77777777" w:rsidR="00D1282E" w:rsidRPr="00A16838" w:rsidRDefault="00D1282E" w:rsidP="0076777E">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4F7943DC" w14:textId="77777777" w:rsidR="00D1282E" w:rsidRPr="005E0673" w:rsidRDefault="00D1282E">
    <w:pPr>
      <w:rPr>
        <w:rFonts w:ascii="Avenir Book" w:hAnsi="Avenir Book"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20C2F" w14:textId="77777777" w:rsidR="00122837" w:rsidRDefault="00122837" w:rsidP="006811B8">
      <w:r>
        <w:separator/>
      </w:r>
    </w:p>
    <w:p w14:paraId="56BA281C" w14:textId="77777777" w:rsidR="00122837" w:rsidRDefault="00122837"/>
  </w:footnote>
  <w:footnote w:type="continuationSeparator" w:id="0">
    <w:p w14:paraId="5B895CCA" w14:textId="77777777" w:rsidR="00122837" w:rsidRDefault="00122837" w:rsidP="006811B8">
      <w:r>
        <w:continuationSeparator/>
      </w:r>
    </w:p>
    <w:p w14:paraId="3FB99D0E" w14:textId="77777777" w:rsidR="00122837" w:rsidRDefault="00122837"/>
  </w:footnote>
  <w:footnote w:id="1">
    <w:p w14:paraId="2FF3BDBE" w14:textId="5CE5B3DD" w:rsidR="00D1282E" w:rsidRPr="00217BD3" w:rsidRDefault="00D1282E" w:rsidP="00217BD3">
      <w:pPr>
        <w:pStyle w:val="FootnoteText"/>
        <w:spacing w:after="0" w:line="240" w:lineRule="auto"/>
        <w:jc w:val="left"/>
        <w:rPr>
          <w:rFonts w:ascii="Avenir Roman" w:hAnsi="Avenir Roman"/>
          <w:sz w:val="16"/>
          <w:szCs w:val="16"/>
          <w:lang w:val="en-AU"/>
        </w:rPr>
      </w:pPr>
      <w:r w:rsidRPr="00217BD3">
        <w:rPr>
          <w:rStyle w:val="FootnoteReference"/>
          <w:rFonts w:ascii="Avenir Roman" w:hAnsi="Avenir Roman"/>
          <w:sz w:val="16"/>
          <w:szCs w:val="16"/>
        </w:rPr>
        <w:footnoteRef/>
      </w:r>
      <w:r w:rsidRPr="00217BD3">
        <w:rPr>
          <w:rFonts w:ascii="Avenir Roman" w:hAnsi="Avenir Roman"/>
          <w:sz w:val="16"/>
          <w:szCs w:val="16"/>
        </w:rPr>
        <w:t xml:space="preserve"> See e.g., ‘Ending Violence’ page on Disabled People’s Organisations Australia (DPO Australia) website at </w:t>
      </w:r>
      <w:hyperlink r:id="rId1" w:history="1">
        <w:r w:rsidRPr="00217BD3">
          <w:rPr>
            <w:rStyle w:val="Hyperlink"/>
            <w:rFonts w:ascii="Avenir Roman" w:hAnsi="Avenir Roman"/>
            <w:sz w:val="16"/>
            <w:szCs w:val="16"/>
          </w:rPr>
          <w:t>https://dpoa.org.au/our-work/ending-violence/</w:t>
        </w:r>
      </w:hyperlink>
      <w:r w:rsidRPr="00217BD3">
        <w:rPr>
          <w:rFonts w:ascii="Avenir Roman" w:hAnsi="Avenir Roman"/>
          <w:sz w:val="16"/>
          <w:szCs w:val="16"/>
        </w:rPr>
        <w:t xml:space="preserve">; </w:t>
      </w:r>
      <w:r w:rsidRPr="00217BD3">
        <w:rPr>
          <w:rFonts w:ascii="Avenir Roman" w:hAnsi="Avenir Roman" w:cs="Calibri"/>
          <w:color w:val="000000" w:themeColor="text1"/>
          <w:sz w:val="16"/>
          <w:szCs w:val="16"/>
          <w:lang w:val="en-AU"/>
        </w:rPr>
        <w:t xml:space="preserve">Disabled People’s Organisations Australia (2017) </w:t>
      </w:r>
      <w:r w:rsidRPr="00217BD3">
        <w:rPr>
          <w:rFonts w:ascii="Avenir Roman" w:hAnsi="Avenir Roman" w:cs="Calibri"/>
          <w:bCs/>
          <w:i/>
          <w:color w:val="000000" w:themeColor="text1"/>
          <w:sz w:val="16"/>
          <w:szCs w:val="16"/>
        </w:rPr>
        <w:t>Civil Society Statement to the Australian Government Calling for a Royal Commission into Violence, Abuse and Neglect of People with Disability</w:t>
      </w:r>
      <w:r w:rsidRPr="00217BD3">
        <w:rPr>
          <w:rFonts w:ascii="Avenir Roman" w:hAnsi="Avenir Roman" w:cs="Calibri"/>
          <w:bCs/>
          <w:color w:val="000000" w:themeColor="text1"/>
          <w:sz w:val="16"/>
          <w:szCs w:val="16"/>
        </w:rPr>
        <w:t xml:space="preserve">. Sydney: DPO Australia. Available at: </w:t>
      </w:r>
      <w:hyperlink r:id="rId2" w:history="1">
        <w:r w:rsidRPr="00217BD3">
          <w:rPr>
            <w:rStyle w:val="Hyperlink"/>
            <w:rFonts w:ascii="Avenir Roman" w:hAnsi="Avenir Roman" w:cs="Calibri"/>
            <w:bCs/>
            <w:sz w:val="16"/>
            <w:szCs w:val="16"/>
          </w:rPr>
          <w:t>http://dpoa.org.au/civil-society-statement-rc/</w:t>
        </w:r>
      </w:hyperlink>
      <w:r w:rsidRPr="00217BD3">
        <w:rPr>
          <w:rStyle w:val="Hyperlink"/>
          <w:rFonts w:ascii="Avenir Roman" w:hAnsi="Avenir Roman" w:cs="Calibri"/>
          <w:bCs/>
          <w:color w:val="000000" w:themeColor="text1"/>
          <w:sz w:val="16"/>
          <w:szCs w:val="16"/>
        </w:rPr>
        <w:t xml:space="preserve"> </w:t>
      </w:r>
      <w:r w:rsidRPr="00217BD3">
        <w:rPr>
          <w:rFonts w:ascii="Avenir Roman" w:hAnsi="Avenir Roman"/>
          <w:sz w:val="16"/>
          <w:szCs w:val="16"/>
        </w:rPr>
        <w:t xml:space="preserve"> </w:t>
      </w:r>
    </w:p>
  </w:footnote>
  <w:footnote w:id="2">
    <w:p w14:paraId="3700754D" w14:textId="08FA1FE8" w:rsidR="00D1282E" w:rsidRPr="00217BD3" w:rsidRDefault="00D1282E" w:rsidP="00217BD3">
      <w:pPr>
        <w:pStyle w:val="FootnoteText"/>
        <w:spacing w:after="0" w:line="240" w:lineRule="auto"/>
        <w:jc w:val="left"/>
        <w:rPr>
          <w:rFonts w:ascii="Avenir Roman" w:hAnsi="Avenir Roman"/>
          <w:sz w:val="16"/>
          <w:szCs w:val="16"/>
          <w:lang w:val="en-AU"/>
        </w:rPr>
      </w:pPr>
      <w:r w:rsidRPr="00217BD3">
        <w:rPr>
          <w:rStyle w:val="FootnoteReference"/>
          <w:rFonts w:ascii="Avenir Roman" w:hAnsi="Avenir Roman"/>
          <w:sz w:val="16"/>
          <w:szCs w:val="16"/>
        </w:rPr>
        <w:footnoteRef/>
      </w:r>
      <w:r w:rsidRPr="00217BD3">
        <w:rPr>
          <w:rFonts w:ascii="Avenir Roman" w:hAnsi="Avenir Roman"/>
          <w:sz w:val="16"/>
          <w:szCs w:val="16"/>
        </w:rPr>
        <w:t xml:space="preserve"> Senate </w:t>
      </w:r>
      <w:r w:rsidRPr="00217BD3">
        <w:rPr>
          <w:rFonts w:ascii="Avenir Roman" w:hAnsi="Avenir Roman"/>
          <w:sz w:val="16"/>
          <w:szCs w:val="16"/>
          <w:lang w:val="en-AU"/>
        </w:rPr>
        <w:t xml:space="preserve">Community Affairs References Committee. Available at: </w:t>
      </w:r>
      <w:hyperlink r:id="rId3" w:history="1">
        <w:r w:rsidRPr="00217BD3">
          <w:rPr>
            <w:rStyle w:val="Hyperlink"/>
            <w:rFonts w:ascii="Avenir Roman" w:hAnsi="Avenir Roman"/>
            <w:sz w:val="16"/>
            <w:szCs w:val="16"/>
            <w:lang w:val="en-AU"/>
          </w:rPr>
          <w:t>https://www.aph.gov.au/Parliamentary_Business/Committees/Senate/Community_Affairs/Violence_abuse_neglect</w:t>
        </w:r>
      </w:hyperlink>
      <w:r w:rsidRPr="00217BD3">
        <w:rPr>
          <w:rFonts w:ascii="Avenir Roman" w:hAnsi="Avenir Roman"/>
          <w:sz w:val="16"/>
          <w:szCs w:val="16"/>
          <w:lang w:val="en-AU"/>
        </w:rPr>
        <w:t xml:space="preserve"> </w:t>
      </w:r>
    </w:p>
  </w:footnote>
  <w:footnote w:id="3">
    <w:p w14:paraId="76F7EDB4" w14:textId="33F44CBD" w:rsidR="00D1282E" w:rsidRPr="00217BD3" w:rsidRDefault="00D1282E" w:rsidP="00217BD3">
      <w:pPr>
        <w:pStyle w:val="FootnoteText"/>
        <w:spacing w:after="0" w:line="240" w:lineRule="auto"/>
        <w:jc w:val="left"/>
        <w:rPr>
          <w:rFonts w:ascii="Avenir Roman" w:hAnsi="Avenir Roman"/>
          <w:sz w:val="16"/>
          <w:szCs w:val="16"/>
          <w:lang w:val="en-AU"/>
        </w:rPr>
      </w:pPr>
      <w:r w:rsidRPr="00217BD3">
        <w:rPr>
          <w:rStyle w:val="FootnoteReference"/>
          <w:rFonts w:ascii="Avenir Roman" w:hAnsi="Avenir Roman"/>
          <w:sz w:val="16"/>
          <w:szCs w:val="16"/>
        </w:rPr>
        <w:footnoteRef/>
      </w:r>
      <w:r w:rsidRPr="00217BD3">
        <w:rPr>
          <w:rFonts w:ascii="Avenir Roman" w:hAnsi="Avenir Roman"/>
          <w:sz w:val="16"/>
          <w:szCs w:val="16"/>
        </w:rPr>
        <w:t xml:space="preserve"> Community Affairs References Committee, </w:t>
      </w:r>
      <w:r w:rsidRPr="00217BD3">
        <w:rPr>
          <w:rFonts w:ascii="Avenir Roman" w:hAnsi="Avenir Roman"/>
          <w:i/>
          <w:sz w:val="16"/>
          <w:szCs w:val="16"/>
        </w:rPr>
        <w:t xml:space="preserve">Violence, abuse and neglect against people with disability in institutional and residential settings, including the gender and </w:t>
      </w:r>
      <w:proofErr w:type="gramStart"/>
      <w:r w:rsidRPr="00217BD3">
        <w:rPr>
          <w:rFonts w:ascii="Avenir Roman" w:hAnsi="Avenir Roman"/>
          <w:i/>
          <w:sz w:val="16"/>
          <w:szCs w:val="16"/>
        </w:rPr>
        <w:t>age related</w:t>
      </w:r>
      <w:proofErr w:type="gramEnd"/>
      <w:r w:rsidRPr="00217BD3">
        <w:rPr>
          <w:rFonts w:ascii="Avenir Roman" w:hAnsi="Avenir Roman"/>
          <w:i/>
          <w:sz w:val="16"/>
          <w:szCs w:val="16"/>
        </w:rPr>
        <w:t xml:space="preserve"> dimensions, and the particular situation of Aboriginal and Torres Strait Islander people with disability, and culturally and linguistically diverse people with disability, </w:t>
      </w:r>
      <w:r w:rsidRPr="00217BD3">
        <w:rPr>
          <w:rFonts w:ascii="Avenir Roman" w:hAnsi="Avenir Roman"/>
          <w:sz w:val="16"/>
          <w:szCs w:val="16"/>
        </w:rPr>
        <w:t xml:space="preserve">November 2015, Commonwealth of Australia, page xv. Available at: </w:t>
      </w:r>
      <w:hyperlink r:id="rId4" w:history="1">
        <w:r w:rsidRPr="00217BD3">
          <w:rPr>
            <w:rStyle w:val="Hyperlink"/>
            <w:rFonts w:ascii="Avenir Roman" w:hAnsi="Avenir Roman"/>
            <w:sz w:val="16"/>
            <w:szCs w:val="16"/>
          </w:rPr>
          <w:t>https://www.aph.gov.au/Parliamentary_Business/Committees/Senate/Community_Affairs/Violence_abuse_neglect/Report</w:t>
        </w:r>
      </w:hyperlink>
      <w:r w:rsidRPr="00217BD3">
        <w:rPr>
          <w:rFonts w:ascii="Avenir Roman" w:hAnsi="Avenir Roman"/>
          <w:sz w:val="16"/>
          <w:szCs w:val="16"/>
        </w:rPr>
        <w:t xml:space="preserve"> </w:t>
      </w:r>
    </w:p>
  </w:footnote>
  <w:footnote w:id="4">
    <w:p w14:paraId="7700D7BD" w14:textId="140925C1" w:rsidR="00D1282E" w:rsidRPr="00217BD3" w:rsidRDefault="00D1282E" w:rsidP="00217BD3">
      <w:pPr>
        <w:pStyle w:val="FootnoteText"/>
        <w:spacing w:after="0" w:line="240" w:lineRule="auto"/>
        <w:jc w:val="left"/>
        <w:rPr>
          <w:rFonts w:ascii="Avenir Roman" w:hAnsi="Avenir Roman"/>
          <w:sz w:val="16"/>
          <w:szCs w:val="16"/>
          <w:lang w:val="en-AU"/>
        </w:rPr>
      </w:pPr>
      <w:r w:rsidRPr="00217BD3">
        <w:rPr>
          <w:rStyle w:val="FootnoteReference"/>
          <w:rFonts w:ascii="Avenir Roman" w:hAnsi="Avenir Roman"/>
          <w:sz w:val="16"/>
          <w:szCs w:val="16"/>
        </w:rPr>
        <w:footnoteRef/>
      </w:r>
      <w:r w:rsidRPr="00217BD3">
        <w:rPr>
          <w:rFonts w:ascii="Avenir Roman" w:hAnsi="Avenir Roman"/>
          <w:sz w:val="16"/>
          <w:szCs w:val="16"/>
        </w:rPr>
        <w:t xml:space="preserve"> </w:t>
      </w:r>
      <w:r w:rsidRPr="00217BD3">
        <w:rPr>
          <w:rFonts w:ascii="Avenir Roman" w:hAnsi="Avenir Roman"/>
          <w:sz w:val="16"/>
          <w:szCs w:val="16"/>
          <w:lang w:val="en-AU"/>
        </w:rPr>
        <w:t xml:space="preserve">Royal Commission into Violence, Abuse, Neglect and Exploitation of People with Disability, </w:t>
      </w:r>
      <w:r w:rsidRPr="00217BD3">
        <w:rPr>
          <w:rFonts w:ascii="Avenir Roman" w:hAnsi="Avenir Roman"/>
          <w:i/>
          <w:sz w:val="16"/>
          <w:szCs w:val="16"/>
          <w:lang w:val="en-AU"/>
        </w:rPr>
        <w:t>Terms of Reference</w:t>
      </w:r>
      <w:r w:rsidRPr="00217BD3">
        <w:rPr>
          <w:rFonts w:ascii="Avenir Roman" w:hAnsi="Avenir Roman"/>
          <w:sz w:val="16"/>
          <w:szCs w:val="16"/>
          <w:lang w:val="en-AU"/>
        </w:rPr>
        <w:t xml:space="preserve">. Available at:  </w:t>
      </w:r>
      <w:hyperlink r:id="rId5" w:history="1">
        <w:r w:rsidRPr="00217BD3">
          <w:rPr>
            <w:rStyle w:val="Hyperlink"/>
            <w:rFonts w:ascii="Avenir Roman" w:hAnsi="Avenir Roman"/>
            <w:sz w:val="16"/>
            <w:szCs w:val="16"/>
            <w:lang w:val="en-AU"/>
          </w:rPr>
          <w:t>https://disability.royalcommission.gov.au/about/Pages/Terms-of-reference.aspx</w:t>
        </w:r>
      </w:hyperlink>
      <w:r w:rsidRPr="00217BD3">
        <w:rPr>
          <w:rFonts w:ascii="Avenir Roman" w:hAnsi="Avenir Roman"/>
          <w:i/>
          <w:sz w:val="16"/>
          <w:szCs w:val="16"/>
          <w:lang w:val="en-AU"/>
        </w:rPr>
        <w:t xml:space="preserve"> </w:t>
      </w:r>
    </w:p>
  </w:footnote>
  <w:footnote w:id="5">
    <w:p w14:paraId="1171EF20" w14:textId="477605A7" w:rsidR="00D1282E" w:rsidRPr="00DD523D" w:rsidRDefault="00D1282E" w:rsidP="00217BD3">
      <w:pPr>
        <w:pStyle w:val="FootnoteText"/>
        <w:spacing w:after="0" w:line="240" w:lineRule="auto"/>
        <w:jc w:val="left"/>
        <w:rPr>
          <w:rFonts w:ascii="Avenir Roman" w:hAnsi="Avenir Roman"/>
          <w:sz w:val="16"/>
          <w:szCs w:val="16"/>
          <w:lang w:val="en-AU"/>
        </w:rPr>
      </w:pPr>
      <w:r w:rsidRPr="00217BD3">
        <w:rPr>
          <w:rStyle w:val="FootnoteReference"/>
          <w:rFonts w:ascii="Avenir Roman" w:hAnsi="Avenir Roman"/>
          <w:sz w:val="16"/>
          <w:szCs w:val="16"/>
        </w:rPr>
        <w:footnoteRef/>
      </w:r>
      <w:r w:rsidRPr="00217BD3">
        <w:rPr>
          <w:rFonts w:ascii="Avenir Roman" w:hAnsi="Avenir Roman"/>
          <w:sz w:val="16"/>
          <w:szCs w:val="16"/>
        </w:rPr>
        <w:t xml:space="preserve"> </w:t>
      </w:r>
      <w:r w:rsidRPr="00217BD3">
        <w:rPr>
          <w:rFonts w:ascii="Avenir Roman" w:hAnsi="Avenir Roman"/>
          <w:sz w:val="16"/>
          <w:szCs w:val="16"/>
          <w:lang w:val="en-AU"/>
        </w:rPr>
        <w:t>Ibid.</w:t>
      </w:r>
    </w:p>
  </w:footnote>
  <w:footnote w:id="6">
    <w:p w14:paraId="0333619A" w14:textId="7EA6CE29" w:rsidR="00D1282E" w:rsidRPr="00DD523D" w:rsidRDefault="00D1282E">
      <w:pPr>
        <w:pStyle w:val="FootnoteText"/>
        <w:rPr>
          <w:rFonts w:ascii="Avenir Roman" w:hAnsi="Avenir Roman"/>
          <w:sz w:val="16"/>
          <w:szCs w:val="16"/>
          <w:lang w:val="en-AU"/>
        </w:rPr>
      </w:pPr>
      <w:r w:rsidRPr="00DD523D">
        <w:rPr>
          <w:rStyle w:val="FootnoteReference"/>
          <w:rFonts w:ascii="Avenir Roman" w:hAnsi="Avenir Roman"/>
          <w:sz w:val="16"/>
          <w:szCs w:val="16"/>
        </w:rPr>
        <w:footnoteRef/>
      </w:r>
      <w:r w:rsidRPr="00DD523D">
        <w:rPr>
          <w:rFonts w:ascii="Avenir Roman" w:hAnsi="Avenir Roman"/>
          <w:sz w:val="16"/>
          <w:szCs w:val="16"/>
        </w:rPr>
        <w:t xml:space="preserve"> Ibid, paragraph (e)</w:t>
      </w:r>
      <w:r>
        <w:rPr>
          <w:rFonts w:ascii="Avenir Roman" w:hAnsi="Avenir Roman"/>
          <w:sz w:val="16"/>
          <w:szCs w:val="16"/>
        </w:rPr>
        <w:t>.</w:t>
      </w:r>
    </w:p>
  </w:footnote>
  <w:footnote w:id="7">
    <w:p w14:paraId="6F5BF9A8" w14:textId="603FF4A7" w:rsidR="00D1282E" w:rsidRPr="00217BD3" w:rsidRDefault="00D1282E" w:rsidP="00217BD3">
      <w:pPr>
        <w:pStyle w:val="FootnoteText"/>
        <w:spacing w:after="0" w:line="240" w:lineRule="auto"/>
        <w:rPr>
          <w:rFonts w:ascii="Avenir Roman" w:hAnsi="Avenir Roman"/>
          <w:sz w:val="16"/>
          <w:szCs w:val="16"/>
          <w:lang w:val="en-AU"/>
        </w:rPr>
      </w:pPr>
      <w:r w:rsidRPr="00217BD3">
        <w:rPr>
          <w:rStyle w:val="FootnoteReference"/>
          <w:rFonts w:ascii="Avenir Roman" w:hAnsi="Avenir Roman"/>
          <w:sz w:val="16"/>
          <w:szCs w:val="16"/>
        </w:rPr>
        <w:footnoteRef/>
      </w:r>
      <w:r w:rsidRPr="00217BD3">
        <w:rPr>
          <w:rFonts w:ascii="Avenir Roman" w:hAnsi="Avenir Roman"/>
          <w:sz w:val="16"/>
          <w:szCs w:val="16"/>
        </w:rPr>
        <w:t xml:space="preserve"> Ibid, paragraph (g).</w:t>
      </w:r>
    </w:p>
  </w:footnote>
  <w:footnote w:id="8">
    <w:p w14:paraId="2372D2EE" w14:textId="5037FD77" w:rsidR="00D1282E" w:rsidRPr="00217BD3" w:rsidRDefault="00D1282E" w:rsidP="00217BD3">
      <w:pPr>
        <w:pStyle w:val="FootnoteText"/>
        <w:spacing w:after="0" w:line="240" w:lineRule="auto"/>
        <w:rPr>
          <w:rFonts w:ascii="Avenir Roman" w:hAnsi="Avenir Roman"/>
          <w:sz w:val="16"/>
          <w:szCs w:val="16"/>
          <w:lang w:val="en-AU"/>
        </w:rPr>
      </w:pPr>
      <w:r w:rsidRPr="00217BD3">
        <w:rPr>
          <w:rStyle w:val="FootnoteReference"/>
          <w:rFonts w:ascii="Avenir Roman" w:hAnsi="Avenir Roman"/>
          <w:sz w:val="16"/>
          <w:szCs w:val="16"/>
        </w:rPr>
        <w:footnoteRef/>
      </w:r>
      <w:r w:rsidRPr="00217BD3">
        <w:rPr>
          <w:rFonts w:ascii="Avenir Roman" w:hAnsi="Avenir Roman"/>
          <w:sz w:val="16"/>
          <w:szCs w:val="16"/>
        </w:rPr>
        <w:t xml:space="preserve"> </w:t>
      </w:r>
      <w:r w:rsidRPr="00217BD3">
        <w:rPr>
          <w:rFonts w:ascii="Avenir Roman" w:hAnsi="Avenir Roman"/>
          <w:i/>
          <w:sz w:val="16"/>
          <w:szCs w:val="16"/>
        </w:rPr>
        <w:t xml:space="preserve">Convention on the Rights of Persons with Disabilities, </w:t>
      </w:r>
      <w:r w:rsidRPr="00217BD3">
        <w:rPr>
          <w:rFonts w:ascii="Avenir Roman" w:hAnsi="Avenir Roman"/>
          <w:sz w:val="16"/>
          <w:szCs w:val="16"/>
        </w:rPr>
        <w:t xml:space="preserve">opened for signature 30 March 2007, 2515 UNTS 3 (entered into force 3 May 2008), art 3(a). Available at: </w:t>
      </w:r>
      <w:hyperlink r:id="rId6" w:history="1">
        <w:r w:rsidRPr="00217BD3">
          <w:rPr>
            <w:rStyle w:val="Hyperlink"/>
            <w:rFonts w:ascii="Avenir Roman" w:hAnsi="Avenir Roman"/>
            <w:sz w:val="16"/>
            <w:szCs w:val="16"/>
          </w:rPr>
          <w:t>https://www.ohchr.org/EN/HRBodies/CRPD/Pages/ConventionRightsPersonsWithDisabilities.aspx</w:t>
        </w:r>
      </w:hyperlink>
    </w:p>
  </w:footnote>
  <w:footnote w:id="9">
    <w:p w14:paraId="557EC190" w14:textId="5C4526AC" w:rsidR="00D1282E" w:rsidRPr="0020650B" w:rsidRDefault="00D1282E" w:rsidP="00217BD3">
      <w:pPr>
        <w:pStyle w:val="FootnoteText"/>
        <w:spacing w:after="0" w:line="240" w:lineRule="auto"/>
        <w:rPr>
          <w:rFonts w:ascii="Avenir Roman" w:hAnsi="Avenir Roman"/>
          <w:sz w:val="16"/>
          <w:szCs w:val="16"/>
          <w:lang w:val="en-AU"/>
        </w:rPr>
      </w:pPr>
      <w:r w:rsidRPr="00217BD3">
        <w:rPr>
          <w:rStyle w:val="FootnoteReference"/>
          <w:rFonts w:ascii="Avenir Roman" w:hAnsi="Avenir Roman"/>
          <w:sz w:val="16"/>
          <w:szCs w:val="16"/>
        </w:rPr>
        <w:footnoteRef/>
      </w:r>
      <w:r w:rsidRPr="00217BD3">
        <w:rPr>
          <w:rFonts w:ascii="Avenir Roman" w:hAnsi="Avenir Roman"/>
          <w:sz w:val="16"/>
          <w:szCs w:val="16"/>
        </w:rPr>
        <w:t xml:space="preserve"> </w:t>
      </w:r>
      <w:r w:rsidRPr="00217BD3">
        <w:rPr>
          <w:rFonts w:ascii="Avenir Roman" w:hAnsi="Avenir Roman"/>
          <w:sz w:val="16"/>
          <w:szCs w:val="16"/>
          <w:lang w:val="en-AU"/>
        </w:rPr>
        <w:t xml:space="preserve">Royal Commission into Violence, Abuse, Neglect and Exploitation of People with Disability, </w:t>
      </w:r>
      <w:r w:rsidRPr="00217BD3">
        <w:rPr>
          <w:rFonts w:ascii="Avenir Roman" w:hAnsi="Avenir Roman"/>
          <w:i/>
          <w:sz w:val="16"/>
          <w:szCs w:val="16"/>
          <w:lang w:val="en-AU"/>
        </w:rPr>
        <w:t>Accessibility and Inclusion Strategy</w:t>
      </w:r>
      <w:r w:rsidRPr="00217BD3">
        <w:rPr>
          <w:rFonts w:ascii="Avenir Roman" w:hAnsi="Avenir Roman"/>
          <w:sz w:val="16"/>
          <w:szCs w:val="16"/>
          <w:lang w:val="en-AU"/>
        </w:rPr>
        <w:t xml:space="preserve">, page 5. Available at: </w:t>
      </w:r>
      <w:hyperlink r:id="rId7" w:history="1">
        <w:r w:rsidRPr="00217BD3">
          <w:rPr>
            <w:rStyle w:val="Hyperlink"/>
            <w:rFonts w:ascii="Avenir Roman" w:hAnsi="Avenir Roman"/>
            <w:sz w:val="16"/>
            <w:szCs w:val="16"/>
            <w:lang w:val="en-AU"/>
          </w:rPr>
          <w:t>https://disability.royalcommission.gov.au/about/Pages/accessibility-inclusion-strategy.aspx</w:t>
        </w:r>
      </w:hyperlink>
      <w:r w:rsidRPr="0020650B">
        <w:rPr>
          <w:rFonts w:ascii="Avenir Roman" w:hAnsi="Avenir Roman"/>
          <w:sz w:val="16"/>
          <w:szCs w:val="16"/>
          <w:lang w:val="en-AU"/>
        </w:rPr>
        <w:t xml:space="preserve"> </w:t>
      </w:r>
    </w:p>
  </w:footnote>
  <w:footnote w:id="10">
    <w:p w14:paraId="5514F51D" w14:textId="77777777" w:rsidR="00D1282E" w:rsidRPr="00217BD3" w:rsidRDefault="00D1282E" w:rsidP="00217BD3">
      <w:pPr>
        <w:pStyle w:val="FootnoteText"/>
        <w:spacing w:after="0" w:line="240" w:lineRule="auto"/>
        <w:jc w:val="left"/>
        <w:rPr>
          <w:rFonts w:ascii="Avenir Roman" w:hAnsi="Avenir Roman"/>
          <w:sz w:val="16"/>
          <w:szCs w:val="16"/>
          <w:lang w:val="en-AU"/>
        </w:rPr>
      </w:pPr>
      <w:r w:rsidRPr="00217BD3">
        <w:rPr>
          <w:rStyle w:val="FootnoteReference"/>
          <w:rFonts w:ascii="Avenir Roman" w:hAnsi="Avenir Roman"/>
          <w:sz w:val="16"/>
          <w:szCs w:val="16"/>
        </w:rPr>
        <w:footnoteRef/>
      </w:r>
      <w:r w:rsidRPr="00217BD3">
        <w:rPr>
          <w:rFonts w:ascii="Avenir Roman" w:hAnsi="Avenir Roman"/>
          <w:sz w:val="16"/>
          <w:szCs w:val="16"/>
        </w:rPr>
        <w:t xml:space="preserve"> </w:t>
      </w:r>
      <w:r w:rsidRPr="00217BD3">
        <w:rPr>
          <w:rFonts w:ascii="Avenir Roman" w:hAnsi="Avenir Roman" w:cs="Calibri"/>
          <w:color w:val="000000" w:themeColor="text1"/>
          <w:sz w:val="16"/>
          <w:szCs w:val="16"/>
          <w:lang w:val="en-AU"/>
        </w:rPr>
        <w:t xml:space="preserve">Women with Disabilities Australia, </w:t>
      </w:r>
      <w:r w:rsidRPr="00217BD3">
        <w:rPr>
          <w:rFonts w:ascii="Avenir Roman" w:hAnsi="Avenir Roman" w:cs="Calibri"/>
          <w:i/>
          <w:color w:val="000000" w:themeColor="text1"/>
          <w:sz w:val="16"/>
          <w:szCs w:val="16"/>
          <w:lang w:val="en-AU"/>
        </w:rPr>
        <w:t>Stop the Violence Project, Background Paper, National Symposium on Violence Against Women and Girls with Disabilities</w:t>
      </w:r>
      <w:r w:rsidRPr="00217BD3">
        <w:rPr>
          <w:rFonts w:ascii="Avenir Roman" w:hAnsi="Avenir Roman" w:cs="Calibri"/>
          <w:color w:val="000000" w:themeColor="text1"/>
          <w:sz w:val="16"/>
          <w:szCs w:val="16"/>
          <w:lang w:val="en-AU"/>
        </w:rPr>
        <w:t xml:space="preserve">, October 2013, WWDA, Hobart, page 17. Available at: </w:t>
      </w:r>
      <w:hyperlink r:id="rId8" w:history="1">
        <w:r w:rsidRPr="00217BD3">
          <w:rPr>
            <w:rStyle w:val="Hyperlink"/>
            <w:rFonts w:ascii="Avenir Roman" w:hAnsi="Avenir Roman" w:cs="Calibri"/>
            <w:sz w:val="16"/>
            <w:szCs w:val="16"/>
            <w:lang w:val="en-AU"/>
          </w:rPr>
          <w:t>http://wwda.org.au/wp-content/uploads/2013/12/STV_Background_Paper_FINAL.pdf</w:t>
        </w:r>
      </w:hyperlink>
      <w:r w:rsidRPr="00217BD3">
        <w:rPr>
          <w:rFonts w:ascii="Avenir Roman" w:hAnsi="Avenir Roman" w:cs="Calibri"/>
          <w:color w:val="000000" w:themeColor="text1"/>
          <w:sz w:val="16"/>
          <w:szCs w:val="16"/>
          <w:lang w:val="en-AU"/>
        </w:rPr>
        <w:t xml:space="preserve"> </w:t>
      </w:r>
    </w:p>
  </w:footnote>
  <w:footnote w:id="11">
    <w:p w14:paraId="200C2D15" w14:textId="77777777" w:rsidR="00D1282E" w:rsidRPr="00CE5FCD" w:rsidRDefault="00D1282E" w:rsidP="00217BD3">
      <w:pPr>
        <w:pStyle w:val="FootnoteText"/>
        <w:spacing w:after="0" w:line="240" w:lineRule="auto"/>
        <w:jc w:val="left"/>
        <w:rPr>
          <w:rFonts w:ascii="Avenir Book" w:hAnsi="Avenir Book"/>
          <w:sz w:val="16"/>
          <w:szCs w:val="16"/>
          <w:lang w:val="en-AU"/>
        </w:rPr>
      </w:pPr>
      <w:r w:rsidRPr="00217BD3">
        <w:rPr>
          <w:rStyle w:val="FootnoteReference"/>
          <w:rFonts w:ascii="Avenir Roman" w:hAnsi="Avenir Roman"/>
          <w:sz w:val="16"/>
          <w:szCs w:val="16"/>
        </w:rPr>
        <w:footnoteRef/>
      </w:r>
      <w:r w:rsidRPr="00217BD3">
        <w:rPr>
          <w:rFonts w:ascii="Avenir Roman" w:hAnsi="Avenir Roman"/>
          <w:sz w:val="16"/>
          <w:szCs w:val="16"/>
        </w:rPr>
        <w:t xml:space="preserve"> </w:t>
      </w:r>
      <w:r w:rsidRPr="00217BD3">
        <w:rPr>
          <w:rFonts w:ascii="Avenir Roman" w:hAnsi="Avenir Roman"/>
          <w:sz w:val="16"/>
          <w:szCs w:val="16"/>
          <w:lang w:val="en-AU"/>
        </w:rPr>
        <w:t xml:space="preserve">See e.g., Frawley, P; Dyson, S; Robinson, S, </w:t>
      </w:r>
      <w:r w:rsidRPr="00217BD3">
        <w:rPr>
          <w:rFonts w:ascii="Avenir Roman" w:hAnsi="Avenir Roman"/>
          <w:i/>
          <w:sz w:val="16"/>
          <w:szCs w:val="16"/>
          <w:lang w:val="en-AU"/>
        </w:rPr>
        <w:t>Whatever it takes? Access for women with disabilities to domestic and family violence services: Key findings and future directions</w:t>
      </w:r>
      <w:r w:rsidRPr="00217BD3">
        <w:rPr>
          <w:rFonts w:ascii="Avenir Roman" w:hAnsi="Avenir Roman"/>
          <w:sz w:val="16"/>
          <w:szCs w:val="16"/>
          <w:lang w:val="en-AU"/>
        </w:rPr>
        <w:t xml:space="preserve">, Compass Issue 5, 2017, ANROWS. Available at: </w:t>
      </w:r>
      <w:hyperlink r:id="rId9" w:history="1">
        <w:r w:rsidRPr="00217BD3">
          <w:rPr>
            <w:rStyle w:val="Hyperlink"/>
            <w:rFonts w:ascii="Avenir Roman" w:hAnsi="Avenir Roman"/>
            <w:sz w:val="16"/>
            <w:szCs w:val="16"/>
            <w:lang w:val="en-AU"/>
          </w:rPr>
          <w:t>https://www.anrows.org.au/publication/whatever-it-takes-access-for-women-with-disabilities-to-domestic-and-family-violence-services-key-findings-and-future-directions/</w:t>
        </w:r>
      </w:hyperlink>
      <w:r w:rsidRPr="00217BD3">
        <w:rPr>
          <w:rFonts w:ascii="Avenir Roman" w:hAnsi="Avenir Roman"/>
          <w:sz w:val="16"/>
          <w:szCs w:val="16"/>
          <w:lang w:val="en-AU"/>
        </w:rPr>
        <w:t xml:space="preserve">; </w:t>
      </w:r>
      <w:r w:rsidRPr="00217BD3">
        <w:rPr>
          <w:rFonts w:ascii="Avenir Roman" w:hAnsi="Avenir Roman" w:cs="Calibri"/>
          <w:color w:val="000000" w:themeColor="text1"/>
          <w:sz w:val="16"/>
          <w:szCs w:val="16"/>
          <w:lang w:val="en-AU"/>
        </w:rPr>
        <w:t xml:space="preserve">Maher, J. M., Spivakovsky, C., McCulloch, J., McGowan, J., Beavis, K., Lea, M., Cadwallader, J., Sands, T. (2018) </w:t>
      </w:r>
      <w:r w:rsidRPr="00217BD3">
        <w:rPr>
          <w:rFonts w:ascii="Avenir Roman" w:hAnsi="Avenir Roman" w:cs="Calibri"/>
          <w:i/>
          <w:color w:val="000000" w:themeColor="text1"/>
          <w:sz w:val="16"/>
          <w:szCs w:val="16"/>
          <w:lang w:val="en-AU"/>
        </w:rPr>
        <w:t>Women, disability and violence: Barriers to accessing justice: Final report</w:t>
      </w:r>
      <w:r w:rsidRPr="00217BD3">
        <w:rPr>
          <w:rFonts w:ascii="Avenir Roman" w:hAnsi="Avenir Roman" w:cs="Calibri"/>
          <w:color w:val="000000" w:themeColor="text1"/>
          <w:sz w:val="16"/>
          <w:szCs w:val="16"/>
          <w:lang w:val="en-AU"/>
        </w:rPr>
        <w:t xml:space="preserve"> (ANROWS Horizons, 02/2018). Sydney: ANROWS. Available at: </w:t>
      </w:r>
      <w:hyperlink r:id="rId10" w:history="1">
        <w:r w:rsidRPr="00217BD3">
          <w:rPr>
            <w:rStyle w:val="Hyperlink"/>
            <w:rFonts w:ascii="Avenir Roman" w:hAnsi="Avenir Roman" w:cs="Calibri"/>
            <w:sz w:val="16"/>
            <w:szCs w:val="16"/>
            <w:lang w:val="en-AU"/>
          </w:rPr>
          <w:t>https://www.anrows.org.au/publications/horizons/women-disability-and-violence-barriers-accessing-justice-final-report</w:t>
        </w:r>
      </w:hyperlink>
      <w:r w:rsidRPr="00CE5FCD">
        <w:rPr>
          <w:rFonts w:ascii="Avenir Book" w:hAnsi="Avenir Book" w:cs="Calibri"/>
          <w:color w:val="000000" w:themeColor="text1"/>
          <w:sz w:val="16"/>
          <w:szCs w:val="16"/>
          <w:lang w:val="en-AU"/>
        </w:rPr>
        <w:t xml:space="preserve"> </w:t>
      </w:r>
    </w:p>
  </w:footnote>
  <w:footnote w:id="12">
    <w:p w14:paraId="0E2A466A" w14:textId="77777777" w:rsidR="00D1282E" w:rsidRPr="007957C5" w:rsidRDefault="00D1282E" w:rsidP="007957C5">
      <w:pPr>
        <w:pStyle w:val="FootnoteText"/>
        <w:spacing w:after="0" w:line="240" w:lineRule="auto"/>
        <w:jc w:val="left"/>
        <w:rPr>
          <w:rFonts w:ascii="Avenir Roman" w:hAnsi="Avenir Roman" w:cs="Calibri"/>
          <w:color w:val="000000" w:themeColor="text1"/>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cs="Calibri"/>
          <w:color w:val="000000" w:themeColor="text1"/>
          <w:sz w:val="16"/>
          <w:szCs w:val="16"/>
        </w:rPr>
        <w:t xml:space="preserve">Frohmader, C. and Sands, T. (2015) </w:t>
      </w:r>
      <w:r w:rsidRPr="007957C5">
        <w:rPr>
          <w:rFonts w:ascii="Avenir Roman" w:hAnsi="Avenir Roman" w:cs="Calibri"/>
          <w:i/>
          <w:color w:val="000000" w:themeColor="text1"/>
          <w:sz w:val="16"/>
          <w:szCs w:val="16"/>
        </w:rPr>
        <w:t>Australian Cross Disability Alliance (ACDA) Submission to the Senate Inquiry into Violence, abuse and neglect against people with disability in institutional and residential settings’</w:t>
      </w:r>
      <w:r w:rsidRPr="007957C5">
        <w:rPr>
          <w:rFonts w:ascii="Avenir Roman" w:hAnsi="Avenir Roman" w:cs="Calibri"/>
          <w:color w:val="000000" w:themeColor="text1"/>
          <w:sz w:val="16"/>
          <w:szCs w:val="16"/>
        </w:rPr>
        <w:t xml:space="preserve">. Sydney: ACDA. Available at: </w:t>
      </w:r>
      <w:hyperlink r:id="rId11" w:history="1">
        <w:r w:rsidRPr="007957C5">
          <w:rPr>
            <w:rStyle w:val="Hyperlink"/>
            <w:rFonts w:ascii="Avenir Roman" w:hAnsi="Avenir Roman" w:cs="Calibri"/>
            <w:sz w:val="16"/>
            <w:szCs w:val="16"/>
          </w:rPr>
          <w:t>http://wwda.org.au/papers/subs/subs2011/</w:t>
        </w:r>
      </w:hyperlink>
      <w:r w:rsidRPr="007957C5">
        <w:rPr>
          <w:rFonts w:ascii="Avenir Roman" w:hAnsi="Avenir Roman" w:cs="Calibri"/>
          <w:color w:val="000000" w:themeColor="text1"/>
          <w:sz w:val="16"/>
          <w:szCs w:val="16"/>
        </w:rPr>
        <w:t xml:space="preserve"> </w:t>
      </w:r>
    </w:p>
  </w:footnote>
  <w:footnote w:id="13">
    <w:p w14:paraId="06DC0470" w14:textId="783FF37B" w:rsidR="00D1282E" w:rsidRPr="00896999" w:rsidRDefault="00D1282E" w:rsidP="007957C5">
      <w:pPr>
        <w:pStyle w:val="FootnoteText"/>
        <w:spacing w:after="0" w:line="240" w:lineRule="auto"/>
        <w:jc w:val="left"/>
        <w:rPr>
          <w:rFonts w:ascii="Avenir Book" w:hAnsi="Avenir Book"/>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Frohmader, C.; Dowse, L.; Didi, A., </w:t>
      </w:r>
      <w:r w:rsidRPr="007957C5">
        <w:rPr>
          <w:rFonts w:ascii="Avenir Roman" w:hAnsi="Avenir Roman" w:cstheme="minorHAnsi"/>
          <w:i/>
          <w:color w:val="191619"/>
          <w:sz w:val="16"/>
          <w:szCs w:val="16"/>
        </w:rPr>
        <w:t>Preventing Violence against Women and Girls with Disabilities: Integrating A Human Rights Perspective</w:t>
      </w:r>
      <w:r w:rsidRPr="007957C5">
        <w:rPr>
          <w:rFonts w:ascii="Avenir Roman" w:hAnsi="Avenir Roman" w:cstheme="minorHAnsi"/>
          <w:color w:val="191619"/>
          <w:sz w:val="16"/>
          <w:szCs w:val="16"/>
        </w:rPr>
        <w:t xml:space="preserve">, Women With Disabilities Australia, September 2015 (revised and updated version). Available at: </w:t>
      </w:r>
      <w:hyperlink r:id="rId12" w:history="1">
        <w:r w:rsidRPr="007957C5">
          <w:rPr>
            <w:rStyle w:val="Hyperlink"/>
            <w:rFonts w:ascii="Avenir Roman" w:hAnsi="Avenir Roman" w:cstheme="minorHAnsi"/>
            <w:sz w:val="16"/>
            <w:szCs w:val="16"/>
          </w:rPr>
          <w:t>http://wwda.org.au/wp-content/uploads/2013/12/Think_Piece_Revised_Edition.pdf</w:t>
        </w:r>
      </w:hyperlink>
      <w:r>
        <w:rPr>
          <w:rFonts w:ascii="Avenir Book" w:hAnsi="Avenir Book" w:cstheme="minorHAnsi"/>
          <w:color w:val="191619"/>
          <w:sz w:val="16"/>
          <w:szCs w:val="16"/>
        </w:rPr>
        <w:t xml:space="preserve"> </w:t>
      </w:r>
    </w:p>
  </w:footnote>
  <w:footnote w:id="14">
    <w:p w14:paraId="3E1C3D27" w14:textId="0242C58F"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Royal Commission into Violence, Abuse, Neglect and Exploitation of People with Disability, </w:t>
      </w:r>
      <w:r w:rsidRPr="007957C5">
        <w:rPr>
          <w:rFonts w:ascii="Avenir Roman" w:hAnsi="Avenir Roman"/>
          <w:i/>
          <w:sz w:val="16"/>
          <w:szCs w:val="16"/>
          <w:lang w:val="en-AU"/>
        </w:rPr>
        <w:t>Group Homes Issues Paper</w:t>
      </w:r>
      <w:r w:rsidRPr="007957C5">
        <w:rPr>
          <w:rFonts w:ascii="Avenir Roman" w:hAnsi="Avenir Roman"/>
          <w:sz w:val="16"/>
          <w:szCs w:val="16"/>
          <w:lang w:val="en-AU"/>
        </w:rPr>
        <w:t xml:space="preserve">, November 2019, page 1. Available at: </w:t>
      </w:r>
      <w:hyperlink r:id="rId13" w:history="1">
        <w:r w:rsidRPr="007957C5">
          <w:rPr>
            <w:rStyle w:val="Hyperlink"/>
            <w:rFonts w:ascii="Avenir Roman" w:hAnsi="Avenir Roman"/>
            <w:sz w:val="16"/>
            <w:szCs w:val="16"/>
          </w:rPr>
          <w:t>https://disability.royalcommission.gov.au/publications/group-homes</w:t>
        </w:r>
      </w:hyperlink>
      <w:r w:rsidRPr="007957C5">
        <w:rPr>
          <w:rFonts w:ascii="Avenir Roman" w:hAnsi="Avenir Roman"/>
          <w:sz w:val="16"/>
          <w:szCs w:val="16"/>
        </w:rPr>
        <w:t xml:space="preserve"> </w:t>
      </w:r>
    </w:p>
  </w:footnote>
  <w:footnote w:id="15">
    <w:p w14:paraId="1696ADF1" w14:textId="185B5250"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Ibid.</w:t>
      </w:r>
    </w:p>
  </w:footnote>
  <w:footnote w:id="16">
    <w:p w14:paraId="4B480EB5" w14:textId="1CF32426"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Ibid, p. 2.</w:t>
      </w:r>
    </w:p>
  </w:footnote>
  <w:footnote w:id="17">
    <w:p w14:paraId="1BA157DA" w14:textId="7DC8FB23"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Committee on the Rights of Persons with Disabilities, </w:t>
      </w:r>
      <w:r w:rsidRPr="007957C5">
        <w:rPr>
          <w:rFonts w:ascii="Avenir Roman" w:hAnsi="Avenir Roman"/>
          <w:i/>
          <w:sz w:val="16"/>
          <w:szCs w:val="16"/>
          <w:lang w:val="en-AU"/>
        </w:rPr>
        <w:t xml:space="preserve">General comment No. 5 (2017) on living independently and being included in the community, </w:t>
      </w:r>
      <w:r w:rsidRPr="007957C5">
        <w:rPr>
          <w:rFonts w:ascii="Avenir Roman" w:hAnsi="Avenir Roman"/>
          <w:sz w:val="16"/>
          <w:szCs w:val="16"/>
          <w:lang w:val="en-AU"/>
        </w:rPr>
        <w:t xml:space="preserve">27 October 2017, UN Doc: CRPD/C/GC/5. Available at: </w:t>
      </w:r>
      <w:hyperlink r:id="rId14" w:history="1">
        <w:r w:rsidRPr="007957C5">
          <w:rPr>
            <w:rStyle w:val="Hyperlink"/>
            <w:rFonts w:ascii="Avenir Roman" w:hAnsi="Avenir Roman"/>
            <w:sz w:val="16"/>
            <w:szCs w:val="16"/>
            <w:lang w:val="en-AU"/>
          </w:rPr>
          <w:t>https://www.ohchr.org/EN/HRBodies/CRPD/Pages/GC.aspx</w:t>
        </w:r>
      </w:hyperlink>
    </w:p>
  </w:footnote>
  <w:footnote w:id="18">
    <w:p w14:paraId="4187D995" w14:textId="07E066EF" w:rsidR="00D1282E" w:rsidRPr="0020650B"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Ibid. para 3.</w:t>
      </w:r>
      <w:r w:rsidRPr="0020650B">
        <w:rPr>
          <w:rFonts w:ascii="Avenir Roman" w:hAnsi="Avenir Roman"/>
          <w:sz w:val="16"/>
          <w:szCs w:val="16"/>
          <w:lang w:val="en-AU"/>
        </w:rPr>
        <w:t xml:space="preserve"> </w:t>
      </w:r>
    </w:p>
  </w:footnote>
  <w:footnote w:id="19">
    <w:p w14:paraId="0E56AADA" w14:textId="18C2E6F0"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i/>
          <w:sz w:val="16"/>
          <w:szCs w:val="16"/>
        </w:rPr>
        <w:t xml:space="preserve">Convention on the Rights of Persons with Disabilities, </w:t>
      </w:r>
      <w:r w:rsidRPr="007957C5">
        <w:rPr>
          <w:rFonts w:ascii="Avenir Roman" w:hAnsi="Avenir Roman"/>
          <w:sz w:val="16"/>
          <w:szCs w:val="16"/>
        </w:rPr>
        <w:t xml:space="preserve">opened for signature 30 March 2007, 2515 UNTS 3 (entered into force 3 May 2008), art 3(a). Available at: </w:t>
      </w:r>
      <w:hyperlink r:id="rId15" w:history="1">
        <w:r w:rsidRPr="007957C5">
          <w:rPr>
            <w:rStyle w:val="Hyperlink"/>
            <w:rFonts w:ascii="Avenir Roman" w:hAnsi="Avenir Roman"/>
            <w:sz w:val="16"/>
            <w:szCs w:val="16"/>
          </w:rPr>
          <w:t>https://www.ohchr.org/EN/HRBodies/CRPD/Pages/ConventionRightsPersonsWithDisabilities.aspx</w:t>
        </w:r>
      </w:hyperlink>
      <w:r w:rsidRPr="007957C5">
        <w:rPr>
          <w:rFonts w:ascii="Avenir Roman" w:hAnsi="Avenir Roman"/>
          <w:sz w:val="16"/>
          <w:szCs w:val="16"/>
        </w:rPr>
        <w:t xml:space="preserve"> </w:t>
      </w:r>
    </w:p>
  </w:footnote>
  <w:footnote w:id="20">
    <w:p w14:paraId="0E9A4038" w14:textId="7C55D6BB"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Ibid. Art 3(c).</w:t>
      </w:r>
    </w:p>
  </w:footnote>
  <w:footnote w:id="21">
    <w:p w14:paraId="600C3B94" w14:textId="651FAA42"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Committee on the Rights of Persons with Disabilities, </w:t>
      </w:r>
      <w:r w:rsidRPr="007957C5">
        <w:rPr>
          <w:rFonts w:ascii="Avenir Roman" w:hAnsi="Avenir Roman"/>
          <w:i/>
          <w:sz w:val="16"/>
          <w:szCs w:val="16"/>
          <w:lang w:val="en-AU"/>
        </w:rPr>
        <w:t xml:space="preserve">General comment No. 5 (2017) on living independently and being included in the community, </w:t>
      </w:r>
      <w:r w:rsidRPr="007957C5">
        <w:rPr>
          <w:rFonts w:ascii="Avenir Roman" w:hAnsi="Avenir Roman"/>
          <w:sz w:val="16"/>
          <w:szCs w:val="16"/>
          <w:lang w:val="en-AU"/>
        </w:rPr>
        <w:t>op. cit., para 8.</w:t>
      </w:r>
    </w:p>
  </w:footnote>
  <w:footnote w:id="22">
    <w:p w14:paraId="3B97E558" w14:textId="5F05FAAE"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i/>
          <w:iCs/>
          <w:sz w:val="16"/>
          <w:szCs w:val="16"/>
          <w:lang w:val="en-AU"/>
        </w:rPr>
        <w:t>Universal Declaration of Human Rights</w:t>
      </w:r>
      <w:r w:rsidRPr="007957C5">
        <w:rPr>
          <w:rFonts w:ascii="Avenir Roman" w:hAnsi="Avenir Roman"/>
          <w:sz w:val="16"/>
          <w:szCs w:val="16"/>
          <w:lang w:val="en-AU"/>
        </w:rPr>
        <w:t>, GA Res 217 A (III), UN GOAR, UN Doc A/810 (10 December 1948), art. 29. Available at:</w:t>
      </w:r>
      <w:r w:rsidRPr="007957C5">
        <w:rPr>
          <w:rFonts w:ascii="Avenir Roman" w:hAnsi="Avenir Roman"/>
          <w:sz w:val="16"/>
          <w:szCs w:val="16"/>
        </w:rPr>
        <w:t xml:space="preserve"> </w:t>
      </w:r>
      <w:hyperlink r:id="rId16" w:history="1">
        <w:r w:rsidRPr="007957C5">
          <w:rPr>
            <w:rStyle w:val="Hyperlink"/>
            <w:rFonts w:ascii="Avenir Roman" w:hAnsi="Avenir Roman"/>
            <w:sz w:val="16"/>
            <w:szCs w:val="16"/>
          </w:rPr>
          <w:t>https://undocs.org/A/RES/217(III)</w:t>
        </w:r>
      </w:hyperlink>
      <w:r w:rsidRPr="007957C5">
        <w:rPr>
          <w:rFonts w:ascii="Avenir Roman" w:hAnsi="Avenir Roman"/>
          <w:sz w:val="16"/>
          <w:szCs w:val="16"/>
        </w:rPr>
        <w:t xml:space="preserve"> </w:t>
      </w:r>
    </w:p>
  </w:footnote>
  <w:footnote w:id="23">
    <w:p w14:paraId="326FB6FF" w14:textId="5579536E"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i/>
          <w:sz w:val="16"/>
          <w:szCs w:val="16"/>
        </w:rPr>
        <w:t>International Covenant on Civil and Political Rights</w:t>
      </w:r>
      <w:r w:rsidRPr="007957C5">
        <w:rPr>
          <w:rFonts w:ascii="Avenir Roman" w:hAnsi="Avenir Roman"/>
          <w:sz w:val="16"/>
          <w:szCs w:val="16"/>
        </w:rPr>
        <w:t xml:space="preserve">, </w:t>
      </w:r>
      <w:r w:rsidRPr="007957C5">
        <w:rPr>
          <w:rFonts w:ascii="Avenir Roman" w:hAnsi="Avenir Roman"/>
          <w:sz w:val="16"/>
          <w:szCs w:val="16"/>
          <w:lang w:val="en-AU"/>
        </w:rPr>
        <w:t xml:space="preserve">opened for signature 19 December 1966, 999 UNTS 171 (entered into force 23 March 1976), art. 12. Available at: </w:t>
      </w:r>
      <w:hyperlink r:id="rId17" w:history="1">
        <w:r w:rsidRPr="007957C5">
          <w:rPr>
            <w:rStyle w:val="Hyperlink"/>
            <w:rFonts w:ascii="Avenir Roman" w:hAnsi="Avenir Roman"/>
            <w:sz w:val="16"/>
            <w:szCs w:val="16"/>
            <w:lang w:val="en-AU"/>
          </w:rPr>
          <w:t>https://www.ohchr.org/EN/ProfessionalInterest/Pages/CCPR.aspx</w:t>
        </w:r>
      </w:hyperlink>
      <w:r w:rsidRPr="007957C5">
        <w:rPr>
          <w:rFonts w:ascii="Avenir Roman" w:hAnsi="Avenir Roman"/>
          <w:sz w:val="16"/>
          <w:szCs w:val="16"/>
          <w:lang w:val="en-AU"/>
        </w:rPr>
        <w:t xml:space="preserve"> </w:t>
      </w:r>
    </w:p>
  </w:footnote>
  <w:footnote w:id="24">
    <w:p w14:paraId="69BE645E" w14:textId="62560AD3"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i/>
          <w:sz w:val="16"/>
          <w:szCs w:val="16"/>
          <w:lang w:val="en-AU"/>
        </w:rPr>
        <w:t xml:space="preserve">International Covenant on Economic, Social and Cultural Rights, </w:t>
      </w:r>
      <w:r w:rsidRPr="007957C5">
        <w:rPr>
          <w:rFonts w:ascii="Avenir Roman" w:hAnsi="Avenir Roman"/>
          <w:sz w:val="16"/>
          <w:szCs w:val="16"/>
          <w:lang w:val="en-AU"/>
        </w:rPr>
        <w:t xml:space="preserve">opened for signature 16 December 1966, 993 UNTS 3 (entered into force 3 January 1976), art. 11. Available at: </w:t>
      </w:r>
      <w:hyperlink r:id="rId18" w:history="1">
        <w:r w:rsidRPr="007957C5">
          <w:rPr>
            <w:rStyle w:val="Hyperlink"/>
            <w:rFonts w:ascii="Avenir Roman" w:hAnsi="Avenir Roman"/>
            <w:sz w:val="16"/>
            <w:szCs w:val="16"/>
            <w:lang w:val="en-AU"/>
          </w:rPr>
          <w:t>https://www.ohchr.org/EN/ProfessionalInterest/Pages/CESCR.aspx</w:t>
        </w:r>
      </w:hyperlink>
      <w:r w:rsidRPr="007957C5">
        <w:rPr>
          <w:rFonts w:ascii="Avenir Roman" w:hAnsi="Avenir Roman"/>
          <w:sz w:val="16"/>
          <w:szCs w:val="16"/>
          <w:lang w:val="en-AU"/>
        </w:rPr>
        <w:t xml:space="preserve"> </w:t>
      </w:r>
    </w:p>
  </w:footnote>
  <w:footnote w:id="25">
    <w:p w14:paraId="7EA8E356" w14:textId="3D9901BB"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Committee on the Rights of Persons with Disabilities, </w:t>
      </w:r>
      <w:r w:rsidRPr="007957C5">
        <w:rPr>
          <w:rFonts w:ascii="Avenir Roman" w:hAnsi="Avenir Roman"/>
          <w:i/>
          <w:sz w:val="16"/>
          <w:szCs w:val="16"/>
          <w:lang w:val="en-AU"/>
        </w:rPr>
        <w:t xml:space="preserve">General comment No. 5 (2017) on living independently and being included in the community, </w:t>
      </w:r>
      <w:r w:rsidRPr="007957C5">
        <w:rPr>
          <w:rFonts w:ascii="Avenir Roman" w:hAnsi="Avenir Roman"/>
          <w:sz w:val="16"/>
          <w:szCs w:val="16"/>
          <w:lang w:val="en-AU"/>
        </w:rPr>
        <w:t>op. cit., para 9.</w:t>
      </w:r>
    </w:p>
  </w:footnote>
  <w:footnote w:id="26">
    <w:p w14:paraId="44669350" w14:textId="1BE413FA" w:rsidR="00D1282E" w:rsidRPr="0020650B" w:rsidRDefault="00D1282E" w:rsidP="007957C5">
      <w:pPr>
        <w:pStyle w:val="FootnoteText"/>
        <w:spacing w:after="0" w:line="240" w:lineRule="auto"/>
        <w:jc w:val="left"/>
        <w:rPr>
          <w:rFonts w:ascii="Avenir Roman" w:hAnsi="Avenir Roman"/>
          <w:sz w:val="16"/>
          <w:szCs w:val="16"/>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i/>
          <w:sz w:val="16"/>
          <w:szCs w:val="16"/>
        </w:rPr>
        <w:t xml:space="preserve">International Convention on the Elimination of All Forms of Racial Discrimination, </w:t>
      </w:r>
      <w:r w:rsidRPr="007957C5">
        <w:rPr>
          <w:rFonts w:ascii="Avenir Roman" w:hAnsi="Avenir Roman"/>
          <w:sz w:val="16"/>
          <w:szCs w:val="16"/>
        </w:rPr>
        <w:t>opened for signature 21 December 1965, 660 UNTS 195 (entered into force 4 January 1969) arts. 5(d)(i), 5(e)(ii), 5(e)(iv).</w:t>
      </w:r>
      <w:r w:rsidRPr="0020650B">
        <w:rPr>
          <w:rFonts w:ascii="Avenir Roman" w:hAnsi="Avenir Roman"/>
          <w:sz w:val="16"/>
          <w:szCs w:val="16"/>
        </w:rPr>
        <w:t xml:space="preserve"> </w:t>
      </w:r>
    </w:p>
  </w:footnote>
  <w:footnote w:id="27">
    <w:p w14:paraId="453DDCBC" w14:textId="6B49E1FF" w:rsidR="00D1282E" w:rsidRPr="0020650B" w:rsidRDefault="00D1282E" w:rsidP="007957C5">
      <w:pPr>
        <w:pStyle w:val="FootnoteText"/>
        <w:spacing w:after="0" w:line="240" w:lineRule="auto"/>
        <w:jc w:val="left"/>
        <w:rPr>
          <w:rFonts w:ascii="Avenir Roman" w:hAnsi="Avenir Roman"/>
          <w:sz w:val="16"/>
          <w:szCs w:val="16"/>
        </w:rPr>
      </w:pPr>
      <w:r w:rsidRPr="0020650B">
        <w:rPr>
          <w:rStyle w:val="FootnoteReference"/>
          <w:rFonts w:ascii="Avenir Roman" w:hAnsi="Avenir Roman"/>
          <w:sz w:val="16"/>
          <w:szCs w:val="16"/>
        </w:rPr>
        <w:footnoteRef/>
      </w:r>
      <w:r w:rsidRPr="0020650B">
        <w:rPr>
          <w:rFonts w:ascii="Avenir Roman" w:hAnsi="Avenir Roman"/>
          <w:sz w:val="16"/>
          <w:szCs w:val="16"/>
        </w:rPr>
        <w:t xml:space="preserve"> </w:t>
      </w:r>
      <w:r w:rsidRPr="0020650B">
        <w:rPr>
          <w:rFonts w:ascii="Avenir Roman" w:hAnsi="Avenir Roman"/>
          <w:i/>
          <w:sz w:val="16"/>
          <w:szCs w:val="16"/>
        </w:rPr>
        <w:t xml:space="preserve">Convention on the Elimination of All Forms of Discrimination Against Women, </w:t>
      </w:r>
      <w:r w:rsidRPr="0020650B">
        <w:rPr>
          <w:rFonts w:ascii="Avenir Roman" w:hAnsi="Avenir Roman"/>
          <w:sz w:val="16"/>
          <w:szCs w:val="16"/>
        </w:rPr>
        <w:t>opened for signature 1 March 1980, 1249 UNTS 13 (entered into force 3 September 1981) arts. 15(4), 13(a), 13(b), 14.</w:t>
      </w:r>
    </w:p>
  </w:footnote>
  <w:footnote w:id="28">
    <w:p w14:paraId="36CC8955" w14:textId="561EA80A" w:rsidR="00D1282E" w:rsidRPr="0020650B" w:rsidRDefault="00D1282E" w:rsidP="007957C5">
      <w:pPr>
        <w:pStyle w:val="FootnoteText"/>
        <w:spacing w:after="0" w:line="240" w:lineRule="auto"/>
        <w:jc w:val="left"/>
        <w:rPr>
          <w:rFonts w:ascii="Avenir Roman" w:hAnsi="Avenir Roman"/>
          <w:sz w:val="16"/>
          <w:szCs w:val="16"/>
        </w:rPr>
      </w:pPr>
      <w:r w:rsidRPr="0020650B">
        <w:rPr>
          <w:rStyle w:val="FootnoteReference"/>
          <w:rFonts w:ascii="Avenir Roman" w:hAnsi="Avenir Roman"/>
          <w:sz w:val="16"/>
          <w:szCs w:val="16"/>
        </w:rPr>
        <w:footnoteRef/>
      </w:r>
      <w:r w:rsidRPr="0020650B">
        <w:rPr>
          <w:rFonts w:ascii="Avenir Roman" w:hAnsi="Avenir Roman"/>
          <w:sz w:val="16"/>
          <w:szCs w:val="16"/>
        </w:rPr>
        <w:t xml:space="preserve"> </w:t>
      </w:r>
      <w:r w:rsidRPr="0020650B">
        <w:rPr>
          <w:rFonts w:ascii="Avenir Roman" w:hAnsi="Avenir Roman"/>
          <w:i/>
          <w:sz w:val="16"/>
          <w:szCs w:val="16"/>
        </w:rPr>
        <w:t xml:space="preserve">Convention on the Rights of the Child, </w:t>
      </w:r>
      <w:r w:rsidRPr="0020650B">
        <w:rPr>
          <w:rFonts w:ascii="Avenir Roman" w:hAnsi="Avenir Roman"/>
          <w:sz w:val="16"/>
          <w:szCs w:val="16"/>
        </w:rPr>
        <w:t>opened for signature 20 November 1989, 1577 UNTS 3 (entered into force 2 September 1990) art. 9(1).</w:t>
      </w:r>
    </w:p>
  </w:footnote>
  <w:footnote w:id="29">
    <w:p w14:paraId="3BCBEC83" w14:textId="5D6A38A1" w:rsidR="00D1282E" w:rsidRPr="0020650B" w:rsidRDefault="00D1282E" w:rsidP="007957C5">
      <w:pPr>
        <w:pStyle w:val="FootnoteText"/>
        <w:spacing w:after="0" w:line="240" w:lineRule="auto"/>
        <w:jc w:val="left"/>
        <w:rPr>
          <w:rFonts w:ascii="Avenir Roman" w:hAnsi="Avenir Roman"/>
          <w:sz w:val="16"/>
          <w:szCs w:val="16"/>
        </w:rPr>
      </w:pPr>
      <w:r w:rsidRPr="0020650B">
        <w:rPr>
          <w:rStyle w:val="FootnoteReference"/>
          <w:rFonts w:ascii="Avenir Roman" w:hAnsi="Avenir Roman"/>
          <w:sz w:val="16"/>
          <w:szCs w:val="16"/>
        </w:rPr>
        <w:footnoteRef/>
      </w:r>
      <w:r w:rsidRPr="0020650B">
        <w:rPr>
          <w:rFonts w:ascii="Avenir Roman" w:hAnsi="Avenir Roman"/>
          <w:sz w:val="16"/>
          <w:szCs w:val="16"/>
        </w:rPr>
        <w:t xml:space="preserve"> Ibid. Art. 18(2).</w:t>
      </w:r>
    </w:p>
  </w:footnote>
  <w:footnote w:id="30">
    <w:p w14:paraId="605CFFF8" w14:textId="2537815B" w:rsidR="00D1282E" w:rsidRPr="007957C5" w:rsidRDefault="00D1282E" w:rsidP="007957C5">
      <w:pPr>
        <w:pStyle w:val="FootnoteText"/>
        <w:spacing w:after="0" w:line="240" w:lineRule="auto"/>
        <w:jc w:val="left"/>
        <w:rPr>
          <w:rFonts w:ascii="Avenir Roman" w:hAnsi="Avenir Roman"/>
          <w:sz w:val="16"/>
          <w:szCs w:val="16"/>
        </w:rPr>
      </w:pPr>
      <w:r w:rsidRPr="007957C5">
        <w:rPr>
          <w:rStyle w:val="FootnoteReference"/>
          <w:rFonts w:ascii="Avenir Roman" w:hAnsi="Avenir Roman"/>
          <w:sz w:val="16"/>
          <w:szCs w:val="16"/>
        </w:rPr>
        <w:footnoteRef/>
      </w:r>
      <w:r w:rsidRPr="007957C5">
        <w:rPr>
          <w:rFonts w:ascii="Avenir Roman" w:hAnsi="Avenir Roman"/>
          <w:sz w:val="16"/>
          <w:szCs w:val="16"/>
        </w:rPr>
        <w:t xml:space="preserve"> Ibid. Art. 23(1).</w:t>
      </w:r>
    </w:p>
  </w:footnote>
  <w:footnote w:id="31">
    <w:p w14:paraId="7AA5636D" w14:textId="0C876A9F"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Committee on the Rights of Persons with Disabilities, </w:t>
      </w:r>
      <w:r w:rsidRPr="007957C5">
        <w:rPr>
          <w:rFonts w:ascii="Avenir Roman" w:hAnsi="Avenir Roman"/>
          <w:i/>
          <w:sz w:val="16"/>
          <w:szCs w:val="16"/>
          <w:lang w:val="en-AU"/>
        </w:rPr>
        <w:t xml:space="preserve">General comment No. 5 (2017) on living independently and being included in the community, </w:t>
      </w:r>
      <w:r w:rsidRPr="007957C5">
        <w:rPr>
          <w:rFonts w:ascii="Avenir Roman" w:hAnsi="Avenir Roman"/>
          <w:sz w:val="16"/>
          <w:szCs w:val="16"/>
          <w:lang w:val="en-AU"/>
        </w:rPr>
        <w:t>op. cit., para 37.</w:t>
      </w:r>
    </w:p>
  </w:footnote>
  <w:footnote w:id="32">
    <w:p w14:paraId="7C18A52D" w14:textId="5AA92EEA"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lang w:val="en-AU"/>
        </w:rPr>
        <w:t xml:space="preserve"> Committee on the Rights of Persons with Disabilities, </w:t>
      </w:r>
      <w:r w:rsidRPr="007957C5">
        <w:rPr>
          <w:rFonts w:ascii="Avenir Roman" w:hAnsi="Avenir Roman"/>
          <w:i/>
          <w:sz w:val="16"/>
          <w:szCs w:val="16"/>
          <w:lang w:val="en-AU"/>
        </w:rPr>
        <w:t xml:space="preserve">General comment No. 5 (2017) on living independently and being included in the community, </w:t>
      </w:r>
      <w:r w:rsidRPr="007957C5">
        <w:rPr>
          <w:rFonts w:ascii="Avenir Roman" w:hAnsi="Avenir Roman"/>
          <w:sz w:val="16"/>
          <w:szCs w:val="16"/>
          <w:lang w:val="en-AU"/>
        </w:rPr>
        <w:t>op. cit., para 6.</w:t>
      </w:r>
    </w:p>
  </w:footnote>
  <w:footnote w:id="33">
    <w:p w14:paraId="5885B3F8" w14:textId="4F2E9476"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i/>
          <w:sz w:val="16"/>
          <w:szCs w:val="16"/>
        </w:rPr>
        <w:t xml:space="preserve">Convention on the Rights of Persons with Disabilities, </w:t>
      </w:r>
      <w:r w:rsidRPr="007957C5">
        <w:rPr>
          <w:rFonts w:ascii="Avenir Roman" w:hAnsi="Avenir Roman"/>
          <w:sz w:val="16"/>
          <w:szCs w:val="16"/>
        </w:rPr>
        <w:t>op. cit., art 19(a).</w:t>
      </w:r>
    </w:p>
  </w:footnote>
  <w:footnote w:id="34">
    <w:p w14:paraId="1C561E6B" w14:textId="77777777"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Ibid.</w:t>
      </w:r>
    </w:p>
  </w:footnote>
  <w:footnote w:id="35">
    <w:p w14:paraId="2ED9A2DF" w14:textId="77777777"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Ibid. Art. 19(b).</w:t>
      </w:r>
    </w:p>
  </w:footnote>
  <w:footnote w:id="36">
    <w:p w14:paraId="6E4A2119" w14:textId="77777777" w:rsidR="00D1282E" w:rsidRPr="00DD0C82"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Ibid. Art. 19(c).</w:t>
      </w:r>
    </w:p>
  </w:footnote>
  <w:footnote w:id="37">
    <w:p w14:paraId="5B945F26" w14:textId="5F69213C"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Committee on the Rights of Persons with Disabilities, </w:t>
      </w:r>
      <w:r w:rsidRPr="007957C5">
        <w:rPr>
          <w:rFonts w:ascii="Avenir Roman" w:hAnsi="Avenir Roman"/>
          <w:i/>
          <w:sz w:val="16"/>
          <w:szCs w:val="16"/>
          <w:lang w:val="en-AU"/>
        </w:rPr>
        <w:t xml:space="preserve">General comment No. 5 (2017) on living independently and being included in the community, </w:t>
      </w:r>
      <w:r w:rsidRPr="007957C5">
        <w:rPr>
          <w:rFonts w:ascii="Avenir Roman" w:hAnsi="Avenir Roman"/>
          <w:sz w:val="16"/>
          <w:szCs w:val="16"/>
          <w:lang w:val="en-AU"/>
        </w:rPr>
        <w:t>op. cit., para 80.</w:t>
      </w:r>
    </w:p>
  </w:footnote>
  <w:footnote w:id="38">
    <w:p w14:paraId="62033B1E" w14:textId="77777777" w:rsidR="00D1282E" w:rsidRPr="007957C5" w:rsidRDefault="00D1282E" w:rsidP="007957C5">
      <w:pPr>
        <w:pStyle w:val="FootnoteText"/>
        <w:spacing w:after="0" w:line="240" w:lineRule="auto"/>
        <w:jc w:val="left"/>
        <w:rPr>
          <w:rFonts w:ascii="Avenir Roman" w:hAnsi="Avenir Roman"/>
          <w:sz w:val="16"/>
          <w:szCs w:val="16"/>
        </w:rPr>
      </w:pPr>
      <w:r w:rsidRPr="007957C5">
        <w:rPr>
          <w:rStyle w:val="FootnoteReference"/>
          <w:rFonts w:ascii="Avenir Roman" w:hAnsi="Avenir Roman"/>
          <w:sz w:val="16"/>
          <w:szCs w:val="16"/>
        </w:rPr>
        <w:footnoteRef/>
      </w:r>
      <w:r w:rsidRPr="007957C5">
        <w:rPr>
          <w:rFonts w:ascii="Avenir Roman" w:hAnsi="Avenir Roman"/>
          <w:sz w:val="16"/>
          <w:szCs w:val="16"/>
        </w:rPr>
        <w:t xml:space="preserve"> Committee on the Rights of Persons with Disabilities, </w:t>
      </w:r>
      <w:r w:rsidRPr="007957C5">
        <w:rPr>
          <w:rFonts w:ascii="Avenir Roman" w:hAnsi="Avenir Roman"/>
          <w:i/>
          <w:sz w:val="16"/>
          <w:szCs w:val="16"/>
        </w:rPr>
        <w:t>General comment No. 1 (2014) Article 12: Equal recognition before the law</w:t>
      </w:r>
      <w:r w:rsidRPr="007957C5">
        <w:rPr>
          <w:rFonts w:ascii="Avenir Roman" w:hAnsi="Avenir Roman"/>
          <w:sz w:val="16"/>
          <w:szCs w:val="16"/>
        </w:rPr>
        <w:t>, Eleventh session, UN Doc CRPD/C/GC/1 (19 May 2014), para 1</w:t>
      </w:r>
    </w:p>
  </w:footnote>
  <w:footnote w:id="39">
    <w:p w14:paraId="052444E1" w14:textId="5F34A696" w:rsidR="00D1282E" w:rsidRPr="007957C5" w:rsidRDefault="00D1282E" w:rsidP="007957C5">
      <w:pPr>
        <w:pStyle w:val="FootnoteText"/>
        <w:spacing w:after="0" w:line="240" w:lineRule="auto"/>
        <w:jc w:val="left"/>
        <w:rPr>
          <w:rFonts w:ascii="Avenir Roman" w:hAnsi="Avenir Roman"/>
          <w:sz w:val="16"/>
          <w:szCs w:val="16"/>
        </w:rPr>
      </w:pPr>
      <w:r w:rsidRPr="007957C5">
        <w:rPr>
          <w:rStyle w:val="FootnoteReference"/>
          <w:rFonts w:ascii="Avenir Roman" w:hAnsi="Avenir Roman"/>
          <w:sz w:val="16"/>
          <w:szCs w:val="16"/>
        </w:rPr>
        <w:footnoteRef/>
      </w:r>
      <w:r w:rsidRPr="007957C5">
        <w:rPr>
          <w:rFonts w:ascii="Avenir Roman" w:hAnsi="Avenir Roman"/>
          <w:sz w:val="16"/>
          <w:szCs w:val="16"/>
        </w:rPr>
        <w:t xml:space="preserve"> G. Quinn, </w:t>
      </w:r>
      <w:r w:rsidRPr="007957C5">
        <w:rPr>
          <w:rFonts w:ascii="Avenir Roman" w:hAnsi="Avenir Roman"/>
          <w:i/>
          <w:sz w:val="16"/>
          <w:szCs w:val="16"/>
        </w:rPr>
        <w:t>Personhood &amp; Legal Capacity Perspectives on the Paradigm Shift of Article 12 CRPD</w:t>
      </w:r>
      <w:r w:rsidRPr="007957C5">
        <w:rPr>
          <w:rFonts w:ascii="Avenir Roman" w:hAnsi="Avenir Roman"/>
          <w:sz w:val="16"/>
          <w:szCs w:val="16"/>
        </w:rPr>
        <w:t xml:space="preserve"> (Concept Paper for the Harvard Law School Project on Disability Conference), Cambridge, 20 February 2010) 5 </w:t>
      </w:r>
    </w:p>
  </w:footnote>
  <w:footnote w:id="40">
    <w:p w14:paraId="7350FD2F" w14:textId="3837672A"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Committee on the Rights of Persons with Disabilities, </w:t>
      </w:r>
      <w:r w:rsidRPr="007957C5">
        <w:rPr>
          <w:rFonts w:ascii="Avenir Roman" w:hAnsi="Avenir Roman"/>
          <w:i/>
          <w:sz w:val="16"/>
          <w:szCs w:val="16"/>
          <w:lang w:val="en-AU"/>
        </w:rPr>
        <w:t>General comment No. 3 (2016) on women and girls with disabilities</w:t>
      </w:r>
      <w:r w:rsidRPr="007957C5">
        <w:rPr>
          <w:rFonts w:ascii="Avenir Roman" w:hAnsi="Avenir Roman"/>
          <w:sz w:val="16"/>
          <w:szCs w:val="16"/>
          <w:lang w:val="en-AU"/>
        </w:rPr>
        <w:t xml:space="preserve">, 25 November 2016, UN Doc: CRPD/C/GC/3, para 51. Available at: </w:t>
      </w:r>
      <w:hyperlink r:id="rId19" w:history="1">
        <w:r w:rsidRPr="007957C5">
          <w:rPr>
            <w:rStyle w:val="Hyperlink"/>
            <w:rFonts w:ascii="Avenir Roman" w:hAnsi="Avenir Roman"/>
            <w:sz w:val="16"/>
            <w:szCs w:val="16"/>
            <w:lang w:val="en-AU"/>
          </w:rPr>
          <w:t>https://www.ohchr.org/EN/HRBodies/CRPD/Pages/GC.aspx</w:t>
        </w:r>
      </w:hyperlink>
      <w:r w:rsidRPr="007957C5">
        <w:rPr>
          <w:rFonts w:ascii="Avenir Roman" w:hAnsi="Avenir Roman"/>
          <w:sz w:val="16"/>
          <w:szCs w:val="16"/>
          <w:lang w:val="en-AU"/>
        </w:rPr>
        <w:t xml:space="preserve"> </w:t>
      </w:r>
    </w:p>
  </w:footnote>
  <w:footnote w:id="41">
    <w:p w14:paraId="15B2D2EE" w14:textId="66172554"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Committee on the Rights of Persons with Disabilities, </w:t>
      </w:r>
      <w:r w:rsidRPr="007957C5">
        <w:rPr>
          <w:rFonts w:ascii="Avenir Roman" w:hAnsi="Avenir Roman"/>
          <w:i/>
          <w:sz w:val="16"/>
          <w:szCs w:val="16"/>
          <w:lang w:val="en-AU"/>
        </w:rPr>
        <w:t xml:space="preserve">General comment No. 1 (2014) Article 12: Equal recognition before the law, </w:t>
      </w:r>
      <w:r w:rsidRPr="007957C5">
        <w:rPr>
          <w:rFonts w:ascii="Avenir Roman" w:hAnsi="Avenir Roman"/>
          <w:sz w:val="16"/>
          <w:szCs w:val="16"/>
          <w:lang w:val="en-AU"/>
        </w:rPr>
        <w:t>op. cit., para 44.</w:t>
      </w:r>
    </w:p>
  </w:footnote>
  <w:footnote w:id="42">
    <w:p w14:paraId="2676EBD5" w14:textId="45555F4F" w:rsidR="00D1282E" w:rsidRPr="00F1141A"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Ibid, para 45.</w:t>
      </w:r>
    </w:p>
  </w:footnote>
  <w:footnote w:id="43">
    <w:p w14:paraId="5C1F86EF" w14:textId="0875E456" w:rsidR="00D1282E" w:rsidRPr="007957C5" w:rsidRDefault="00D1282E" w:rsidP="007957C5">
      <w:pPr>
        <w:pStyle w:val="FootnoteText"/>
        <w:spacing w:after="0" w:line="240" w:lineRule="auto"/>
        <w:jc w:val="left"/>
        <w:rPr>
          <w:rFonts w:ascii="Avenir Roman" w:hAnsi="Avenir Roman"/>
          <w:color w:val="000000" w:themeColor="text1"/>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See for example, French, P, </w:t>
      </w:r>
      <w:r w:rsidRPr="007957C5">
        <w:rPr>
          <w:rFonts w:ascii="Avenir Roman" w:hAnsi="Avenir Roman"/>
          <w:i/>
          <w:sz w:val="16"/>
          <w:szCs w:val="16"/>
          <w:lang w:val="en-AU"/>
        </w:rPr>
        <w:t xml:space="preserve">Accommodating Human Rights: A human rights perspective on housing, and housing and support, for persons with disability, </w:t>
      </w:r>
      <w:r w:rsidRPr="007957C5">
        <w:rPr>
          <w:rFonts w:ascii="Avenir Roman" w:hAnsi="Avenir Roman"/>
          <w:sz w:val="16"/>
          <w:szCs w:val="16"/>
          <w:lang w:val="en-AU"/>
        </w:rPr>
        <w:t xml:space="preserve">People with Disability Australia, 2009, p. 52. Available at: </w:t>
      </w:r>
      <w:hyperlink r:id="rId20" w:history="1">
        <w:r w:rsidRPr="007957C5">
          <w:rPr>
            <w:rStyle w:val="Hyperlink"/>
            <w:rFonts w:ascii="Avenir Roman" w:hAnsi="Avenir Roman"/>
            <w:sz w:val="16"/>
            <w:szCs w:val="16"/>
            <w:lang w:val="en-AU"/>
          </w:rPr>
          <w:t>https://pwd.org.au/resources/library/reports/</w:t>
        </w:r>
      </w:hyperlink>
      <w:r w:rsidRPr="007957C5">
        <w:rPr>
          <w:rStyle w:val="Hyperlink"/>
          <w:rFonts w:ascii="Avenir Roman" w:hAnsi="Avenir Roman"/>
          <w:color w:val="000000" w:themeColor="text1"/>
          <w:sz w:val="16"/>
          <w:szCs w:val="16"/>
          <w:u w:val="none"/>
          <w:lang w:val="en-AU"/>
        </w:rPr>
        <w:t xml:space="preserve">; Joint Standing Committee on the National Disability Insurance Scheme, </w:t>
      </w:r>
      <w:r w:rsidRPr="007957C5">
        <w:rPr>
          <w:rStyle w:val="Hyperlink"/>
          <w:rFonts w:ascii="Avenir Roman" w:hAnsi="Avenir Roman"/>
          <w:i/>
          <w:color w:val="000000" w:themeColor="text1"/>
          <w:sz w:val="16"/>
          <w:szCs w:val="16"/>
          <w:u w:val="none"/>
          <w:lang w:val="en-AU"/>
        </w:rPr>
        <w:t>Report into Supported Independent Living</w:t>
      </w:r>
      <w:r w:rsidRPr="007957C5">
        <w:rPr>
          <w:rStyle w:val="Hyperlink"/>
          <w:rFonts w:ascii="Avenir Roman" w:hAnsi="Avenir Roman"/>
          <w:color w:val="000000" w:themeColor="text1"/>
          <w:sz w:val="16"/>
          <w:szCs w:val="16"/>
          <w:u w:val="none"/>
          <w:lang w:val="en-AU"/>
        </w:rPr>
        <w:t xml:space="preserve">, (May 2020) Commonwealth of Australia, p. xviii. Available at: </w:t>
      </w:r>
      <w:hyperlink r:id="rId21" w:history="1">
        <w:r w:rsidRPr="007957C5">
          <w:rPr>
            <w:rStyle w:val="Hyperlink"/>
            <w:rFonts w:ascii="Avenir Roman" w:hAnsi="Avenir Roman"/>
            <w:sz w:val="16"/>
            <w:szCs w:val="16"/>
            <w:lang w:val="en-AU"/>
          </w:rPr>
          <w:t>https://www.aph.gov.au/Parliamentary_Business/Committees/Joint/National_Disability_Insurance_Scheme/Independentliving/Report</w:t>
        </w:r>
      </w:hyperlink>
      <w:r w:rsidRPr="007957C5">
        <w:rPr>
          <w:rStyle w:val="Hyperlink"/>
          <w:rFonts w:ascii="Avenir Roman" w:hAnsi="Avenir Roman"/>
          <w:color w:val="000000" w:themeColor="text1"/>
          <w:sz w:val="16"/>
          <w:szCs w:val="16"/>
          <w:u w:val="none"/>
          <w:lang w:val="en-AU"/>
        </w:rPr>
        <w:t xml:space="preserve"> </w:t>
      </w:r>
    </w:p>
  </w:footnote>
  <w:footnote w:id="44">
    <w:p w14:paraId="1F53EA7E" w14:textId="3C38F685"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i/>
          <w:sz w:val="16"/>
          <w:szCs w:val="16"/>
        </w:rPr>
        <w:t>Combined second and third periodic reports submitted by Australia under article 35 of the Convention, due in 2018</w:t>
      </w:r>
      <w:r w:rsidRPr="007957C5">
        <w:rPr>
          <w:rFonts w:ascii="Avenir Roman" w:hAnsi="Avenir Roman"/>
          <w:sz w:val="16"/>
          <w:szCs w:val="16"/>
        </w:rPr>
        <w:t xml:space="preserve"> (5 February 2019) UN Doc CRPD/C/AUS/2-3, para. 15(a). </w:t>
      </w:r>
    </w:p>
  </w:footnote>
  <w:footnote w:id="45">
    <w:p w14:paraId="6265F40C" w14:textId="76B1670B"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An interpretative declaration is a unilateral statement made by a State Party to clarify how a specific article or articles is interpreted by that State Party at a given time.  </w:t>
      </w:r>
    </w:p>
  </w:footnote>
  <w:footnote w:id="46">
    <w:p w14:paraId="59987B42" w14:textId="56459FCB"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See for example, the concluding observations made by the CRPD Committee since 2010 following numerous periodic reviews of States Parties; Committee on the Rights of Persons with Disabilities, </w:t>
      </w:r>
      <w:r w:rsidRPr="007957C5">
        <w:rPr>
          <w:rFonts w:ascii="Avenir Roman" w:hAnsi="Avenir Roman"/>
          <w:i/>
          <w:sz w:val="16"/>
          <w:szCs w:val="16"/>
          <w:lang w:val="en-AU"/>
        </w:rPr>
        <w:t xml:space="preserve">General comment No. 1 (2014) Article 12: Equal recognition before the law, </w:t>
      </w:r>
      <w:r w:rsidRPr="007957C5">
        <w:rPr>
          <w:rFonts w:ascii="Avenir Roman" w:hAnsi="Avenir Roman"/>
          <w:sz w:val="16"/>
          <w:szCs w:val="16"/>
          <w:lang w:val="en-AU"/>
        </w:rPr>
        <w:t xml:space="preserve">op. cit.; Committee on the Rights of Persons with Disabilities, </w:t>
      </w:r>
      <w:r w:rsidRPr="007957C5">
        <w:rPr>
          <w:rFonts w:ascii="Avenir Roman" w:hAnsi="Avenir Roman"/>
          <w:i/>
          <w:sz w:val="16"/>
          <w:szCs w:val="16"/>
          <w:lang w:val="en-AU"/>
        </w:rPr>
        <w:t xml:space="preserve">General comment No. 5 (2017) on living independently and being included in the community, </w:t>
      </w:r>
      <w:r w:rsidRPr="007957C5">
        <w:rPr>
          <w:rFonts w:ascii="Avenir Roman" w:hAnsi="Avenir Roman"/>
          <w:sz w:val="16"/>
          <w:szCs w:val="16"/>
          <w:lang w:val="en-AU"/>
        </w:rPr>
        <w:t xml:space="preserve">op. cit., para 48.  </w:t>
      </w:r>
    </w:p>
  </w:footnote>
  <w:footnote w:id="47">
    <w:p w14:paraId="11D59E73" w14:textId="77777777"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Committee on the Rights of Persons with Disabilities, </w:t>
      </w:r>
      <w:r w:rsidRPr="007957C5">
        <w:rPr>
          <w:rFonts w:ascii="Avenir Roman" w:hAnsi="Avenir Roman"/>
          <w:i/>
          <w:sz w:val="16"/>
          <w:szCs w:val="16"/>
        </w:rPr>
        <w:t>Concluding observations on the initial report of Australia, adopted by the Committee at its tenth session (2-13 September 2013)</w:t>
      </w:r>
      <w:r w:rsidRPr="007957C5">
        <w:rPr>
          <w:rFonts w:ascii="Avenir Roman" w:hAnsi="Avenir Roman"/>
          <w:sz w:val="16"/>
          <w:szCs w:val="16"/>
        </w:rPr>
        <w:t xml:space="preserve">, UN Doc: CRPD/C/AUS/CO/1 (21 October 2013) paras 9 and 25; Committee on the Rights of Persons with Disabilities, </w:t>
      </w:r>
      <w:r w:rsidRPr="007957C5">
        <w:rPr>
          <w:rFonts w:ascii="Avenir Roman" w:hAnsi="Avenir Roman"/>
          <w:i/>
          <w:sz w:val="16"/>
          <w:szCs w:val="16"/>
        </w:rPr>
        <w:t xml:space="preserve">Concluding observations on the combined second and third periodic reports of </w:t>
      </w:r>
      <w:r w:rsidRPr="007957C5">
        <w:rPr>
          <w:rFonts w:ascii="Avenir Roman" w:hAnsi="Avenir Roman"/>
          <w:sz w:val="16"/>
          <w:szCs w:val="16"/>
        </w:rPr>
        <w:t xml:space="preserve">Australia, UN Doc: CRPD/C/AUS/CO/2-3 (15 October 2019) paras 6(b), 24(a) and 24(b). </w:t>
      </w:r>
    </w:p>
  </w:footnote>
  <w:footnote w:id="48">
    <w:p w14:paraId="282670C3" w14:textId="1A33D16A" w:rsidR="00D1282E" w:rsidRPr="00B65BEA"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Committee on the Rights of Persons with Disabilities, ‘Committee Experts Express Concerns about the Slow Progress in the Implementation of the Convention’, 13 September 2019. Available at: </w:t>
      </w:r>
      <w:hyperlink r:id="rId22" w:history="1">
        <w:r w:rsidRPr="007957C5">
          <w:rPr>
            <w:rStyle w:val="Hyperlink"/>
            <w:rFonts w:ascii="Avenir Roman" w:hAnsi="Avenir Roman"/>
            <w:sz w:val="16"/>
            <w:szCs w:val="16"/>
            <w:lang w:val="en-AU"/>
          </w:rPr>
          <w:t>https://www.ohchr.org/EN/NewsEvents/Pages/DisplayNews.aspx?NewsID=24989&amp;LangID=E</w:t>
        </w:r>
      </w:hyperlink>
      <w:r w:rsidRPr="007957C5">
        <w:rPr>
          <w:rFonts w:ascii="Avenir Roman" w:hAnsi="Avenir Roman"/>
          <w:sz w:val="16"/>
          <w:szCs w:val="16"/>
          <w:lang w:val="en-AU"/>
        </w:rPr>
        <w:t xml:space="preserve"> </w:t>
      </w:r>
    </w:p>
  </w:footnote>
  <w:footnote w:id="49">
    <w:p w14:paraId="2B37E549" w14:textId="3D7B3FB3"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cs="Arial"/>
          <w:sz w:val="16"/>
          <w:szCs w:val="16"/>
          <w:u w:color="BC2504"/>
        </w:rPr>
        <w:t xml:space="preserve">Australian Law Reform Commission, </w:t>
      </w:r>
      <w:r w:rsidRPr="007957C5">
        <w:rPr>
          <w:rFonts w:ascii="Avenir Roman" w:hAnsi="Avenir Roman" w:cs="Arial"/>
          <w:i/>
          <w:sz w:val="16"/>
          <w:szCs w:val="16"/>
          <w:u w:color="BC2504"/>
        </w:rPr>
        <w:t xml:space="preserve">Equality, Capacity and Disability in Commonwealth Laws, </w:t>
      </w:r>
      <w:r w:rsidRPr="007957C5">
        <w:rPr>
          <w:rFonts w:ascii="Avenir Roman" w:hAnsi="Avenir Roman" w:cs="Arial"/>
          <w:bCs/>
          <w:sz w:val="16"/>
          <w:szCs w:val="16"/>
        </w:rPr>
        <w:t xml:space="preserve">ALRC Report 124, (2014). Available at: </w:t>
      </w:r>
      <w:hyperlink r:id="rId23" w:history="1">
        <w:r w:rsidRPr="007957C5">
          <w:rPr>
            <w:rStyle w:val="Hyperlink"/>
            <w:rFonts w:ascii="Avenir Roman" w:hAnsi="Avenir Roman" w:cs="Arial"/>
            <w:bCs/>
            <w:sz w:val="16"/>
            <w:szCs w:val="16"/>
          </w:rPr>
          <w:t>https://www.alrc.gov.au/publication/equality-capacity-and-disability-in-commonwealth-laws-alrc-report-124/</w:t>
        </w:r>
      </w:hyperlink>
      <w:r w:rsidRPr="007957C5">
        <w:rPr>
          <w:rFonts w:ascii="Avenir Roman" w:hAnsi="Avenir Roman" w:cs="Arial"/>
          <w:bCs/>
          <w:sz w:val="16"/>
          <w:szCs w:val="16"/>
        </w:rPr>
        <w:t xml:space="preserve"> </w:t>
      </w:r>
    </w:p>
  </w:footnote>
  <w:footnote w:id="50">
    <w:p w14:paraId="2D1E8600" w14:textId="0E1C2117"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Ibid. p. 11.</w:t>
      </w:r>
    </w:p>
  </w:footnote>
  <w:footnote w:id="51">
    <w:p w14:paraId="79987E10" w14:textId="48101B51"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Para 24 (b).</w:t>
      </w:r>
    </w:p>
  </w:footnote>
  <w:footnote w:id="52">
    <w:p w14:paraId="26392BF2" w14:textId="36A32471" w:rsidR="00D1282E" w:rsidRPr="007957C5"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i/>
          <w:sz w:val="16"/>
          <w:szCs w:val="16"/>
        </w:rPr>
        <w:t>International Covenant on Civil and Political Rights</w:t>
      </w:r>
      <w:r w:rsidRPr="007957C5">
        <w:rPr>
          <w:rFonts w:ascii="Avenir Roman" w:hAnsi="Avenir Roman"/>
          <w:sz w:val="16"/>
          <w:szCs w:val="16"/>
          <w:lang w:val="en-AU"/>
        </w:rPr>
        <w:t>, op. cit., art. 9.</w:t>
      </w:r>
    </w:p>
  </w:footnote>
  <w:footnote w:id="53">
    <w:p w14:paraId="7A579F4E" w14:textId="68A9FE0E" w:rsidR="00D1282E" w:rsidRPr="0020650B" w:rsidRDefault="00D1282E" w:rsidP="007957C5">
      <w:pPr>
        <w:pStyle w:val="FootnoteText"/>
        <w:spacing w:after="0" w:line="240" w:lineRule="auto"/>
        <w:jc w:val="left"/>
        <w:rPr>
          <w:rFonts w:ascii="Avenir Roman" w:hAnsi="Avenir Roman"/>
          <w:sz w:val="16"/>
          <w:szCs w:val="16"/>
          <w:lang w:val="en-AU"/>
        </w:rPr>
      </w:pPr>
      <w:r w:rsidRPr="007957C5">
        <w:rPr>
          <w:rStyle w:val="FootnoteReference"/>
          <w:rFonts w:ascii="Avenir Roman" w:hAnsi="Avenir Roman"/>
          <w:sz w:val="16"/>
          <w:szCs w:val="16"/>
        </w:rPr>
        <w:footnoteRef/>
      </w:r>
      <w:r w:rsidRPr="007957C5">
        <w:rPr>
          <w:rFonts w:ascii="Avenir Roman" w:hAnsi="Avenir Roman"/>
          <w:sz w:val="16"/>
          <w:szCs w:val="16"/>
        </w:rPr>
        <w:t xml:space="preserve"> </w:t>
      </w:r>
      <w:r w:rsidRPr="007957C5">
        <w:rPr>
          <w:rFonts w:ascii="Avenir Roman" w:hAnsi="Avenir Roman"/>
          <w:sz w:val="16"/>
          <w:szCs w:val="16"/>
          <w:lang w:val="en-AU"/>
        </w:rPr>
        <w:t xml:space="preserve">French, P, </w:t>
      </w:r>
      <w:r w:rsidRPr="007957C5">
        <w:rPr>
          <w:rFonts w:ascii="Avenir Roman" w:hAnsi="Avenir Roman"/>
          <w:i/>
          <w:sz w:val="16"/>
          <w:szCs w:val="16"/>
          <w:lang w:val="en-AU"/>
        </w:rPr>
        <w:t xml:space="preserve">Accommodating Human Rights: A human rights perspective on housing, and housing and support, for persons with disability, </w:t>
      </w:r>
      <w:r w:rsidRPr="007957C5">
        <w:rPr>
          <w:rFonts w:ascii="Avenir Roman" w:hAnsi="Avenir Roman"/>
          <w:sz w:val="16"/>
          <w:szCs w:val="16"/>
          <w:lang w:val="en-AU"/>
        </w:rPr>
        <w:t xml:space="preserve">People with Disability Australia, 2009, p. 30. Available at: </w:t>
      </w:r>
      <w:hyperlink r:id="rId24" w:history="1">
        <w:r w:rsidRPr="007957C5">
          <w:rPr>
            <w:rStyle w:val="Hyperlink"/>
            <w:rFonts w:ascii="Avenir Roman" w:hAnsi="Avenir Roman"/>
            <w:sz w:val="16"/>
            <w:szCs w:val="16"/>
            <w:lang w:val="en-AU"/>
          </w:rPr>
          <w:t>https://pwd.org.au/resources/library/reports/</w:t>
        </w:r>
      </w:hyperlink>
      <w:r w:rsidRPr="0020650B">
        <w:rPr>
          <w:rFonts w:ascii="Avenir Roman" w:hAnsi="Avenir Roman"/>
          <w:sz w:val="16"/>
          <w:szCs w:val="16"/>
          <w:lang w:val="en-AU"/>
        </w:rPr>
        <w:t xml:space="preserve"> </w:t>
      </w:r>
    </w:p>
  </w:footnote>
  <w:footnote w:id="54">
    <w:p w14:paraId="0E875C9D" w14:textId="77777777"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sz w:val="16"/>
          <w:szCs w:val="16"/>
          <w:lang w:val="en-AU"/>
        </w:rPr>
        <w:t>Ibid. p. 31.</w:t>
      </w:r>
    </w:p>
  </w:footnote>
  <w:footnote w:id="55">
    <w:p w14:paraId="0A587AA8" w14:textId="016A7B10"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Ms Pauline Williams in </w:t>
      </w:r>
      <w:r w:rsidRPr="00E50CD5">
        <w:rPr>
          <w:rFonts w:ascii="Avenir Roman" w:hAnsi="Avenir Roman"/>
          <w:sz w:val="16"/>
          <w:szCs w:val="16"/>
          <w:lang w:val="en-AU"/>
        </w:rPr>
        <w:t xml:space="preserve">Royal Commission into Violence, Abuse, Neglect and Exploitation of People with Disability, </w:t>
      </w:r>
      <w:r w:rsidRPr="00E50CD5">
        <w:rPr>
          <w:rFonts w:ascii="Avenir Roman" w:hAnsi="Avenir Roman"/>
          <w:i/>
          <w:sz w:val="16"/>
          <w:szCs w:val="16"/>
          <w:lang w:val="en-AU"/>
        </w:rPr>
        <w:t xml:space="preserve">Transcript of Proceedings, </w:t>
      </w:r>
      <w:r w:rsidRPr="00E50CD5">
        <w:rPr>
          <w:rFonts w:ascii="Avenir Roman" w:hAnsi="Avenir Roman"/>
          <w:sz w:val="16"/>
          <w:szCs w:val="16"/>
          <w:lang w:val="en-AU"/>
        </w:rPr>
        <w:t>Melbourne</w:t>
      </w:r>
      <w:r w:rsidRPr="00E50CD5">
        <w:rPr>
          <w:rFonts w:ascii="Avenir Roman" w:hAnsi="Avenir Roman"/>
          <w:i/>
          <w:sz w:val="16"/>
          <w:szCs w:val="16"/>
          <w:lang w:val="en-AU"/>
        </w:rPr>
        <w:t xml:space="preserve">, </w:t>
      </w:r>
      <w:r w:rsidRPr="00E50CD5">
        <w:rPr>
          <w:rFonts w:ascii="Avenir Roman" w:hAnsi="Avenir Roman"/>
          <w:sz w:val="16"/>
          <w:szCs w:val="16"/>
          <w:lang w:val="en-AU"/>
        </w:rPr>
        <w:t xml:space="preserve">5 December 2019, p. 347.  Available at: </w:t>
      </w:r>
      <w:hyperlink r:id="rId25" w:history="1">
        <w:r w:rsidRPr="00E50CD5">
          <w:rPr>
            <w:rStyle w:val="Hyperlink"/>
            <w:rFonts w:ascii="Avenir Roman" w:hAnsi="Avenir Roman"/>
            <w:sz w:val="16"/>
            <w:szCs w:val="16"/>
            <w:lang w:val="en-AU"/>
          </w:rPr>
          <w:t>https://disability.royalcommission.gov.au/publications/transcript-5-december-2019</w:t>
        </w:r>
      </w:hyperlink>
    </w:p>
  </w:footnote>
  <w:footnote w:id="56">
    <w:p w14:paraId="7B0DBD98" w14:textId="0A70F5DB"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Dr. George Taleporos, </w:t>
      </w:r>
      <w:r w:rsidRPr="00E50CD5">
        <w:rPr>
          <w:rFonts w:ascii="Avenir Roman" w:hAnsi="Avenir Roman"/>
          <w:sz w:val="16"/>
          <w:szCs w:val="16"/>
          <w:lang w:val="en-AU"/>
        </w:rPr>
        <w:t>Ibid. p. 374</w:t>
      </w:r>
    </w:p>
  </w:footnote>
  <w:footnote w:id="57">
    <w:p w14:paraId="65282AA5" w14:textId="580CA197" w:rsidR="00D1282E" w:rsidRPr="005866EC" w:rsidRDefault="00D1282E" w:rsidP="00E50CD5">
      <w:pPr>
        <w:pStyle w:val="FootnoteText"/>
        <w:spacing w:after="0" w:line="240" w:lineRule="auto"/>
        <w:jc w:val="left"/>
        <w:rPr>
          <w:rFonts w:ascii="Avenir Roman" w:hAnsi="Avenir Roman"/>
          <w:color w:val="000000" w:themeColor="text1"/>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Office of the Public Advocate, </w:t>
      </w:r>
      <w:r w:rsidRPr="00E50CD5">
        <w:rPr>
          <w:rFonts w:ascii="Avenir Roman" w:hAnsi="Avenir Roman"/>
          <w:i/>
          <w:sz w:val="16"/>
          <w:szCs w:val="16"/>
        </w:rPr>
        <w:t>“I’m too scared to come out of my room” – Preventing and responding to violence and abuse between co-residents in group homes</w:t>
      </w:r>
      <w:r w:rsidRPr="00E50CD5">
        <w:rPr>
          <w:rFonts w:ascii="Avenir Roman" w:hAnsi="Avenir Roman"/>
          <w:sz w:val="16"/>
          <w:szCs w:val="16"/>
        </w:rPr>
        <w:t xml:space="preserve">, Office of the Public Advocate Victoria, November 2019, p. 26. Available at: </w:t>
      </w:r>
      <w:hyperlink r:id="rId26" w:history="1">
        <w:r w:rsidRPr="00E50CD5">
          <w:rPr>
            <w:rStyle w:val="Hyperlink"/>
            <w:rFonts w:ascii="Avenir Roman" w:hAnsi="Avenir Roman"/>
            <w:sz w:val="16"/>
            <w:szCs w:val="16"/>
          </w:rPr>
          <w:t>https://www.publicadvocate.vic.gov.au/resources/submissions/royal-commission-into-violence-abuse-neglect-and-exploitation-in-disability-care/647-preventing-and-responding-to-violence-and-abuse-between-co-residents-in-group-homes/file</w:t>
        </w:r>
      </w:hyperlink>
      <w:r w:rsidRPr="00E50CD5">
        <w:rPr>
          <w:rStyle w:val="Hyperlink"/>
          <w:rFonts w:ascii="Avenir Roman" w:hAnsi="Avenir Roman"/>
          <w:sz w:val="16"/>
          <w:szCs w:val="16"/>
        </w:rPr>
        <w:t xml:space="preserve"> </w:t>
      </w:r>
      <w:r w:rsidRPr="00E50CD5">
        <w:rPr>
          <w:rStyle w:val="Hyperlink"/>
          <w:rFonts w:ascii="Avenir Roman" w:hAnsi="Avenir Roman"/>
          <w:color w:val="000000" w:themeColor="text1"/>
          <w:sz w:val="16"/>
          <w:szCs w:val="16"/>
          <w:u w:val="none"/>
        </w:rPr>
        <w:t>; see also, Joint</w:t>
      </w:r>
      <w:r>
        <w:rPr>
          <w:rStyle w:val="Hyperlink"/>
          <w:rFonts w:ascii="Avenir Roman" w:hAnsi="Avenir Roman"/>
          <w:color w:val="000000" w:themeColor="text1"/>
          <w:sz w:val="16"/>
          <w:szCs w:val="16"/>
          <w:u w:val="none"/>
        </w:rPr>
        <w:t xml:space="preserve"> Standing Committee on the National Disability Insurance Scheme, </w:t>
      </w:r>
      <w:r>
        <w:rPr>
          <w:rStyle w:val="Hyperlink"/>
          <w:rFonts w:ascii="Avenir Roman" w:hAnsi="Avenir Roman"/>
          <w:i/>
          <w:color w:val="000000" w:themeColor="text1"/>
          <w:sz w:val="16"/>
          <w:szCs w:val="16"/>
          <w:u w:val="none"/>
        </w:rPr>
        <w:t>Report into Supported Independent Living</w:t>
      </w:r>
      <w:r>
        <w:rPr>
          <w:rStyle w:val="Hyperlink"/>
          <w:rFonts w:ascii="Avenir Roman" w:hAnsi="Avenir Roman"/>
          <w:color w:val="000000" w:themeColor="text1"/>
          <w:sz w:val="16"/>
          <w:szCs w:val="16"/>
          <w:u w:val="none"/>
        </w:rPr>
        <w:t xml:space="preserve"> (May 2020), op. cit., pp. 67-69. </w:t>
      </w:r>
    </w:p>
  </w:footnote>
  <w:footnote w:id="58">
    <w:p w14:paraId="2D1473CA" w14:textId="1687B8AC"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Office of the Public Advocate, </w:t>
      </w:r>
      <w:r w:rsidRPr="00E50CD5">
        <w:rPr>
          <w:rFonts w:ascii="Avenir Roman" w:hAnsi="Avenir Roman"/>
          <w:sz w:val="16"/>
          <w:szCs w:val="16"/>
          <w:lang w:val="en-AU"/>
        </w:rPr>
        <w:t>Ibid. p. 26.</w:t>
      </w:r>
    </w:p>
  </w:footnote>
  <w:footnote w:id="59">
    <w:p w14:paraId="7475DCBE" w14:textId="654EDBEA"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sz w:val="16"/>
          <w:szCs w:val="16"/>
          <w:lang w:val="en-AU"/>
        </w:rPr>
        <w:t xml:space="preserve">National Disability Insurance Agency, </w:t>
      </w:r>
      <w:r w:rsidRPr="00E50CD5">
        <w:rPr>
          <w:rFonts w:ascii="Avenir Roman" w:hAnsi="Avenir Roman"/>
          <w:i/>
          <w:sz w:val="16"/>
          <w:szCs w:val="16"/>
          <w:lang w:val="en-AU"/>
        </w:rPr>
        <w:t>Specialist Disability Accommodation Provider and Investor Brief</w:t>
      </w:r>
      <w:r w:rsidRPr="00E50CD5">
        <w:rPr>
          <w:rFonts w:ascii="Avenir Roman" w:hAnsi="Avenir Roman"/>
          <w:sz w:val="16"/>
          <w:szCs w:val="16"/>
          <w:lang w:val="en-AU"/>
        </w:rPr>
        <w:t xml:space="preserve"> (April 2018). Available at: </w:t>
      </w:r>
      <w:hyperlink r:id="rId27" w:history="1">
        <w:r w:rsidRPr="00E50CD5">
          <w:rPr>
            <w:rStyle w:val="Hyperlink"/>
            <w:rFonts w:ascii="Avenir Roman" w:hAnsi="Avenir Roman"/>
            <w:sz w:val="16"/>
            <w:szCs w:val="16"/>
            <w:lang w:val="en-AU"/>
          </w:rPr>
          <w:t>https://www.ndis.gov.au/providers/housing-and-living-supports-and-services/housing/specialist-disability-accommodation/sda-provider-and-investor-brief</w:t>
        </w:r>
      </w:hyperlink>
      <w:r w:rsidRPr="00E50CD5">
        <w:rPr>
          <w:rFonts w:ascii="Avenir Roman" w:hAnsi="Avenir Roman"/>
          <w:sz w:val="16"/>
          <w:szCs w:val="16"/>
          <w:lang w:val="en-AU"/>
        </w:rPr>
        <w:t xml:space="preserve">   </w:t>
      </w:r>
    </w:p>
  </w:footnote>
  <w:footnote w:id="60">
    <w:p w14:paraId="438501FE" w14:textId="4367309A"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‘Joint statement on the NDIA’s Specialist Disability Accommodation Provider and Investor Brief’, 14 May 2018. Available at: </w:t>
      </w:r>
      <w:hyperlink r:id="rId28" w:history="1">
        <w:r w:rsidRPr="00E50CD5">
          <w:rPr>
            <w:rStyle w:val="Hyperlink"/>
            <w:rFonts w:ascii="Avenir Roman" w:hAnsi="Avenir Roman"/>
            <w:sz w:val="16"/>
            <w:szCs w:val="16"/>
          </w:rPr>
          <w:t>https://dpoa.org.au/wp-content/uploads/2018/05/Joint-Statement-on-the-NDIA’s-SDA-Provider-Investor-Brief.pdf</w:t>
        </w:r>
      </w:hyperlink>
      <w:r w:rsidRPr="00E50CD5">
        <w:rPr>
          <w:rFonts w:ascii="Avenir Roman" w:hAnsi="Avenir Roman"/>
          <w:sz w:val="16"/>
          <w:szCs w:val="16"/>
        </w:rPr>
        <w:t xml:space="preserve"> </w:t>
      </w:r>
    </w:p>
  </w:footnote>
  <w:footnote w:id="61">
    <w:p w14:paraId="52085F8F" w14:textId="1E429BBA"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Style w:val="Hyperlink"/>
          <w:rFonts w:ascii="Avenir Roman" w:hAnsi="Avenir Roman"/>
          <w:color w:val="000000" w:themeColor="text1"/>
          <w:sz w:val="16"/>
          <w:szCs w:val="16"/>
          <w:u w:val="none"/>
        </w:rPr>
        <w:t>Joint Standing Committee on the National Disability Insurance Scheme, op. cit., p. xviii.</w:t>
      </w:r>
    </w:p>
  </w:footnote>
  <w:footnote w:id="62">
    <w:p w14:paraId="39ADAB0C" w14:textId="4BC6BC14"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sz w:val="16"/>
          <w:szCs w:val="16"/>
          <w:lang w:val="en-AU"/>
        </w:rPr>
        <w:t>Ibid.</w:t>
      </w:r>
    </w:p>
  </w:footnote>
  <w:footnote w:id="63">
    <w:p w14:paraId="494D6F2E" w14:textId="41E1F655" w:rsidR="00D1282E" w:rsidRPr="0020650B"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sz w:val="16"/>
          <w:szCs w:val="16"/>
          <w:lang w:val="en-AU"/>
        </w:rPr>
        <w:t xml:space="preserve">Committee on Economic, Social and Cultural Rights, </w:t>
      </w:r>
      <w:r w:rsidRPr="00E50CD5">
        <w:rPr>
          <w:rFonts w:ascii="Avenir Roman" w:hAnsi="Avenir Roman"/>
          <w:i/>
          <w:sz w:val="16"/>
          <w:szCs w:val="16"/>
          <w:lang w:val="en-AU"/>
        </w:rPr>
        <w:t>General comment No. 5: Persons with disabilities</w:t>
      </w:r>
      <w:r w:rsidRPr="00E50CD5">
        <w:rPr>
          <w:rFonts w:ascii="Avenir Roman" w:hAnsi="Avenir Roman"/>
          <w:sz w:val="16"/>
          <w:szCs w:val="16"/>
          <w:lang w:val="en-AU"/>
        </w:rPr>
        <w:t xml:space="preserve">, eleventh session 1994, UN Doc </w:t>
      </w:r>
      <w:r w:rsidRPr="00E50CD5">
        <w:rPr>
          <w:rFonts w:ascii="Avenir Roman" w:hAnsi="Avenir Roman"/>
          <w:sz w:val="16"/>
          <w:szCs w:val="16"/>
        </w:rPr>
        <w:t xml:space="preserve">E/1995/22, para. 15; </w:t>
      </w:r>
      <w:r w:rsidRPr="00E50CD5">
        <w:rPr>
          <w:rFonts w:ascii="Avenir Roman" w:hAnsi="Avenir Roman" w:cs="Helvetica-BoldOblique"/>
          <w:bCs/>
          <w:i/>
          <w:iCs/>
          <w:sz w:val="16"/>
          <w:szCs w:val="16"/>
          <w:lang w:val="en-US" w:bidi="en-US"/>
        </w:rPr>
        <w:t>Brown v. Board of Education of Topeka</w:t>
      </w:r>
      <w:r w:rsidRPr="00E50CD5">
        <w:rPr>
          <w:rFonts w:ascii="Avenir Roman" w:hAnsi="Avenir Roman" w:cs="Helvetica"/>
          <w:sz w:val="16"/>
          <w:szCs w:val="16"/>
          <w:lang w:val="en-US" w:bidi="en-US"/>
        </w:rPr>
        <w:t xml:space="preserve">, 347 U.S. 483 (1954); </w:t>
      </w:r>
      <w:r w:rsidRPr="00E50CD5">
        <w:rPr>
          <w:rFonts w:ascii="Avenir Roman" w:hAnsi="Avenir Roman"/>
          <w:i/>
          <w:sz w:val="16"/>
          <w:szCs w:val="16"/>
          <w:lang w:val="en-US"/>
        </w:rPr>
        <w:t>Olmstead v L.C.</w:t>
      </w:r>
      <w:r w:rsidRPr="00E50CD5">
        <w:rPr>
          <w:rFonts w:ascii="Avenir Roman" w:hAnsi="Avenir Roman"/>
          <w:sz w:val="16"/>
          <w:szCs w:val="16"/>
          <w:lang w:val="en-US"/>
        </w:rPr>
        <w:t xml:space="preserve"> 527 U.S. 581 (1999).</w:t>
      </w:r>
      <w:r w:rsidRPr="0020650B">
        <w:rPr>
          <w:rFonts w:ascii="Avenir Roman" w:hAnsi="Avenir Roman"/>
          <w:sz w:val="16"/>
          <w:szCs w:val="16"/>
          <w:lang w:val="en-US"/>
        </w:rPr>
        <w:t xml:space="preserve"> </w:t>
      </w:r>
    </w:p>
  </w:footnote>
  <w:footnote w:id="64">
    <w:p w14:paraId="7E24258D" w14:textId="3766C3B4"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sz w:val="16"/>
          <w:szCs w:val="16"/>
          <w:lang w:val="en-AU"/>
        </w:rPr>
        <w:t xml:space="preserve">Committee on the Rights of Persons with Disabilities, </w:t>
      </w:r>
      <w:r w:rsidRPr="00E50CD5">
        <w:rPr>
          <w:rFonts w:ascii="Avenir Roman" w:hAnsi="Avenir Roman"/>
          <w:i/>
          <w:sz w:val="16"/>
          <w:szCs w:val="16"/>
          <w:lang w:val="en-AU"/>
        </w:rPr>
        <w:t xml:space="preserve">General comment No. 6 (2018) on equality and non-discrimination, </w:t>
      </w:r>
      <w:r w:rsidRPr="00E50CD5">
        <w:rPr>
          <w:rFonts w:ascii="Avenir Roman" w:hAnsi="Avenir Roman"/>
          <w:sz w:val="16"/>
          <w:szCs w:val="16"/>
          <w:lang w:val="en-AU"/>
        </w:rPr>
        <w:t xml:space="preserve">26 April 2018, UN Doc: CRPD/C/GC/6, para 58. Available at: </w:t>
      </w:r>
      <w:hyperlink r:id="rId29" w:history="1">
        <w:r w:rsidRPr="00E50CD5">
          <w:rPr>
            <w:rStyle w:val="Hyperlink"/>
            <w:rFonts w:ascii="Avenir Roman" w:hAnsi="Avenir Roman"/>
            <w:sz w:val="16"/>
            <w:szCs w:val="16"/>
            <w:lang w:val="en-AU"/>
          </w:rPr>
          <w:t>https://www.ohchr.org/EN/HRBodies/CRPD/Pages/GC.aspx</w:t>
        </w:r>
      </w:hyperlink>
    </w:p>
  </w:footnote>
  <w:footnote w:id="65">
    <w:p w14:paraId="2D8DEA7A" w14:textId="6AFAC43A"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National Disability Insurance Scheme, ‘Specialist Disability Accommodation’ (website information). Available at: </w:t>
      </w:r>
      <w:hyperlink r:id="rId30" w:history="1">
        <w:r w:rsidRPr="00E50CD5">
          <w:rPr>
            <w:rStyle w:val="Hyperlink"/>
            <w:rFonts w:ascii="Avenir Roman" w:hAnsi="Avenir Roman"/>
            <w:sz w:val="16"/>
            <w:szCs w:val="16"/>
          </w:rPr>
          <w:t>https://www.ndis.gov.au/providers/housing-and-living-supports-and-services/housing/specialist-disability-accommodation</w:t>
        </w:r>
      </w:hyperlink>
      <w:r w:rsidRPr="00E50CD5">
        <w:rPr>
          <w:rFonts w:ascii="Avenir Roman" w:hAnsi="Avenir Roman"/>
          <w:sz w:val="16"/>
          <w:szCs w:val="16"/>
        </w:rPr>
        <w:t xml:space="preserve"> </w:t>
      </w:r>
    </w:p>
  </w:footnote>
  <w:footnote w:id="66">
    <w:p w14:paraId="059C6DC0" w14:textId="0AF8D362"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Summer Foundation and Social Ventures Australia, </w:t>
      </w:r>
      <w:r w:rsidRPr="00E50CD5">
        <w:rPr>
          <w:rFonts w:ascii="Avenir Roman" w:hAnsi="Avenir Roman"/>
          <w:i/>
          <w:sz w:val="16"/>
          <w:szCs w:val="16"/>
        </w:rPr>
        <w:t>Specialist Disability Accommodation Supply in Australia</w:t>
      </w:r>
      <w:r w:rsidRPr="00E50CD5">
        <w:rPr>
          <w:rFonts w:ascii="Avenir Roman" w:hAnsi="Avenir Roman"/>
          <w:sz w:val="16"/>
          <w:szCs w:val="16"/>
        </w:rPr>
        <w:t xml:space="preserve">, Summer Foundation (March 2020), p. 2.  Available at: </w:t>
      </w:r>
      <w:hyperlink r:id="rId31" w:history="1">
        <w:r w:rsidRPr="00E50CD5">
          <w:rPr>
            <w:rStyle w:val="Hyperlink"/>
            <w:rFonts w:ascii="Avenir Roman" w:hAnsi="Avenir Roman"/>
            <w:sz w:val="16"/>
            <w:szCs w:val="16"/>
          </w:rPr>
          <w:t>https://www.socialventures.com.au/assets/Specialist-Disability-Accommodation-Supply-in-Australia-March-2020-webres.pdf</w:t>
        </w:r>
      </w:hyperlink>
      <w:r w:rsidRPr="00E50CD5">
        <w:rPr>
          <w:rFonts w:ascii="Avenir Roman" w:hAnsi="Avenir Roman"/>
          <w:sz w:val="16"/>
          <w:szCs w:val="16"/>
        </w:rPr>
        <w:t xml:space="preserve"> </w:t>
      </w:r>
    </w:p>
  </w:footnote>
  <w:footnote w:id="67">
    <w:p w14:paraId="30664E2D" w14:textId="399286DC"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National Disability Insurance Scheme, ‘Specialist Disability Accommodation’, op. cit.</w:t>
      </w:r>
    </w:p>
  </w:footnote>
  <w:footnote w:id="68">
    <w:p w14:paraId="022EAC4C" w14:textId="317A87A4" w:rsidR="00D1282E" w:rsidRPr="00E95F88" w:rsidRDefault="00D1282E" w:rsidP="00E50CD5">
      <w:pPr>
        <w:pStyle w:val="FootnoteText"/>
        <w:spacing w:after="0" w:line="240" w:lineRule="auto"/>
        <w:jc w:val="left"/>
        <w:rPr>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Summer Foundation and Social Ventures Australia, op. cit., p. 7.</w:t>
      </w:r>
    </w:p>
  </w:footnote>
  <w:footnote w:id="69">
    <w:p w14:paraId="2F4C25BE" w14:textId="7F1A2CF8" w:rsidR="00D1282E" w:rsidRPr="00E50CD5" w:rsidRDefault="00D1282E" w:rsidP="00E50CD5">
      <w:pPr>
        <w:pStyle w:val="FootnoteText"/>
        <w:spacing w:after="0" w:line="240" w:lineRule="auto"/>
        <w:jc w:val="left"/>
        <w:rPr>
          <w:rFonts w:ascii="Avenir Roman" w:hAnsi="Avenir Roman"/>
          <w:sz w:val="16"/>
          <w:szCs w:val="16"/>
          <w:lang w:val="en-AU"/>
        </w:rPr>
      </w:pPr>
      <w:r w:rsidRPr="00A620BC">
        <w:rPr>
          <w:rStyle w:val="FootnoteReference"/>
          <w:rFonts w:ascii="Avenir Roman" w:hAnsi="Avenir Roman"/>
          <w:sz w:val="16"/>
          <w:szCs w:val="16"/>
        </w:rPr>
        <w:footnoteRef/>
      </w:r>
      <w:r w:rsidRPr="00A620BC">
        <w:rPr>
          <w:rFonts w:ascii="Avenir Roman" w:hAnsi="Avenir Roman"/>
          <w:sz w:val="16"/>
          <w:szCs w:val="16"/>
        </w:rPr>
        <w:t xml:space="preserve"> </w:t>
      </w:r>
      <w:r w:rsidRPr="00E50CD5">
        <w:rPr>
          <w:rFonts w:ascii="Avenir Roman" w:hAnsi="Avenir Roman"/>
          <w:sz w:val="16"/>
          <w:szCs w:val="16"/>
          <w:lang w:val="en-AU"/>
        </w:rPr>
        <w:t xml:space="preserve">Independent Advisory Council to the NDIS, </w:t>
      </w:r>
      <w:r w:rsidRPr="00E50CD5">
        <w:rPr>
          <w:rFonts w:ascii="Avenir Roman" w:hAnsi="Avenir Roman"/>
          <w:i/>
          <w:sz w:val="16"/>
          <w:szCs w:val="16"/>
          <w:lang w:val="en-AU"/>
        </w:rPr>
        <w:t xml:space="preserve">Pathways to contemporary options of housing and support </w:t>
      </w:r>
      <w:r w:rsidRPr="00E50CD5">
        <w:rPr>
          <w:rFonts w:ascii="Avenir Roman" w:hAnsi="Avenir Roman"/>
          <w:sz w:val="16"/>
          <w:szCs w:val="16"/>
          <w:lang w:val="en-AU"/>
        </w:rPr>
        <w:t xml:space="preserve">(2018). </w:t>
      </w:r>
    </w:p>
  </w:footnote>
  <w:footnote w:id="70">
    <w:p w14:paraId="2428A4E3" w14:textId="77777777"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sz w:val="16"/>
          <w:szCs w:val="16"/>
          <w:lang w:val="en-AU"/>
        </w:rPr>
        <w:t xml:space="preserve">French, P, op. cit., p. 26. </w:t>
      </w:r>
    </w:p>
  </w:footnote>
  <w:footnote w:id="71">
    <w:p w14:paraId="018F6DBC" w14:textId="67374437"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i/>
          <w:sz w:val="16"/>
          <w:szCs w:val="16"/>
        </w:rPr>
        <w:t xml:space="preserve">Convention on the Rights of Persons with Disabilities, </w:t>
      </w:r>
      <w:r w:rsidRPr="00E50CD5">
        <w:rPr>
          <w:rFonts w:ascii="Avenir Roman" w:hAnsi="Avenir Roman"/>
          <w:sz w:val="16"/>
          <w:szCs w:val="16"/>
        </w:rPr>
        <w:t>op. cit., art 28.</w:t>
      </w:r>
    </w:p>
  </w:footnote>
  <w:footnote w:id="72">
    <w:p w14:paraId="0C6D9D68" w14:textId="77777777" w:rsidR="00D1282E" w:rsidRPr="00514A42" w:rsidRDefault="00D1282E" w:rsidP="00E50CD5">
      <w:pPr>
        <w:pStyle w:val="FootnoteText"/>
        <w:spacing w:after="0" w:line="240" w:lineRule="auto"/>
        <w:jc w:val="left"/>
        <w:rPr>
          <w:rFonts w:ascii="Avenir Roman" w:hAnsi="Avenir Roman"/>
          <w:i/>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sz w:val="16"/>
          <w:szCs w:val="16"/>
          <w:lang w:val="en-AU"/>
        </w:rPr>
        <w:t xml:space="preserve">PWC, </w:t>
      </w:r>
      <w:r w:rsidRPr="00E50CD5">
        <w:rPr>
          <w:rFonts w:ascii="Avenir Roman" w:hAnsi="Avenir Roman"/>
          <w:i/>
          <w:sz w:val="16"/>
          <w:szCs w:val="16"/>
          <w:lang w:val="en-AU"/>
        </w:rPr>
        <w:t xml:space="preserve">Disability expectations: Investing in a better life, a stronger Australia </w:t>
      </w:r>
      <w:r w:rsidRPr="00E50CD5">
        <w:rPr>
          <w:rFonts w:ascii="Avenir Roman" w:hAnsi="Avenir Roman"/>
          <w:sz w:val="16"/>
          <w:szCs w:val="16"/>
          <w:lang w:val="en-AU"/>
        </w:rPr>
        <w:t xml:space="preserve">(November 2011) p.11. Available at: </w:t>
      </w:r>
      <w:hyperlink r:id="rId32" w:history="1">
        <w:r w:rsidRPr="00E50CD5">
          <w:rPr>
            <w:rStyle w:val="Hyperlink"/>
            <w:rFonts w:ascii="Avenir Roman" w:hAnsi="Avenir Roman"/>
            <w:sz w:val="16"/>
            <w:szCs w:val="16"/>
            <w:lang w:val="en-AU"/>
          </w:rPr>
          <w:t>https://www.pwc.com.au/industry/government/assets/disability-in-australia.pdf</w:t>
        </w:r>
      </w:hyperlink>
      <w:r w:rsidRPr="00514A42">
        <w:rPr>
          <w:rFonts w:ascii="Avenir Roman" w:hAnsi="Avenir Roman"/>
          <w:sz w:val="16"/>
          <w:szCs w:val="16"/>
          <w:lang w:val="en-AU"/>
        </w:rPr>
        <w:t xml:space="preserve"> </w:t>
      </w:r>
    </w:p>
  </w:footnote>
  <w:footnote w:id="73">
    <w:p w14:paraId="0968C0D3" w14:textId="7559378F" w:rsidR="00D1282E" w:rsidRPr="00B534BC" w:rsidRDefault="00D1282E" w:rsidP="00E50CD5">
      <w:pPr>
        <w:pStyle w:val="FootnoteText"/>
        <w:spacing w:after="0" w:line="240" w:lineRule="auto"/>
        <w:rPr>
          <w:lang w:val="en-AU"/>
        </w:rPr>
      </w:pPr>
      <w:r>
        <w:rPr>
          <w:rStyle w:val="FootnoteReference"/>
        </w:rPr>
        <w:footnoteRef/>
      </w:r>
      <w:r>
        <w:t xml:space="preserve"> </w:t>
      </w:r>
      <w:r w:rsidRPr="000770B6">
        <w:rPr>
          <w:rFonts w:ascii="Avenir Book" w:hAnsi="Avenir Book" w:cstheme="minorHAnsi"/>
          <w:sz w:val="16"/>
          <w:szCs w:val="16"/>
        </w:rPr>
        <w:t xml:space="preserve">Disabled People’s Organisations Australia and the National Women’s Alliances, </w:t>
      </w:r>
      <w:r w:rsidRPr="000770B6">
        <w:rPr>
          <w:rFonts w:ascii="Avenir Book" w:hAnsi="Avenir Book" w:cstheme="minorHAnsi"/>
          <w:i/>
          <w:sz w:val="16"/>
          <w:szCs w:val="16"/>
        </w:rPr>
        <w:t>The Status of Women and Girls with Disability in Australia</w:t>
      </w:r>
      <w:r w:rsidRPr="000770B6">
        <w:rPr>
          <w:rFonts w:ascii="Avenir Book" w:hAnsi="Avenir Book" w:cstheme="minorHAnsi"/>
          <w:sz w:val="16"/>
          <w:szCs w:val="16"/>
        </w:rPr>
        <w:t xml:space="preserve">, Position Statement to the </w:t>
      </w:r>
      <w:r>
        <w:rPr>
          <w:rFonts w:ascii="Avenir Book" w:hAnsi="Avenir Book" w:cstheme="minorHAnsi"/>
          <w:sz w:val="16"/>
          <w:szCs w:val="16"/>
        </w:rPr>
        <w:t>C</w:t>
      </w:r>
      <w:r w:rsidRPr="000770B6">
        <w:rPr>
          <w:rFonts w:ascii="Avenir Book" w:hAnsi="Avenir Book" w:cstheme="minorHAnsi"/>
          <w:sz w:val="16"/>
          <w:szCs w:val="16"/>
        </w:rPr>
        <w:t>ommission on the Status of Women (CSW) Twenty-Fifth Anniversary of the Fourth World Conference on Women and the Beijing Declaration and Platform for Action 1995, Women With Disabilities Australia, 2019, p</w:t>
      </w:r>
      <w:r>
        <w:rPr>
          <w:rFonts w:ascii="Avenir Book" w:hAnsi="Avenir Book" w:cstheme="minorHAnsi"/>
          <w:sz w:val="16"/>
          <w:szCs w:val="16"/>
        </w:rPr>
        <w:t xml:space="preserve">. 7. </w:t>
      </w:r>
      <w:hyperlink r:id="rId33" w:history="1">
        <w:r w:rsidRPr="00D40102">
          <w:rPr>
            <w:rStyle w:val="Hyperlink"/>
            <w:rFonts w:ascii="Avenir Book" w:hAnsi="Avenir Book" w:cstheme="minorHAnsi"/>
            <w:sz w:val="16"/>
            <w:szCs w:val="16"/>
          </w:rPr>
          <w:t>http://wwda.org.au/wp-content/uploads/2019/12/The-Status-of-Women-and-Girls-with-Disability-Asutralia.pdf</w:t>
        </w:r>
      </w:hyperlink>
      <w:r>
        <w:rPr>
          <w:rFonts w:ascii="Avenir Book" w:hAnsi="Avenir Book" w:cstheme="minorHAnsi"/>
          <w:sz w:val="16"/>
          <w:szCs w:val="16"/>
        </w:rPr>
        <w:t xml:space="preserve"> </w:t>
      </w:r>
    </w:p>
  </w:footnote>
  <w:footnote w:id="74">
    <w:p w14:paraId="09C8860C" w14:textId="6795B11F" w:rsidR="00D1282E" w:rsidRPr="00B534BC" w:rsidRDefault="00D1282E" w:rsidP="00E50CD5">
      <w:pPr>
        <w:pStyle w:val="FootnoteText"/>
        <w:spacing w:after="0" w:line="240" w:lineRule="auto"/>
        <w:rPr>
          <w:lang w:val="en-AU"/>
        </w:rPr>
      </w:pPr>
      <w:r>
        <w:rPr>
          <w:rStyle w:val="FootnoteReference"/>
        </w:rPr>
        <w:footnoteRef/>
      </w:r>
      <w:r>
        <w:t xml:space="preserve"> </w:t>
      </w:r>
      <w:r>
        <w:rPr>
          <w:rFonts w:ascii="Avenir Roman" w:hAnsi="Avenir Roman"/>
          <w:sz w:val="16"/>
          <w:szCs w:val="16"/>
          <w:lang w:val="en-AU"/>
        </w:rPr>
        <w:t xml:space="preserve">Committee on the Rights of Persons with Disabilities, </w:t>
      </w:r>
      <w:r w:rsidRPr="00DD0C82">
        <w:rPr>
          <w:rFonts w:ascii="Avenir Roman" w:hAnsi="Avenir Roman"/>
          <w:i/>
          <w:sz w:val="16"/>
          <w:szCs w:val="16"/>
          <w:lang w:val="en-AU"/>
        </w:rPr>
        <w:t xml:space="preserve">General comment No. 5 (2017) on living independently </w:t>
      </w:r>
      <w:r w:rsidRPr="00B65BEA">
        <w:rPr>
          <w:rFonts w:ascii="Avenir Roman" w:hAnsi="Avenir Roman"/>
          <w:i/>
          <w:sz w:val="16"/>
          <w:szCs w:val="16"/>
          <w:lang w:val="en-AU"/>
        </w:rPr>
        <w:t xml:space="preserve">and being included in the community, </w:t>
      </w:r>
      <w:r w:rsidRPr="00B65BEA">
        <w:rPr>
          <w:rFonts w:ascii="Avenir Roman" w:hAnsi="Avenir Roman"/>
          <w:sz w:val="16"/>
          <w:szCs w:val="16"/>
          <w:lang w:val="en-AU"/>
        </w:rPr>
        <w:t xml:space="preserve">op. cit., para </w:t>
      </w:r>
      <w:r>
        <w:rPr>
          <w:rFonts w:ascii="Avenir Roman" w:hAnsi="Avenir Roman"/>
          <w:sz w:val="16"/>
          <w:szCs w:val="16"/>
          <w:lang w:val="en-AU"/>
        </w:rPr>
        <w:t>72.</w:t>
      </w:r>
    </w:p>
  </w:footnote>
  <w:footnote w:id="75">
    <w:p w14:paraId="6CCAB795" w14:textId="6EAB8D42" w:rsidR="00D1282E" w:rsidRPr="00B534BC" w:rsidRDefault="00D1282E" w:rsidP="00E50CD5">
      <w:pPr>
        <w:pStyle w:val="FootnoteText"/>
        <w:spacing w:after="0" w:line="240" w:lineRule="auto"/>
        <w:rPr>
          <w:lang w:val="en-AU"/>
        </w:rPr>
      </w:pPr>
      <w:r>
        <w:rPr>
          <w:rStyle w:val="FootnoteReference"/>
        </w:rPr>
        <w:footnoteRef/>
      </w:r>
      <w:r>
        <w:t xml:space="preserve"> </w:t>
      </w:r>
      <w:r w:rsidRPr="000770B6">
        <w:rPr>
          <w:rFonts w:ascii="Avenir Book" w:hAnsi="Avenir Book" w:cstheme="minorHAnsi"/>
          <w:sz w:val="16"/>
          <w:szCs w:val="16"/>
        </w:rPr>
        <w:t>Disabled People’s Organisations Australia and the National Women’s Alliances,</w:t>
      </w:r>
      <w:r>
        <w:rPr>
          <w:rFonts w:ascii="Avenir Book" w:hAnsi="Avenir Book" w:cstheme="minorHAnsi"/>
          <w:sz w:val="16"/>
          <w:szCs w:val="16"/>
        </w:rPr>
        <w:t xml:space="preserve"> op. cit., p. 8.</w:t>
      </w:r>
    </w:p>
  </w:footnote>
  <w:footnote w:id="76">
    <w:p w14:paraId="6BECA2F9" w14:textId="443EB66D" w:rsidR="00D1282E" w:rsidRPr="00945773" w:rsidRDefault="00D1282E" w:rsidP="00E50CD5">
      <w:pPr>
        <w:pStyle w:val="FootnoteText"/>
        <w:spacing w:after="0" w:line="240" w:lineRule="auto"/>
        <w:rPr>
          <w:rFonts w:ascii="Avenir Roman" w:hAnsi="Avenir Roman"/>
          <w:sz w:val="16"/>
          <w:szCs w:val="16"/>
          <w:lang w:val="en-AU"/>
        </w:rPr>
      </w:pPr>
      <w:r w:rsidRPr="00945773">
        <w:rPr>
          <w:rStyle w:val="FootnoteReference"/>
          <w:rFonts w:ascii="Avenir Roman" w:hAnsi="Avenir Roman"/>
          <w:sz w:val="16"/>
          <w:szCs w:val="16"/>
        </w:rPr>
        <w:footnoteRef/>
      </w:r>
      <w:r w:rsidRPr="00945773">
        <w:rPr>
          <w:rFonts w:ascii="Avenir Roman" w:hAnsi="Avenir Roman"/>
          <w:sz w:val="16"/>
          <w:szCs w:val="16"/>
        </w:rPr>
        <w:t xml:space="preserve"> </w:t>
      </w:r>
      <w:r w:rsidRPr="00945773">
        <w:rPr>
          <w:rFonts w:ascii="Avenir Roman" w:hAnsi="Avenir Roman"/>
          <w:sz w:val="16"/>
          <w:szCs w:val="16"/>
          <w:lang w:val="en-AU"/>
        </w:rPr>
        <w:t xml:space="preserve">Australian Human Rights Commission, </w:t>
      </w:r>
      <w:r>
        <w:rPr>
          <w:rFonts w:ascii="Avenir Roman" w:hAnsi="Avenir Roman"/>
          <w:sz w:val="16"/>
          <w:szCs w:val="16"/>
          <w:lang w:val="en-AU"/>
        </w:rPr>
        <w:t xml:space="preserve">‘Older Women’s Risk of Homelessness: Background Paper – exploring a growing problem’ (April 2019). </w:t>
      </w:r>
      <w:r w:rsidRPr="00945773">
        <w:rPr>
          <w:rFonts w:ascii="Avenir Roman" w:hAnsi="Avenir Roman"/>
          <w:sz w:val="16"/>
          <w:szCs w:val="16"/>
          <w:lang w:val="en-AU"/>
        </w:rPr>
        <w:t xml:space="preserve">Available at: </w:t>
      </w:r>
      <w:hyperlink r:id="rId34" w:history="1">
        <w:r w:rsidRPr="00945773">
          <w:rPr>
            <w:rStyle w:val="Hyperlink"/>
            <w:rFonts w:ascii="Avenir Roman" w:hAnsi="Avenir Roman"/>
            <w:sz w:val="16"/>
            <w:szCs w:val="16"/>
          </w:rPr>
          <w:t>https://humanrights.gov.au/our-work/age-discrimination/projects/risk-homelessness-older-women</w:t>
        </w:r>
      </w:hyperlink>
      <w:r w:rsidRPr="00945773">
        <w:rPr>
          <w:rFonts w:ascii="Avenir Roman" w:hAnsi="Avenir Roman"/>
          <w:sz w:val="16"/>
          <w:szCs w:val="16"/>
        </w:rPr>
        <w:t xml:space="preserve"> </w:t>
      </w:r>
    </w:p>
  </w:footnote>
  <w:footnote w:id="77">
    <w:p w14:paraId="1F7B1FB8" w14:textId="0A028EA1" w:rsidR="00D1282E" w:rsidRPr="00514A42" w:rsidRDefault="00D1282E" w:rsidP="00E50CD5">
      <w:pPr>
        <w:pStyle w:val="FootnoteText"/>
        <w:spacing w:after="0" w:line="240" w:lineRule="auto"/>
        <w:rPr>
          <w:rFonts w:ascii="Avenir Roman" w:hAnsi="Avenir Roman"/>
          <w:sz w:val="16"/>
          <w:szCs w:val="16"/>
          <w:lang w:val="en-AU"/>
        </w:rPr>
      </w:pPr>
      <w:r w:rsidRPr="00514A42">
        <w:rPr>
          <w:rStyle w:val="FootnoteReference"/>
          <w:rFonts w:ascii="Avenir Roman" w:hAnsi="Avenir Roman"/>
          <w:sz w:val="16"/>
          <w:szCs w:val="16"/>
        </w:rPr>
        <w:footnoteRef/>
      </w:r>
      <w:r w:rsidRPr="00514A42">
        <w:rPr>
          <w:rFonts w:ascii="Avenir Roman" w:hAnsi="Avenir Roman"/>
          <w:sz w:val="16"/>
          <w:szCs w:val="16"/>
        </w:rPr>
        <w:t xml:space="preserve"> </w:t>
      </w:r>
      <w:r w:rsidRPr="00514A42">
        <w:rPr>
          <w:rFonts w:ascii="Avenir Roman" w:hAnsi="Avenir Roman"/>
          <w:sz w:val="16"/>
          <w:szCs w:val="16"/>
          <w:lang w:val="en-AU"/>
        </w:rPr>
        <w:t xml:space="preserve">United Nations, ‘Sustainable Development Goals’, </w:t>
      </w:r>
      <w:hyperlink r:id="rId35" w:history="1">
        <w:r w:rsidRPr="00514A42">
          <w:rPr>
            <w:rStyle w:val="Hyperlink"/>
            <w:rFonts w:ascii="Avenir Roman" w:hAnsi="Avenir Roman"/>
            <w:sz w:val="16"/>
            <w:szCs w:val="16"/>
            <w:lang w:val="en-AU"/>
          </w:rPr>
          <w:t>https://sustainabledevelopment.un.org/sdgs</w:t>
        </w:r>
      </w:hyperlink>
      <w:r w:rsidRPr="00514A42">
        <w:rPr>
          <w:rFonts w:ascii="Avenir Roman" w:hAnsi="Avenir Roman"/>
          <w:sz w:val="16"/>
          <w:szCs w:val="16"/>
          <w:lang w:val="en-AU"/>
        </w:rPr>
        <w:t xml:space="preserve"> </w:t>
      </w:r>
    </w:p>
  </w:footnote>
  <w:footnote w:id="78">
    <w:p w14:paraId="11E0444E" w14:textId="32898FFF" w:rsidR="00D1282E" w:rsidRPr="00D50724" w:rsidRDefault="00D1282E" w:rsidP="00E50CD5">
      <w:pPr>
        <w:pStyle w:val="FootnoteText"/>
        <w:spacing w:after="0" w:line="240" w:lineRule="auto"/>
        <w:rPr>
          <w:rFonts w:ascii="Avenir Roman" w:hAnsi="Avenir Roman"/>
          <w:sz w:val="16"/>
          <w:szCs w:val="16"/>
          <w:lang w:val="en-AU"/>
        </w:rPr>
      </w:pPr>
      <w:r w:rsidRPr="00D50724">
        <w:rPr>
          <w:rStyle w:val="FootnoteReference"/>
          <w:rFonts w:ascii="Avenir Roman" w:hAnsi="Avenir Roman"/>
          <w:sz w:val="16"/>
          <w:szCs w:val="16"/>
        </w:rPr>
        <w:footnoteRef/>
      </w:r>
      <w:r w:rsidRPr="00D50724">
        <w:rPr>
          <w:rFonts w:ascii="Avenir Roman" w:hAnsi="Avenir Roman"/>
          <w:sz w:val="16"/>
          <w:szCs w:val="16"/>
        </w:rPr>
        <w:t xml:space="preserve"> </w:t>
      </w:r>
      <w:r w:rsidRPr="00D50724">
        <w:rPr>
          <w:rFonts w:ascii="Avenir Roman" w:hAnsi="Avenir Roman"/>
          <w:sz w:val="16"/>
          <w:szCs w:val="16"/>
          <w:lang w:val="en-AU"/>
        </w:rPr>
        <w:t xml:space="preserve">Council of Australian Governments, </w:t>
      </w:r>
      <w:r w:rsidRPr="00D50724">
        <w:rPr>
          <w:rFonts w:ascii="Avenir Roman" w:hAnsi="Avenir Roman"/>
          <w:i/>
          <w:sz w:val="16"/>
          <w:szCs w:val="16"/>
        </w:rPr>
        <w:t>National Disability Strategy 2010-2020</w:t>
      </w:r>
      <w:r w:rsidRPr="00D50724">
        <w:rPr>
          <w:rFonts w:ascii="Avenir Roman" w:hAnsi="Avenir Roman"/>
          <w:sz w:val="16"/>
          <w:szCs w:val="16"/>
        </w:rPr>
        <w:t>. Available at:</w:t>
      </w:r>
      <w:r>
        <w:rPr>
          <w:rFonts w:ascii="Avenir Roman" w:hAnsi="Avenir Roman"/>
          <w:sz w:val="16"/>
          <w:szCs w:val="16"/>
        </w:rPr>
        <w:t xml:space="preserve"> </w:t>
      </w:r>
      <w:hyperlink r:id="rId36" w:history="1">
        <w:r w:rsidRPr="00D40102">
          <w:rPr>
            <w:rStyle w:val="Hyperlink"/>
            <w:rFonts w:ascii="Avenir Roman" w:hAnsi="Avenir Roman"/>
            <w:sz w:val="16"/>
            <w:szCs w:val="16"/>
          </w:rPr>
          <w:t>https://www.dss.gov.au/disability-and-carers-a-new-national-disability-strategy/about-the-current-national-disability-strategy</w:t>
        </w:r>
      </w:hyperlink>
      <w:r>
        <w:rPr>
          <w:rFonts w:ascii="Avenir Roman" w:hAnsi="Avenir Roman"/>
          <w:sz w:val="16"/>
          <w:szCs w:val="16"/>
        </w:rPr>
        <w:t xml:space="preserve"> </w:t>
      </w:r>
    </w:p>
  </w:footnote>
  <w:footnote w:id="79">
    <w:p w14:paraId="24E86C55" w14:textId="713F4572" w:rsidR="00D1282E" w:rsidRPr="00514A42" w:rsidRDefault="00D1282E" w:rsidP="00E50CD5">
      <w:pPr>
        <w:pStyle w:val="FootnoteText"/>
        <w:spacing w:after="0" w:line="240" w:lineRule="auto"/>
        <w:rPr>
          <w:rFonts w:ascii="Avenir Roman" w:hAnsi="Avenir Roman"/>
          <w:sz w:val="16"/>
          <w:szCs w:val="16"/>
          <w:lang w:val="en-AU"/>
        </w:rPr>
      </w:pPr>
      <w:r w:rsidRPr="00514A42">
        <w:rPr>
          <w:rStyle w:val="FootnoteReference"/>
          <w:rFonts w:ascii="Avenir Roman" w:hAnsi="Avenir Roman"/>
          <w:sz w:val="16"/>
          <w:szCs w:val="16"/>
        </w:rPr>
        <w:footnoteRef/>
      </w:r>
      <w:r w:rsidRPr="00514A42">
        <w:rPr>
          <w:rFonts w:ascii="Avenir Roman" w:hAnsi="Avenir Roman"/>
          <w:sz w:val="16"/>
          <w:szCs w:val="16"/>
        </w:rPr>
        <w:t xml:space="preserve"> </w:t>
      </w:r>
      <w:r w:rsidRPr="00514A42">
        <w:rPr>
          <w:rFonts w:ascii="Avenir Roman" w:hAnsi="Avenir Roman"/>
          <w:sz w:val="16"/>
          <w:szCs w:val="16"/>
          <w:lang w:val="en-AU"/>
        </w:rPr>
        <w:t xml:space="preserve">Australian Government, </w:t>
      </w:r>
      <w:r w:rsidRPr="00514A42">
        <w:rPr>
          <w:rFonts w:ascii="Avenir Roman" w:hAnsi="Avenir Roman"/>
          <w:i/>
          <w:sz w:val="16"/>
          <w:szCs w:val="16"/>
          <w:lang w:val="en-AU"/>
        </w:rPr>
        <w:t>Report on the Implementation of the Sustainable Development Goals</w:t>
      </w:r>
      <w:r w:rsidRPr="00514A42">
        <w:rPr>
          <w:rFonts w:ascii="Avenir Roman" w:hAnsi="Avenir Roman"/>
          <w:sz w:val="16"/>
          <w:szCs w:val="16"/>
          <w:lang w:val="en-AU"/>
        </w:rPr>
        <w:t xml:space="preserve"> (2018), p. 16. Available at: </w:t>
      </w:r>
      <w:hyperlink r:id="rId37" w:history="1">
        <w:r w:rsidRPr="00514A42">
          <w:rPr>
            <w:rStyle w:val="Hyperlink"/>
            <w:rFonts w:ascii="Avenir Roman" w:hAnsi="Avenir Roman"/>
            <w:sz w:val="16"/>
            <w:szCs w:val="16"/>
            <w:lang w:val="en-AU"/>
          </w:rPr>
          <w:t>https://www.sdgdata.gov.au/sites/default/files/voluntary_national_review.pdf</w:t>
        </w:r>
      </w:hyperlink>
      <w:r w:rsidRPr="00514A42">
        <w:rPr>
          <w:rFonts w:ascii="Avenir Roman" w:hAnsi="Avenir Roman"/>
          <w:sz w:val="16"/>
          <w:szCs w:val="16"/>
          <w:lang w:val="en-AU"/>
        </w:rPr>
        <w:t xml:space="preserve">  </w:t>
      </w:r>
    </w:p>
  </w:footnote>
  <w:footnote w:id="80">
    <w:p w14:paraId="053ADD67" w14:textId="1ABF9FD8" w:rsidR="00D1282E" w:rsidRPr="00E50CD5" w:rsidRDefault="00D1282E" w:rsidP="00E50CD5">
      <w:pPr>
        <w:pStyle w:val="FootnoteText"/>
        <w:spacing w:after="0" w:line="240" w:lineRule="auto"/>
        <w:jc w:val="left"/>
        <w:rPr>
          <w:rFonts w:ascii="Avenir Roman" w:hAnsi="Avenir Roman"/>
          <w:sz w:val="16"/>
          <w:szCs w:val="16"/>
          <w:lang w:val="en-AU"/>
        </w:rPr>
      </w:pPr>
      <w:r w:rsidRPr="00CC2A44">
        <w:rPr>
          <w:rStyle w:val="FootnoteReference"/>
          <w:rFonts w:ascii="Avenir Roman" w:hAnsi="Avenir Roman"/>
          <w:sz w:val="16"/>
          <w:szCs w:val="16"/>
        </w:rPr>
        <w:footnoteRef/>
      </w:r>
      <w:r w:rsidRPr="00CC2A44">
        <w:rPr>
          <w:rFonts w:ascii="Avenir Roman" w:hAnsi="Avenir Roman"/>
          <w:sz w:val="16"/>
          <w:szCs w:val="16"/>
        </w:rPr>
        <w:t xml:space="preserve"> </w:t>
      </w:r>
      <w:r>
        <w:rPr>
          <w:rFonts w:ascii="Avenir Roman" w:hAnsi="Avenir Roman"/>
          <w:sz w:val="16"/>
          <w:szCs w:val="16"/>
        </w:rPr>
        <w:t xml:space="preserve">See, Laura Davey, Karen R Fisher, Ayah Wehbe, Christaine Purcal, Sally Robinson, Rosemary Kayess, Danielle Santos, ‘Review of implementation of the National Disability Strategy 2010-2020’ (Final Report August 2018) Social Policy Research Centre UNSW, 2019. Available at: </w:t>
      </w:r>
      <w:hyperlink r:id="rId38" w:history="1">
        <w:r w:rsidRPr="00D40102">
          <w:rPr>
            <w:rStyle w:val="Hyperlink"/>
            <w:rFonts w:ascii="Avenir Roman" w:hAnsi="Avenir Roman"/>
            <w:sz w:val="16"/>
            <w:szCs w:val="16"/>
          </w:rPr>
          <w:t>https://www.dss.gov.au/review-of-implementation-of-the-national-disability-strategy-2010-2020</w:t>
        </w:r>
      </w:hyperlink>
      <w:r>
        <w:rPr>
          <w:rFonts w:ascii="Avenir Roman" w:hAnsi="Avenir Roman"/>
          <w:sz w:val="16"/>
          <w:szCs w:val="16"/>
        </w:rPr>
        <w:t xml:space="preserve">; </w:t>
      </w:r>
      <w:r w:rsidRPr="00CC2A44">
        <w:rPr>
          <w:rFonts w:ascii="Avenir Roman" w:hAnsi="Avenir Roman"/>
          <w:sz w:val="16"/>
          <w:szCs w:val="16"/>
          <w:lang w:val="en-AU"/>
        </w:rPr>
        <w:t xml:space="preserve">Community Affairs </w:t>
      </w:r>
      <w:r w:rsidRPr="00E50CD5">
        <w:rPr>
          <w:rFonts w:ascii="Avenir Roman" w:hAnsi="Avenir Roman"/>
          <w:sz w:val="16"/>
          <w:szCs w:val="16"/>
          <w:lang w:val="en-AU"/>
        </w:rPr>
        <w:t xml:space="preserve">References Committee, </w:t>
      </w:r>
      <w:r w:rsidRPr="00E50CD5">
        <w:rPr>
          <w:rFonts w:ascii="Avenir Roman" w:hAnsi="Avenir Roman"/>
          <w:i/>
          <w:sz w:val="16"/>
          <w:szCs w:val="16"/>
          <w:lang w:val="en-AU"/>
        </w:rPr>
        <w:t>Delivery of outcomes under the National Disability Strategy 2010-2020 to build inclusive and accessible communities</w:t>
      </w:r>
      <w:r w:rsidRPr="00E50CD5">
        <w:rPr>
          <w:rFonts w:ascii="Avenir Roman" w:hAnsi="Avenir Roman"/>
          <w:sz w:val="16"/>
          <w:szCs w:val="16"/>
          <w:lang w:val="en-AU"/>
        </w:rPr>
        <w:t xml:space="preserve"> (Australian Senate, November 2017), paras 4.41-4.47. Available at: </w:t>
      </w:r>
      <w:hyperlink r:id="rId39" w:history="1">
        <w:r w:rsidRPr="00E50CD5">
          <w:rPr>
            <w:rStyle w:val="Hyperlink"/>
            <w:rFonts w:ascii="Avenir Roman" w:hAnsi="Avenir Roman"/>
            <w:sz w:val="16"/>
            <w:szCs w:val="16"/>
            <w:lang w:val="en-AU"/>
          </w:rPr>
          <w:t>https://www.aph.gov.au/Parliamentary_Business/Committees/Senate/Community_Affairs/AccessibleCommunities/Report</w:t>
        </w:r>
      </w:hyperlink>
      <w:r w:rsidRPr="00E50CD5">
        <w:rPr>
          <w:rFonts w:ascii="Avenir Roman" w:hAnsi="Avenir Roman"/>
          <w:sz w:val="16"/>
          <w:szCs w:val="16"/>
          <w:lang w:val="en-AU"/>
        </w:rPr>
        <w:t xml:space="preserve"> </w:t>
      </w:r>
    </w:p>
  </w:footnote>
  <w:footnote w:id="81">
    <w:p w14:paraId="676DF9D3" w14:textId="15A7E267"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sz w:val="16"/>
          <w:szCs w:val="16"/>
          <w:lang w:val="en-AU"/>
        </w:rPr>
        <w:t xml:space="preserve">Carolyn Frohmader, ‘Gender Blind, Gender Neutral – The effectiveness of the National Disability Strategy in improving the lives of women and girls with disabilities’ (April 2014). Available at: </w:t>
      </w:r>
      <w:hyperlink r:id="rId40" w:history="1">
        <w:r w:rsidRPr="00E50CD5">
          <w:rPr>
            <w:rStyle w:val="Hyperlink"/>
            <w:rFonts w:ascii="Avenir Roman" w:hAnsi="Avenir Roman"/>
            <w:sz w:val="16"/>
            <w:szCs w:val="16"/>
            <w:lang w:val="en-AU"/>
          </w:rPr>
          <w:t>http://wwda.org.au/wp-content/uploads/2013/12/WWDA_Sub_NDS_Review2014.pdf</w:t>
        </w:r>
      </w:hyperlink>
      <w:r w:rsidRPr="00E50CD5">
        <w:rPr>
          <w:rFonts w:ascii="Avenir Roman" w:hAnsi="Avenir Roman"/>
          <w:sz w:val="16"/>
          <w:szCs w:val="16"/>
          <w:lang w:val="en-AU"/>
        </w:rPr>
        <w:t xml:space="preserve"> </w:t>
      </w:r>
    </w:p>
  </w:footnote>
  <w:footnote w:id="82">
    <w:p w14:paraId="5CA4831D" w14:textId="1FD1883C" w:rsidR="00D1282E" w:rsidRPr="00587556" w:rsidRDefault="00D1282E" w:rsidP="00E50CD5">
      <w:pPr>
        <w:pStyle w:val="FootnoteText"/>
        <w:spacing w:after="0" w:line="240" w:lineRule="auto"/>
        <w:jc w:val="left"/>
        <w:rPr>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cstheme="minorHAnsi"/>
          <w:sz w:val="16"/>
          <w:szCs w:val="16"/>
        </w:rPr>
        <w:t>Disabled People’s Organisations Australia and the National Women’s Alliances, op. cit., p. 45.</w:t>
      </w:r>
      <w:r>
        <w:rPr>
          <w:rFonts w:ascii="Avenir Book" w:hAnsi="Avenir Book" w:cstheme="minorHAnsi"/>
          <w:sz w:val="16"/>
          <w:szCs w:val="16"/>
        </w:rPr>
        <w:t xml:space="preserve"> </w:t>
      </w:r>
    </w:p>
  </w:footnote>
  <w:footnote w:id="83">
    <w:p w14:paraId="653868A4" w14:textId="2BA41A07"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Committee on the </w:t>
      </w:r>
      <w:r w:rsidRPr="00E50CD5">
        <w:rPr>
          <w:rFonts w:ascii="Avenir Roman" w:hAnsi="Avenir Roman"/>
          <w:sz w:val="16"/>
          <w:szCs w:val="16"/>
          <w:lang w:val="en-AU"/>
        </w:rPr>
        <w:t xml:space="preserve">Rights of Persons with Disabilities, </w:t>
      </w:r>
      <w:r w:rsidRPr="00E50CD5">
        <w:rPr>
          <w:rFonts w:ascii="Avenir Roman" w:hAnsi="Avenir Roman"/>
          <w:i/>
          <w:sz w:val="16"/>
          <w:szCs w:val="16"/>
          <w:lang w:val="en-AU"/>
        </w:rPr>
        <w:t xml:space="preserve">General comment No. 2 (2014) Article 9: Accessibility, </w:t>
      </w:r>
      <w:r w:rsidRPr="00E50CD5">
        <w:rPr>
          <w:rFonts w:ascii="Avenir Roman" w:hAnsi="Avenir Roman"/>
          <w:sz w:val="16"/>
          <w:szCs w:val="16"/>
          <w:lang w:val="en-AU"/>
        </w:rPr>
        <w:t xml:space="preserve">22 May 2014, UN Doc: CRPD/C/GC/2, para 1. Available at: </w:t>
      </w:r>
      <w:hyperlink r:id="rId41" w:history="1">
        <w:r w:rsidRPr="00E50CD5">
          <w:rPr>
            <w:rStyle w:val="Hyperlink"/>
            <w:rFonts w:ascii="Avenir Roman" w:hAnsi="Avenir Roman"/>
            <w:sz w:val="16"/>
            <w:szCs w:val="16"/>
            <w:lang w:val="en-AU"/>
          </w:rPr>
          <w:t>https://www.ohchr.org/EN/HRBodies/CRPD/Pages/GC.aspx</w:t>
        </w:r>
      </w:hyperlink>
    </w:p>
  </w:footnote>
  <w:footnote w:id="84">
    <w:p w14:paraId="28D42397" w14:textId="7B93F44A"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i/>
          <w:sz w:val="16"/>
          <w:szCs w:val="16"/>
        </w:rPr>
        <w:t xml:space="preserve">Convention on the Rights of Persons with Disabilities, op. cit., art. </w:t>
      </w:r>
      <w:r w:rsidRPr="00E50CD5">
        <w:rPr>
          <w:rFonts w:ascii="Avenir Roman" w:hAnsi="Avenir Roman"/>
          <w:sz w:val="16"/>
          <w:szCs w:val="16"/>
          <w:lang w:val="en-AU"/>
        </w:rPr>
        <w:t>4(1)(f).</w:t>
      </w:r>
    </w:p>
  </w:footnote>
  <w:footnote w:id="85">
    <w:p w14:paraId="310E81EF" w14:textId="1E45DDB6"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Committee on the </w:t>
      </w:r>
      <w:r w:rsidRPr="00E50CD5">
        <w:rPr>
          <w:rFonts w:ascii="Avenir Roman" w:hAnsi="Avenir Roman"/>
          <w:sz w:val="16"/>
          <w:szCs w:val="16"/>
          <w:lang w:val="en-AU"/>
        </w:rPr>
        <w:t xml:space="preserve">Rights of Persons with Disabilities, </w:t>
      </w:r>
      <w:r w:rsidRPr="00E50CD5">
        <w:rPr>
          <w:rFonts w:ascii="Avenir Roman" w:hAnsi="Avenir Roman"/>
          <w:i/>
          <w:sz w:val="16"/>
          <w:szCs w:val="16"/>
          <w:lang w:val="en-AU"/>
        </w:rPr>
        <w:t xml:space="preserve">General comment No. 2 (2014) Article 9: Accessibility, </w:t>
      </w:r>
      <w:r w:rsidRPr="00E50CD5">
        <w:rPr>
          <w:rFonts w:ascii="Avenir Roman" w:hAnsi="Avenir Roman"/>
          <w:sz w:val="16"/>
          <w:szCs w:val="16"/>
          <w:lang w:val="en-AU"/>
        </w:rPr>
        <w:t>op. cit., para 16.</w:t>
      </w:r>
    </w:p>
  </w:footnote>
  <w:footnote w:id="86">
    <w:p w14:paraId="2FD5BBAB" w14:textId="43CF246F"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sz w:val="16"/>
          <w:szCs w:val="16"/>
          <w:lang w:val="en-AU"/>
        </w:rPr>
        <w:t xml:space="preserve">Committee on the Rights of Persons with Disabilities, </w:t>
      </w:r>
      <w:r w:rsidRPr="00E50CD5">
        <w:rPr>
          <w:rFonts w:ascii="Avenir Roman" w:hAnsi="Avenir Roman"/>
          <w:i/>
          <w:sz w:val="16"/>
          <w:szCs w:val="16"/>
          <w:lang w:val="en-AU"/>
        </w:rPr>
        <w:t xml:space="preserve">General comment No. 5 (2017) on living independently and being included in the community, </w:t>
      </w:r>
      <w:r w:rsidRPr="00E50CD5">
        <w:rPr>
          <w:rFonts w:ascii="Avenir Roman" w:hAnsi="Avenir Roman"/>
          <w:sz w:val="16"/>
          <w:szCs w:val="16"/>
          <w:lang w:val="en-AU"/>
        </w:rPr>
        <w:t>op. cit., para 78.</w:t>
      </w:r>
    </w:p>
  </w:footnote>
  <w:footnote w:id="87">
    <w:p w14:paraId="0980B71F" w14:textId="6052C495"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Department of Social Services, ‘Livable Housing Design Guidelines’ (website information). Available at: </w:t>
      </w:r>
      <w:hyperlink r:id="rId42" w:history="1">
        <w:r w:rsidRPr="00E50CD5">
          <w:rPr>
            <w:rStyle w:val="Hyperlink"/>
            <w:rFonts w:ascii="Avenir Roman" w:hAnsi="Avenir Roman"/>
            <w:sz w:val="16"/>
            <w:szCs w:val="16"/>
          </w:rPr>
          <w:t>https://www.dss.gov.au/our-responsibilities/disability-and-carers/program-services/government-international/national-disability-strategy-initiatives/livable-housing-design/livable-housing-design-guidelines</w:t>
        </w:r>
      </w:hyperlink>
      <w:r w:rsidRPr="00E50CD5">
        <w:rPr>
          <w:rFonts w:ascii="Avenir Roman" w:hAnsi="Avenir Roman"/>
          <w:sz w:val="16"/>
          <w:szCs w:val="16"/>
        </w:rPr>
        <w:t xml:space="preserve"> </w:t>
      </w:r>
    </w:p>
  </w:footnote>
  <w:footnote w:id="88">
    <w:p w14:paraId="5671C67F" w14:textId="71961744" w:rsidR="00D1282E" w:rsidRPr="003F14E1" w:rsidRDefault="00D1282E" w:rsidP="00E50CD5">
      <w:pPr>
        <w:pStyle w:val="FootnoteText"/>
        <w:spacing w:after="0" w:line="240" w:lineRule="auto"/>
        <w:jc w:val="left"/>
        <w:rPr>
          <w:rFonts w:ascii="Avenir Roman" w:hAnsi="Avenir Roman"/>
          <w:b/>
          <w:bCs/>
          <w:sz w:val="16"/>
          <w:szCs w:val="16"/>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sz w:val="16"/>
          <w:szCs w:val="16"/>
          <w:lang w:val="en-AU"/>
        </w:rPr>
        <w:t xml:space="preserve">Community Affairs References Committee, </w:t>
      </w:r>
      <w:r w:rsidRPr="00E50CD5">
        <w:rPr>
          <w:rFonts w:ascii="Avenir Roman" w:hAnsi="Avenir Roman"/>
          <w:bCs/>
          <w:i/>
          <w:sz w:val="16"/>
          <w:szCs w:val="16"/>
        </w:rPr>
        <w:t>Delivery of outcomes under the National Disability Strategy 2010-2020 to build inclusive and accessible communities</w:t>
      </w:r>
      <w:r w:rsidRPr="00E50CD5">
        <w:rPr>
          <w:rFonts w:ascii="Avenir Roman" w:hAnsi="Avenir Roman"/>
          <w:bCs/>
          <w:sz w:val="16"/>
          <w:szCs w:val="16"/>
        </w:rPr>
        <w:t>, op. cit., pp. 45-46.</w:t>
      </w:r>
      <w:r>
        <w:rPr>
          <w:rFonts w:ascii="Avenir Roman" w:hAnsi="Avenir Roman"/>
          <w:bCs/>
          <w:sz w:val="16"/>
          <w:szCs w:val="16"/>
        </w:rPr>
        <w:t xml:space="preserve"> </w:t>
      </w:r>
    </w:p>
  </w:footnote>
  <w:footnote w:id="89">
    <w:p w14:paraId="664B3D45" w14:textId="769AFCD6"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sz w:val="16"/>
          <w:szCs w:val="16"/>
          <w:lang w:val="en-AU"/>
        </w:rPr>
        <w:t xml:space="preserve">Committee on the Rights of Persons with Disabilities, </w:t>
      </w:r>
      <w:r w:rsidRPr="00E50CD5">
        <w:rPr>
          <w:rFonts w:ascii="Avenir Roman" w:hAnsi="Avenir Roman"/>
          <w:i/>
          <w:sz w:val="16"/>
          <w:szCs w:val="16"/>
          <w:lang w:val="en-AU"/>
        </w:rPr>
        <w:t xml:space="preserve">General comment No. 5 (2017) on living independently and being included in the community, </w:t>
      </w:r>
      <w:r w:rsidRPr="00E50CD5">
        <w:rPr>
          <w:rFonts w:ascii="Avenir Roman" w:hAnsi="Avenir Roman"/>
          <w:sz w:val="16"/>
          <w:szCs w:val="16"/>
          <w:lang w:val="en-AU"/>
        </w:rPr>
        <w:t>op. cit., para 16(c).</w:t>
      </w:r>
    </w:p>
  </w:footnote>
  <w:footnote w:id="90">
    <w:p w14:paraId="1CFDCDE0" w14:textId="5864147C"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See e.g., Miki Perkins, ‘</w:t>
      </w:r>
      <w:r w:rsidRPr="00E50CD5">
        <w:rPr>
          <w:rFonts w:ascii="Avenir Roman" w:hAnsi="Avenir Roman"/>
          <w:bCs/>
          <w:sz w:val="16"/>
          <w:szCs w:val="16"/>
          <w:lang w:val="en-AU"/>
        </w:rPr>
        <w:t xml:space="preserve">Royal Commission: Neglect and abuse in group homes leaves deep scars’, Sydney Morning Herald, 2 December 2019. Available at: </w:t>
      </w:r>
      <w:hyperlink r:id="rId43" w:history="1">
        <w:r w:rsidRPr="00E50CD5">
          <w:rPr>
            <w:rStyle w:val="Hyperlink"/>
            <w:rFonts w:ascii="Avenir Roman" w:hAnsi="Avenir Roman"/>
            <w:bCs/>
            <w:sz w:val="16"/>
            <w:szCs w:val="16"/>
            <w:lang w:val="en-AU"/>
          </w:rPr>
          <w:t>https://www.smh.com.au/national/royal-commission-neglect-and-abuse-in-group-homes-leaves-deep-scars-20191202-p53g2x.html</w:t>
        </w:r>
      </w:hyperlink>
      <w:r w:rsidRPr="00E50CD5">
        <w:rPr>
          <w:rFonts w:ascii="Avenir Roman" w:hAnsi="Avenir Roman"/>
          <w:bCs/>
          <w:sz w:val="16"/>
          <w:szCs w:val="16"/>
          <w:lang w:val="en-AU"/>
        </w:rPr>
        <w:t xml:space="preserve">; </w:t>
      </w:r>
      <w:r w:rsidRPr="00E50CD5">
        <w:rPr>
          <w:rFonts w:ascii="Avenir Roman" w:hAnsi="Avenir Roman"/>
          <w:sz w:val="16"/>
          <w:szCs w:val="16"/>
        </w:rPr>
        <w:t xml:space="preserve">Zalika Rizmal, ‘Group homes dehumanise and unjustly punish people with disabilities, royal commission hears’, ABC News, 4 December 2019. Available at: </w:t>
      </w:r>
      <w:hyperlink r:id="rId44" w:history="1">
        <w:r w:rsidRPr="00E50CD5">
          <w:rPr>
            <w:rStyle w:val="Hyperlink"/>
            <w:rFonts w:ascii="Avenir Roman" w:hAnsi="Avenir Roman"/>
            <w:sz w:val="16"/>
            <w:szCs w:val="16"/>
          </w:rPr>
          <w:t>https://www.abc.net.au/news/2019-12-04/disability-royal-commission-hears-woman-punished-for-united-shoe/11762870</w:t>
        </w:r>
      </w:hyperlink>
      <w:r w:rsidRPr="00E50CD5">
        <w:rPr>
          <w:rFonts w:ascii="Avenir Roman" w:hAnsi="Avenir Roman"/>
          <w:sz w:val="16"/>
          <w:szCs w:val="16"/>
        </w:rPr>
        <w:t xml:space="preserve">; Office of the Public Advocate, </w:t>
      </w:r>
      <w:r w:rsidRPr="00E50CD5">
        <w:rPr>
          <w:rFonts w:ascii="Avenir Roman" w:hAnsi="Avenir Roman"/>
          <w:i/>
          <w:sz w:val="16"/>
          <w:szCs w:val="16"/>
        </w:rPr>
        <w:t>“I’m too scared to come out of my room” – Preventing and responding to violence and abuse between co-residents in group homes</w:t>
      </w:r>
      <w:r w:rsidRPr="00E50CD5">
        <w:rPr>
          <w:rFonts w:ascii="Avenir Roman" w:hAnsi="Avenir Roman"/>
          <w:sz w:val="16"/>
          <w:szCs w:val="16"/>
        </w:rPr>
        <w:t xml:space="preserve">, Office of the Public Advocate Victoria, November 2019. Available at: </w:t>
      </w:r>
      <w:hyperlink r:id="rId45" w:history="1">
        <w:r w:rsidRPr="00E50CD5">
          <w:rPr>
            <w:rStyle w:val="Hyperlink"/>
            <w:rFonts w:ascii="Avenir Roman" w:hAnsi="Avenir Roman"/>
            <w:sz w:val="16"/>
            <w:szCs w:val="16"/>
          </w:rPr>
          <w:t>https://www.publicadvocate.vic.gov.au/resources/submissions/royal-commission-into-violence-abuse-neglect-and-exploitation-in-disability-care/647-preventing-and-responding-to-violence-and-abuse-between-co-residents-in-group-homes/file</w:t>
        </w:r>
      </w:hyperlink>
      <w:r w:rsidRPr="00E50CD5">
        <w:rPr>
          <w:rFonts w:ascii="Avenir Roman" w:hAnsi="Avenir Roman"/>
          <w:sz w:val="16"/>
          <w:szCs w:val="16"/>
        </w:rPr>
        <w:t xml:space="preserve">; NSW Ombudsman, ‘Abuse and neglect of vulnerable adults in NSW – the need for action’ (A Special Report to Parliament under section 31 to the Ombudsman Act, 2 November 2018) State of New South Wales. Available at: </w:t>
      </w:r>
      <w:hyperlink r:id="rId46" w:history="1">
        <w:r w:rsidRPr="00E50CD5">
          <w:rPr>
            <w:rStyle w:val="Hyperlink"/>
            <w:rFonts w:ascii="Avenir Roman" w:hAnsi="Avenir Roman"/>
            <w:sz w:val="16"/>
            <w:szCs w:val="16"/>
          </w:rPr>
          <w:t>https://www.ombo.nsw.gov.au/__data/assets/pdf_file/0003/62139/Abuse-and-neglect-of-vulnerable-adults-in-NSW-November-2018.pdf</w:t>
        </w:r>
      </w:hyperlink>
      <w:r w:rsidRPr="00E50CD5">
        <w:rPr>
          <w:rFonts w:ascii="Avenir Roman" w:hAnsi="Avenir Roman"/>
          <w:sz w:val="16"/>
          <w:szCs w:val="16"/>
        </w:rPr>
        <w:t xml:space="preserve">; Community Affairs References Committee, </w:t>
      </w:r>
      <w:r w:rsidRPr="00E50CD5">
        <w:rPr>
          <w:rFonts w:ascii="Avenir Roman" w:hAnsi="Avenir Roman"/>
          <w:i/>
          <w:sz w:val="16"/>
          <w:szCs w:val="16"/>
        </w:rPr>
        <w:t xml:space="preserve">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 </w:t>
      </w:r>
      <w:r w:rsidRPr="00E50CD5">
        <w:rPr>
          <w:rFonts w:ascii="Avenir Roman" w:hAnsi="Avenir Roman"/>
          <w:sz w:val="16"/>
          <w:szCs w:val="16"/>
        </w:rPr>
        <w:t xml:space="preserve">op. cit. </w:t>
      </w:r>
    </w:p>
  </w:footnote>
  <w:footnote w:id="91">
    <w:p w14:paraId="7BD01821" w14:textId="1DFBF2D3" w:rsidR="00D1282E" w:rsidRPr="00E50CD5" w:rsidRDefault="00D1282E" w:rsidP="00E50CD5">
      <w:pPr>
        <w:pStyle w:val="FootnoteText"/>
        <w:spacing w:after="0" w:line="240" w:lineRule="auto"/>
        <w:jc w:val="left"/>
        <w:rPr>
          <w:rFonts w:ascii="Avenir Roman" w:hAnsi="Avenir Roman"/>
          <w:sz w:val="16"/>
          <w:szCs w:val="16"/>
          <w:lang w:val="en-AU"/>
        </w:rPr>
      </w:pPr>
      <w:r w:rsidRPr="00E50CD5">
        <w:rPr>
          <w:rStyle w:val="FootnoteReference"/>
          <w:rFonts w:ascii="Avenir Roman" w:hAnsi="Avenir Roman"/>
          <w:sz w:val="16"/>
          <w:szCs w:val="16"/>
        </w:rPr>
        <w:footnoteRef/>
      </w:r>
      <w:r w:rsidRPr="00E50CD5">
        <w:rPr>
          <w:rFonts w:ascii="Avenir Roman" w:hAnsi="Avenir Roman"/>
          <w:sz w:val="16"/>
          <w:szCs w:val="16"/>
        </w:rPr>
        <w:t xml:space="preserve"> </w:t>
      </w:r>
      <w:r w:rsidRPr="00E50CD5">
        <w:rPr>
          <w:rFonts w:ascii="Avenir Roman" w:hAnsi="Avenir Roman"/>
          <w:sz w:val="16"/>
          <w:szCs w:val="16"/>
          <w:lang w:val="en-AU"/>
        </w:rPr>
        <w:t xml:space="preserve">Committee on the Rights of Persons with Disabilities, </w:t>
      </w:r>
      <w:r w:rsidRPr="00E50CD5">
        <w:rPr>
          <w:rFonts w:ascii="Avenir Roman" w:hAnsi="Avenir Roman"/>
          <w:i/>
          <w:sz w:val="16"/>
          <w:szCs w:val="16"/>
          <w:lang w:val="en-AU"/>
        </w:rPr>
        <w:t xml:space="preserve">General comment No. 5 (2017) on living independently and being included in the community, </w:t>
      </w:r>
      <w:r w:rsidRPr="00E50CD5">
        <w:rPr>
          <w:rFonts w:ascii="Avenir Roman" w:hAnsi="Avenir Roman"/>
          <w:sz w:val="16"/>
          <w:szCs w:val="16"/>
          <w:lang w:val="en-AU"/>
        </w:rPr>
        <w:t>op. cit., para 16(c).</w:t>
      </w:r>
    </w:p>
  </w:footnote>
  <w:footnote w:id="92">
    <w:p w14:paraId="213A4D13" w14:textId="77777777" w:rsidR="00D1282E" w:rsidRPr="002D76CF" w:rsidRDefault="00D1282E" w:rsidP="00E50CD5">
      <w:pPr>
        <w:pStyle w:val="FootnoteText"/>
        <w:spacing w:after="0" w:line="240" w:lineRule="auto"/>
        <w:jc w:val="left"/>
        <w:rPr>
          <w:rFonts w:ascii="Avenir Roman" w:hAnsi="Avenir Roman"/>
          <w:sz w:val="16"/>
          <w:szCs w:val="16"/>
          <w:lang w:val="en-AU"/>
        </w:rPr>
      </w:pPr>
      <w:r w:rsidRPr="002D76CF">
        <w:rPr>
          <w:rStyle w:val="FootnoteReference"/>
          <w:rFonts w:ascii="Avenir Roman" w:hAnsi="Avenir Roman"/>
          <w:sz w:val="16"/>
          <w:szCs w:val="16"/>
        </w:rPr>
        <w:footnoteRef/>
      </w:r>
      <w:r w:rsidRPr="002D76CF">
        <w:rPr>
          <w:rFonts w:ascii="Avenir Roman" w:hAnsi="Avenir Roman"/>
          <w:sz w:val="16"/>
          <w:szCs w:val="16"/>
        </w:rPr>
        <w:t xml:space="preserve"> </w:t>
      </w:r>
      <w:r w:rsidRPr="002D76CF">
        <w:rPr>
          <w:rFonts w:ascii="Avenir Roman" w:hAnsi="Avenir Roman"/>
          <w:sz w:val="16"/>
          <w:szCs w:val="16"/>
          <w:lang w:val="en-AU"/>
        </w:rPr>
        <w:t xml:space="preserve">Royal Commission into Violence, Abuse, Neglect and Exploitation of People with Disability, </w:t>
      </w:r>
      <w:r w:rsidRPr="002D76CF">
        <w:rPr>
          <w:rFonts w:ascii="Avenir Roman" w:hAnsi="Avenir Roman"/>
          <w:i/>
          <w:sz w:val="16"/>
          <w:szCs w:val="16"/>
          <w:lang w:val="en-AU"/>
        </w:rPr>
        <w:t xml:space="preserve">Education and Learning Issues Paper, </w:t>
      </w:r>
      <w:r w:rsidRPr="002D76CF">
        <w:rPr>
          <w:rFonts w:ascii="Avenir Roman" w:hAnsi="Avenir Roman"/>
          <w:sz w:val="16"/>
          <w:szCs w:val="16"/>
          <w:lang w:val="en-AU"/>
        </w:rPr>
        <w:t>p. 8.</w:t>
      </w:r>
    </w:p>
  </w:footnote>
  <w:footnote w:id="93">
    <w:p w14:paraId="6C3C84E2" w14:textId="77777777"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i/>
          <w:sz w:val="16"/>
          <w:szCs w:val="16"/>
        </w:rPr>
        <w:t>Convention on the Rights of Persons with Disabilities</w:t>
      </w:r>
      <w:r w:rsidRPr="002F4C4C">
        <w:rPr>
          <w:rFonts w:ascii="Avenir Roman" w:hAnsi="Avenir Roman"/>
          <w:sz w:val="16"/>
          <w:szCs w:val="16"/>
        </w:rPr>
        <w:t xml:space="preserve"> [2008] ATS 12; </w:t>
      </w:r>
      <w:r w:rsidRPr="002F4C4C">
        <w:rPr>
          <w:rFonts w:ascii="Avenir Roman" w:hAnsi="Avenir Roman"/>
          <w:i/>
          <w:sz w:val="16"/>
          <w:szCs w:val="16"/>
        </w:rPr>
        <w:t>Convention on the Rights of the Child</w:t>
      </w:r>
      <w:r w:rsidRPr="002F4C4C">
        <w:rPr>
          <w:rFonts w:ascii="Avenir Roman" w:hAnsi="Avenir Roman"/>
          <w:sz w:val="16"/>
          <w:szCs w:val="16"/>
        </w:rPr>
        <w:t xml:space="preserve"> [1991] ATS 4; </w:t>
      </w:r>
      <w:r w:rsidRPr="002F4C4C">
        <w:rPr>
          <w:rFonts w:ascii="Avenir Roman" w:hAnsi="Avenir Roman"/>
          <w:i/>
          <w:sz w:val="16"/>
          <w:szCs w:val="16"/>
        </w:rPr>
        <w:t>Convention against Torture and Other Cruel, Inhuman or Degrading Treatment or Punishment</w:t>
      </w:r>
      <w:r w:rsidRPr="002F4C4C">
        <w:rPr>
          <w:rFonts w:ascii="Avenir Roman" w:hAnsi="Avenir Roman"/>
          <w:sz w:val="16"/>
          <w:szCs w:val="16"/>
        </w:rPr>
        <w:t xml:space="preserve"> [1989] ATS 21; </w:t>
      </w:r>
      <w:r w:rsidRPr="002F4C4C">
        <w:rPr>
          <w:rFonts w:ascii="Avenir Roman" w:hAnsi="Avenir Roman"/>
          <w:i/>
          <w:sz w:val="16"/>
          <w:szCs w:val="16"/>
        </w:rPr>
        <w:t>Convention on the Elimination of All Forms of Discrimination Against Women</w:t>
      </w:r>
      <w:r w:rsidRPr="002F4C4C">
        <w:rPr>
          <w:rFonts w:ascii="Avenir Roman" w:hAnsi="Avenir Roman"/>
          <w:sz w:val="16"/>
          <w:szCs w:val="16"/>
        </w:rPr>
        <w:t xml:space="preserve"> [1983] ATS 9; </w:t>
      </w:r>
      <w:r w:rsidRPr="002F4C4C">
        <w:rPr>
          <w:rFonts w:ascii="Avenir Roman" w:hAnsi="Avenir Roman"/>
          <w:i/>
          <w:sz w:val="16"/>
          <w:szCs w:val="16"/>
        </w:rPr>
        <w:t>International Covenant on Civil and Political Rights</w:t>
      </w:r>
      <w:r w:rsidRPr="002F4C4C">
        <w:rPr>
          <w:rFonts w:ascii="Avenir Roman" w:hAnsi="Avenir Roman"/>
          <w:sz w:val="16"/>
          <w:szCs w:val="16"/>
        </w:rPr>
        <w:t xml:space="preserve"> [1980] ATS 23; </w:t>
      </w:r>
      <w:r w:rsidRPr="002F4C4C">
        <w:rPr>
          <w:rFonts w:ascii="Avenir Roman" w:hAnsi="Avenir Roman"/>
          <w:i/>
          <w:sz w:val="16"/>
          <w:szCs w:val="16"/>
        </w:rPr>
        <w:t>International Covenant on Economic, Social and Cultural Rights</w:t>
      </w:r>
      <w:r w:rsidRPr="002F4C4C">
        <w:rPr>
          <w:rFonts w:ascii="Avenir Roman" w:hAnsi="Avenir Roman"/>
          <w:sz w:val="16"/>
          <w:szCs w:val="16"/>
        </w:rPr>
        <w:t xml:space="preserve"> [1976] ATS 5; </w:t>
      </w:r>
      <w:r w:rsidRPr="002F4C4C">
        <w:rPr>
          <w:rFonts w:ascii="Avenir Roman" w:hAnsi="Avenir Roman"/>
          <w:i/>
          <w:sz w:val="16"/>
          <w:szCs w:val="16"/>
        </w:rPr>
        <w:t xml:space="preserve">International Convention on the Elimination of All Forms of Racial Discrimination </w:t>
      </w:r>
      <w:r w:rsidRPr="002F4C4C">
        <w:rPr>
          <w:rFonts w:ascii="Avenir Roman" w:hAnsi="Avenir Roman"/>
          <w:sz w:val="16"/>
          <w:szCs w:val="16"/>
        </w:rPr>
        <w:t xml:space="preserve">[1975] ATS 40  </w:t>
      </w:r>
    </w:p>
  </w:footnote>
  <w:footnote w:id="94">
    <w:p w14:paraId="68C2CA36" w14:textId="77777777"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Rosemary Kayess and Phillip French, “Out of Darkness into Light? Introducing the Convention on the Rights of persons with Disabilities”, </w:t>
      </w:r>
      <w:r w:rsidRPr="002F4C4C">
        <w:rPr>
          <w:rFonts w:ascii="Avenir Roman" w:hAnsi="Avenir Roman"/>
          <w:i/>
          <w:sz w:val="16"/>
          <w:szCs w:val="16"/>
          <w:lang w:val="en-AU"/>
        </w:rPr>
        <w:t>Human Rights Law Review</w:t>
      </w:r>
      <w:r w:rsidRPr="002F4C4C">
        <w:rPr>
          <w:rFonts w:ascii="Avenir Roman" w:hAnsi="Avenir Roman"/>
          <w:sz w:val="16"/>
          <w:szCs w:val="16"/>
          <w:lang w:val="en-AU"/>
        </w:rPr>
        <w:t>, 8:1 (2008), 1-34.</w:t>
      </w:r>
    </w:p>
  </w:footnote>
  <w:footnote w:id="95">
    <w:p w14:paraId="38482AFC" w14:textId="386CACBC" w:rsidR="00D1282E" w:rsidRPr="00B37D27"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i/>
          <w:sz w:val="16"/>
          <w:szCs w:val="16"/>
          <w:lang w:val="en-AU"/>
        </w:rPr>
        <w:t>Convention on the Rights of Persons with Disabilities</w:t>
      </w:r>
      <w:r w:rsidRPr="002F4C4C">
        <w:rPr>
          <w:rFonts w:ascii="Avenir Roman" w:hAnsi="Avenir Roman"/>
          <w:sz w:val="16"/>
          <w:szCs w:val="16"/>
          <w:lang w:val="en-AU"/>
        </w:rPr>
        <w:t>, op. cit., preamble (p).</w:t>
      </w:r>
    </w:p>
  </w:footnote>
  <w:footnote w:id="96">
    <w:p w14:paraId="13D45A0E" w14:textId="77777777"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Committee on the Rights of Persons with Disabilities, </w:t>
      </w:r>
      <w:r w:rsidRPr="002F4C4C">
        <w:rPr>
          <w:rFonts w:ascii="Avenir Roman" w:hAnsi="Avenir Roman"/>
          <w:i/>
          <w:sz w:val="16"/>
          <w:szCs w:val="16"/>
          <w:lang w:val="en-AU"/>
        </w:rPr>
        <w:t>General comment No. 3 (2016) on women and girls with disabilities</w:t>
      </w:r>
      <w:r w:rsidRPr="002F4C4C">
        <w:rPr>
          <w:rFonts w:ascii="Avenir Roman" w:hAnsi="Avenir Roman"/>
          <w:sz w:val="16"/>
          <w:szCs w:val="16"/>
          <w:lang w:val="en-AU"/>
        </w:rPr>
        <w:t xml:space="preserve">, 25 November 2016, UN Doc: CRPD/C/GC/3, para 16. Available at: </w:t>
      </w:r>
      <w:hyperlink r:id="rId47" w:history="1">
        <w:r w:rsidRPr="002F4C4C">
          <w:rPr>
            <w:rStyle w:val="Hyperlink"/>
            <w:rFonts w:ascii="Avenir Roman" w:hAnsi="Avenir Roman"/>
            <w:sz w:val="16"/>
            <w:szCs w:val="16"/>
            <w:lang w:val="en-AU"/>
          </w:rPr>
          <w:t>https://www.ohchr.org/EN/HRBodies/CRPD/Pages/GC.aspx</w:t>
        </w:r>
      </w:hyperlink>
      <w:r w:rsidRPr="002F4C4C">
        <w:rPr>
          <w:rFonts w:ascii="Avenir Roman" w:hAnsi="Avenir Roman"/>
          <w:sz w:val="16"/>
          <w:szCs w:val="16"/>
          <w:lang w:val="en-AU"/>
        </w:rPr>
        <w:t xml:space="preserve"> </w:t>
      </w:r>
    </w:p>
  </w:footnote>
  <w:footnote w:id="97">
    <w:p w14:paraId="548F75CB" w14:textId="77777777"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Ibid., para 4(c)</w:t>
      </w:r>
    </w:p>
  </w:footnote>
  <w:footnote w:id="98">
    <w:p w14:paraId="1EA6DB1E" w14:textId="77777777"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Ibid., para 5</w:t>
      </w:r>
    </w:p>
  </w:footnote>
  <w:footnote w:id="99">
    <w:p w14:paraId="0230D6BC" w14:textId="77777777"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i/>
          <w:sz w:val="16"/>
          <w:szCs w:val="16"/>
          <w:lang w:val="en-AU"/>
        </w:rPr>
        <w:t>Convention on the Rights of Persons with Disabilities</w:t>
      </w:r>
      <w:r w:rsidRPr="002F4C4C">
        <w:rPr>
          <w:rFonts w:ascii="Avenir Roman" w:hAnsi="Avenir Roman"/>
          <w:sz w:val="16"/>
          <w:szCs w:val="16"/>
          <w:lang w:val="en-AU"/>
        </w:rPr>
        <w:t>, article 6(1)</w:t>
      </w:r>
    </w:p>
  </w:footnote>
  <w:footnote w:id="100">
    <w:p w14:paraId="26AA8CB1" w14:textId="2DAE358B" w:rsidR="00D1282E" w:rsidRPr="002F4C4C" w:rsidRDefault="00D1282E" w:rsidP="002F4C4C">
      <w:pPr>
        <w:pStyle w:val="FootnoteText"/>
        <w:spacing w:after="0" w:line="240" w:lineRule="auto"/>
        <w:jc w:val="left"/>
        <w:rPr>
          <w:rFonts w:ascii="Avenir Roman" w:hAnsi="Avenir Roman"/>
          <w:sz w:val="16"/>
          <w:szCs w:val="16"/>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Theresia Degener, “Disability in a Human Rights Context”, </w:t>
      </w:r>
      <w:r w:rsidRPr="002F4C4C">
        <w:rPr>
          <w:rFonts w:ascii="Avenir Roman" w:hAnsi="Avenir Roman"/>
          <w:i/>
          <w:sz w:val="16"/>
          <w:szCs w:val="16"/>
          <w:lang w:val="en-AU"/>
        </w:rPr>
        <w:t xml:space="preserve">Laws </w:t>
      </w:r>
      <w:r w:rsidRPr="002F4C4C">
        <w:rPr>
          <w:rFonts w:ascii="Avenir Roman" w:hAnsi="Avenir Roman"/>
          <w:sz w:val="16"/>
          <w:szCs w:val="16"/>
          <w:lang w:val="en-AU"/>
        </w:rPr>
        <w:t xml:space="preserve">2016, </w:t>
      </w:r>
      <w:r w:rsidRPr="002F4C4C">
        <w:rPr>
          <w:rFonts w:ascii="Avenir Roman" w:hAnsi="Avenir Roman"/>
          <w:i/>
          <w:iCs/>
          <w:sz w:val="16"/>
          <w:szCs w:val="16"/>
        </w:rPr>
        <w:t>5</w:t>
      </w:r>
      <w:r w:rsidRPr="002F4C4C">
        <w:rPr>
          <w:rFonts w:ascii="Avenir Roman" w:hAnsi="Avenir Roman"/>
          <w:sz w:val="16"/>
          <w:szCs w:val="16"/>
        </w:rPr>
        <w:t xml:space="preserve">(3), 35, p. 10. Available at: </w:t>
      </w:r>
      <w:hyperlink r:id="rId48" w:history="1">
        <w:r w:rsidRPr="002F4C4C">
          <w:rPr>
            <w:rStyle w:val="Hyperlink"/>
            <w:rFonts w:ascii="Avenir Roman" w:hAnsi="Avenir Roman"/>
            <w:bCs/>
            <w:sz w:val="16"/>
            <w:szCs w:val="16"/>
          </w:rPr>
          <w:t>https://doi.org/10.3390/laws5030035</w:t>
        </w:r>
      </w:hyperlink>
    </w:p>
  </w:footnote>
  <w:footnote w:id="101">
    <w:p w14:paraId="77E42416" w14:textId="77777777"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Committee on the Rights of Persons with Disabilities, </w:t>
      </w:r>
      <w:r w:rsidRPr="002F4C4C">
        <w:rPr>
          <w:rFonts w:ascii="Avenir Roman" w:hAnsi="Avenir Roman"/>
          <w:i/>
          <w:sz w:val="16"/>
          <w:szCs w:val="16"/>
          <w:lang w:val="en-AU"/>
        </w:rPr>
        <w:t>General comment No. 3 (2016),</w:t>
      </w:r>
      <w:r w:rsidRPr="002F4C4C">
        <w:rPr>
          <w:rFonts w:ascii="Avenir Roman" w:hAnsi="Avenir Roman"/>
          <w:sz w:val="16"/>
          <w:szCs w:val="16"/>
          <w:lang w:val="en-AU"/>
        </w:rPr>
        <w:t xml:space="preserve"> op. cit., para 12.</w:t>
      </w:r>
    </w:p>
  </w:footnote>
  <w:footnote w:id="102">
    <w:p w14:paraId="06496345" w14:textId="77777777"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Ibid</w:t>
      </w:r>
    </w:p>
  </w:footnote>
  <w:footnote w:id="103">
    <w:p w14:paraId="48720A89" w14:textId="3C2B6FEE" w:rsidR="00D1282E" w:rsidRPr="00917FF1" w:rsidRDefault="00D1282E" w:rsidP="002F4C4C">
      <w:pPr>
        <w:pStyle w:val="FootnoteText"/>
        <w:spacing w:after="0" w:line="240" w:lineRule="auto"/>
        <w:jc w:val="left"/>
        <w:rPr>
          <w:rFonts w:ascii="Avenir Roman" w:hAnsi="Avenir Roman"/>
          <w:sz w:val="16"/>
          <w:szCs w:val="16"/>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These references are found in </w:t>
      </w:r>
      <w:r w:rsidRPr="002F4C4C">
        <w:rPr>
          <w:rFonts w:ascii="Avenir Roman" w:hAnsi="Avenir Roman"/>
          <w:sz w:val="16"/>
          <w:szCs w:val="16"/>
          <w:lang w:val="en-US"/>
        </w:rPr>
        <w:t xml:space="preserve">article 8 </w:t>
      </w:r>
      <w:r w:rsidRPr="002F4C4C">
        <w:rPr>
          <w:rFonts w:ascii="Avenir Roman" w:hAnsi="Avenir Roman"/>
          <w:i/>
          <w:sz w:val="16"/>
          <w:szCs w:val="16"/>
          <w:lang w:val="en-US"/>
        </w:rPr>
        <w:t>Awareness-raising</w:t>
      </w:r>
      <w:r w:rsidRPr="002F4C4C">
        <w:rPr>
          <w:rFonts w:ascii="Avenir Roman" w:hAnsi="Avenir Roman"/>
          <w:sz w:val="16"/>
          <w:szCs w:val="16"/>
          <w:lang w:val="en-US"/>
        </w:rPr>
        <w:t xml:space="preserve">; article 13 </w:t>
      </w:r>
      <w:r w:rsidRPr="002F4C4C">
        <w:rPr>
          <w:rFonts w:ascii="Avenir Roman" w:hAnsi="Avenir Roman"/>
          <w:i/>
          <w:sz w:val="16"/>
          <w:szCs w:val="16"/>
          <w:lang w:val="en-US"/>
        </w:rPr>
        <w:t>Access to justice</w:t>
      </w:r>
      <w:r w:rsidRPr="002F4C4C">
        <w:rPr>
          <w:rFonts w:ascii="Avenir Roman" w:hAnsi="Avenir Roman"/>
          <w:sz w:val="16"/>
          <w:szCs w:val="16"/>
          <w:lang w:val="en-US"/>
        </w:rPr>
        <w:t xml:space="preserve">; article 16 </w:t>
      </w:r>
      <w:r w:rsidRPr="002F4C4C">
        <w:rPr>
          <w:rFonts w:ascii="Avenir Roman" w:hAnsi="Avenir Roman"/>
          <w:i/>
          <w:sz w:val="16"/>
          <w:szCs w:val="16"/>
          <w:lang w:val="en-US"/>
        </w:rPr>
        <w:t>Freedom from exploitation, violence and abuse</w:t>
      </w:r>
      <w:r w:rsidRPr="002F4C4C">
        <w:rPr>
          <w:rFonts w:ascii="Avenir Roman" w:hAnsi="Avenir Roman"/>
          <w:sz w:val="16"/>
          <w:szCs w:val="16"/>
          <w:lang w:val="en-US"/>
        </w:rPr>
        <w:t xml:space="preserve">; article 25 </w:t>
      </w:r>
      <w:r w:rsidRPr="002F4C4C">
        <w:rPr>
          <w:rFonts w:ascii="Avenir Roman" w:hAnsi="Avenir Roman"/>
          <w:i/>
          <w:sz w:val="16"/>
          <w:szCs w:val="16"/>
          <w:lang w:val="en-US"/>
        </w:rPr>
        <w:t>Health</w:t>
      </w:r>
      <w:r w:rsidRPr="002F4C4C">
        <w:rPr>
          <w:rFonts w:ascii="Avenir Roman" w:hAnsi="Avenir Roman"/>
          <w:sz w:val="16"/>
          <w:szCs w:val="16"/>
          <w:lang w:val="en-US"/>
        </w:rPr>
        <w:t xml:space="preserve">; Article 34 </w:t>
      </w:r>
      <w:r w:rsidRPr="002F4C4C">
        <w:rPr>
          <w:rFonts w:ascii="Avenir Roman" w:hAnsi="Avenir Roman"/>
          <w:i/>
          <w:sz w:val="16"/>
          <w:szCs w:val="16"/>
          <w:lang w:val="en-US"/>
        </w:rPr>
        <w:t>Committee on the Rights of Persons with Disabilities.</w:t>
      </w:r>
    </w:p>
  </w:footnote>
  <w:footnote w:id="104">
    <w:p w14:paraId="14293E16" w14:textId="143BE08A" w:rsidR="00D1282E" w:rsidRPr="00917FF1" w:rsidRDefault="00D1282E" w:rsidP="002F4C4C">
      <w:pPr>
        <w:pStyle w:val="FootnoteText"/>
        <w:spacing w:after="0" w:line="240" w:lineRule="auto"/>
        <w:jc w:val="left"/>
        <w:rPr>
          <w:rFonts w:ascii="Avenir Roman" w:hAnsi="Avenir Roman"/>
          <w:sz w:val="16"/>
          <w:szCs w:val="16"/>
          <w:lang w:val="en-AU"/>
        </w:rPr>
      </w:pPr>
      <w:r w:rsidRPr="00917FF1">
        <w:rPr>
          <w:rStyle w:val="FootnoteReference"/>
          <w:rFonts w:ascii="Avenir Roman" w:hAnsi="Avenir Roman"/>
          <w:sz w:val="16"/>
          <w:szCs w:val="16"/>
        </w:rPr>
        <w:footnoteRef/>
      </w:r>
      <w:r w:rsidRPr="00917FF1">
        <w:rPr>
          <w:rFonts w:ascii="Avenir Roman" w:hAnsi="Avenir Roman"/>
          <w:sz w:val="16"/>
          <w:szCs w:val="16"/>
        </w:rPr>
        <w:t xml:space="preserve"> </w:t>
      </w:r>
      <w:r w:rsidRPr="00917FF1">
        <w:rPr>
          <w:rFonts w:ascii="Avenir Roman" w:hAnsi="Avenir Roman"/>
          <w:sz w:val="16"/>
          <w:szCs w:val="16"/>
          <w:lang w:val="en-AU"/>
        </w:rPr>
        <w:t xml:space="preserve">Committee on the Rights of Persons with Disabilities, </w:t>
      </w:r>
      <w:r w:rsidRPr="00917FF1">
        <w:rPr>
          <w:rFonts w:ascii="Avenir Roman" w:hAnsi="Avenir Roman"/>
          <w:i/>
          <w:sz w:val="16"/>
          <w:szCs w:val="16"/>
          <w:lang w:val="en-AU"/>
        </w:rPr>
        <w:t>General comment No. 3 (2016),</w:t>
      </w:r>
      <w:r w:rsidRPr="00917FF1">
        <w:rPr>
          <w:rFonts w:ascii="Avenir Roman" w:hAnsi="Avenir Roman"/>
          <w:sz w:val="16"/>
          <w:szCs w:val="16"/>
          <w:lang w:val="en-AU"/>
        </w:rPr>
        <w:t xml:space="preserve"> op. cit., para 9.</w:t>
      </w:r>
    </w:p>
  </w:footnote>
  <w:footnote w:id="105">
    <w:p w14:paraId="5A0AF3A6" w14:textId="77777777" w:rsidR="00D1282E" w:rsidRPr="003449E6" w:rsidRDefault="00D1282E" w:rsidP="002F4C4C">
      <w:pPr>
        <w:pStyle w:val="FootnoteText"/>
        <w:spacing w:after="0" w:line="240" w:lineRule="auto"/>
        <w:jc w:val="left"/>
        <w:rPr>
          <w:rFonts w:ascii="Avenir Book" w:hAnsi="Avenir Book"/>
          <w:sz w:val="16"/>
          <w:szCs w:val="16"/>
          <w:lang w:val="en-AU"/>
        </w:rPr>
      </w:pPr>
      <w:r w:rsidRPr="00917FF1">
        <w:rPr>
          <w:rStyle w:val="FootnoteReference"/>
          <w:rFonts w:ascii="Avenir Roman" w:hAnsi="Avenir Roman"/>
          <w:sz w:val="16"/>
          <w:szCs w:val="16"/>
        </w:rPr>
        <w:footnoteRef/>
      </w:r>
      <w:r w:rsidRPr="00917FF1">
        <w:rPr>
          <w:rFonts w:ascii="Avenir Roman" w:hAnsi="Avenir Roman"/>
          <w:sz w:val="16"/>
          <w:szCs w:val="16"/>
        </w:rPr>
        <w:t xml:space="preserve"> </w:t>
      </w:r>
      <w:r w:rsidRPr="00917FF1">
        <w:rPr>
          <w:rFonts w:ascii="Avenir Roman" w:hAnsi="Avenir Roman"/>
          <w:sz w:val="16"/>
          <w:szCs w:val="16"/>
          <w:lang w:val="en-AU"/>
        </w:rPr>
        <w:t>Ibid., para 37</w:t>
      </w:r>
    </w:p>
  </w:footnote>
  <w:footnote w:id="106">
    <w:p w14:paraId="713204E3" w14:textId="77777777" w:rsidR="00D1282E" w:rsidRPr="003449E6" w:rsidRDefault="00D1282E" w:rsidP="002F4C4C">
      <w:pPr>
        <w:pStyle w:val="FootnoteText"/>
        <w:spacing w:after="0" w:line="240" w:lineRule="auto"/>
        <w:rPr>
          <w:rFonts w:ascii="Avenir Book" w:hAnsi="Avenir Book"/>
          <w:sz w:val="16"/>
          <w:szCs w:val="16"/>
          <w:lang w:val="en-AU"/>
        </w:rPr>
      </w:pPr>
      <w:r w:rsidRPr="003449E6">
        <w:rPr>
          <w:rStyle w:val="FootnoteReference"/>
          <w:rFonts w:ascii="Avenir Book" w:hAnsi="Avenir Book"/>
          <w:sz w:val="16"/>
          <w:szCs w:val="16"/>
        </w:rPr>
        <w:footnoteRef/>
      </w:r>
      <w:r w:rsidRPr="003449E6">
        <w:rPr>
          <w:rFonts w:ascii="Avenir Book" w:hAnsi="Avenir Book"/>
          <w:sz w:val="16"/>
          <w:szCs w:val="16"/>
        </w:rPr>
        <w:t xml:space="preserve"> </w:t>
      </w:r>
      <w:r w:rsidRPr="003449E6">
        <w:rPr>
          <w:rFonts w:ascii="Avenir Book" w:hAnsi="Avenir Book"/>
          <w:sz w:val="16"/>
          <w:szCs w:val="16"/>
          <w:lang w:val="en-AU"/>
        </w:rPr>
        <w:t>Ibid., paras 29-46</w:t>
      </w:r>
    </w:p>
  </w:footnote>
  <w:footnote w:id="107">
    <w:p w14:paraId="66E0004A" w14:textId="22EDA125" w:rsidR="00D1282E" w:rsidRPr="00917FF1" w:rsidRDefault="00D1282E" w:rsidP="002F4C4C">
      <w:pPr>
        <w:pStyle w:val="FootnoteText"/>
        <w:spacing w:after="0" w:line="240" w:lineRule="auto"/>
        <w:rPr>
          <w:lang w:val="en-AU"/>
        </w:rPr>
      </w:pPr>
      <w:r>
        <w:rPr>
          <w:rStyle w:val="FootnoteReference"/>
        </w:rPr>
        <w:footnoteRef/>
      </w:r>
      <w:r>
        <w:t xml:space="preserve"> </w:t>
      </w:r>
      <w:r>
        <w:rPr>
          <w:rFonts w:ascii="Avenir Book" w:hAnsi="Avenir Book"/>
          <w:sz w:val="16"/>
          <w:szCs w:val="16"/>
          <w:lang w:val="en-AU"/>
        </w:rPr>
        <w:t>Ibid</w:t>
      </w:r>
      <w:r w:rsidRPr="003449E6">
        <w:rPr>
          <w:rFonts w:ascii="Avenir Book" w:hAnsi="Avenir Book"/>
          <w:sz w:val="16"/>
          <w:szCs w:val="16"/>
          <w:lang w:val="en-AU"/>
        </w:rPr>
        <w:t xml:space="preserve">., para </w:t>
      </w:r>
      <w:r>
        <w:rPr>
          <w:rFonts w:ascii="Avenir Book" w:hAnsi="Avenir Book"/>
          <w:sz w:val="16"/>
          <w:szCs w:val="16"/>
          <w:lang w:val="en-AU"/>
        </w:rPr>
        <w:t>55</w:t>
      </w:r>
      <w:r w:rsidRPr="003449E6">
        <w:rPr>
          <w:rFonts w:ascii="Avenir Book" w:hAnsi="Avenir Book"/>
          <w:sz w:val="16"/>
          <w:szCs w:val="16"/>
          <w:lang w:val="en-AU"/>
        </w:rPr>
        <w:t>.</w:t>
      </w:r>
    </w:p>
  </w:footnote>
  <w:footnote w:id="108">
    <w:p w14:paraId="012A7C0B" w14:textId="45FB8BE0" w:rsidR="00D1282E" w:rsidRPr="00917FF1" w:rsidRDefault="00D1282E" w:rsidP="002F4C4C">
      <w:pPr>
        <w:pStyle w:val="FootnoteText"/>
        <w:spacing w:after="0" w:line="240" w:lineRule="auto"/>
        <w:rPr>
          <w:rFonts w:ascii="Avenir Roman" w:hAnsi="Avenir Roman"/>
          <w:sz w:val="16"/>
          <w:szCs w:val="16"/>
          <w:lang w:val="en-AU"/>
        </w:rPr>
      </w:pPr>
      <w:r>
        <w:rPr>
          <w:rStyle w:val="FootnoteReference"/>
        </w:rPr>
        <w:footnoteRef/>
      </w:r>
      <w:r>
        <w:t xml:space="preserve"> </w:t>
      </w:r>
      <w:r w:rsidRPr="003449E6">
        <w:rPr>
          <w:rFonts w:ascii="Avenir Book" w:hAnsi="Avenir Book"/>
          <w:sz w:val="16"/>
          <w:szCs w:val="16"/>
          <w:lang w:val="en-AU"/>
        </w:rPr>
        <w:t xml:space="preserve">Committee on the Rights of Persons with Disabilities, </w:t>
      </w:r>
      <w:r w:rsidRPr="003449E6">
        <w:rPr>
          <w:rFonts w:ascii="Avenir Book" w:hAnsi="Avenir Book"/>
          <w:i/>
          <w:sz w:val="16"/>
          <w:szCs w:val="16"/>
          <w:lang w:val="en-AU"/>
        </w:rPr>
        <w:t>General comment No. 3 (2016),</w:t>
      </w:r>
      <w:r w:rsidRPr="003449E6">
        <w:rPr>
          <w:rFonts w:ascii="Avenir Book" w:hAnsi="Avenir Book"/>
          <w:sz w:val="16"/>
          <w:szCs w:val="16"/>
          <w:lang w:val="en-AU"/>
        </w:rPr>
        <w:t xml:space="preserve"> op. cit., para </w:t>
      </w:r>
      <w:r>
        <w:rPr>
          <w:rFonts w:ascii="Avenir Book" w:hAnsi="Avenir Book"/>
          <w:sz w:val="16"/>
          <w:szCs w:val="16"/>
          <w:lang w:val="en-AU"/>
        </w:rPr>
        <w:t xml:space="preserve">55; </w:t>
      </w:r>
      <w:r w:rsidRPr="0020650B">
        <w:rPr>
          <w:rFonts w:ascii="Avenir Roman" w:hAnsi="Avenir Roman"/>
          <w:sz w:val="16"/>
          <w:szCs w:val="16"/>
          <w:lang w:val="en-AU"/>
        </w:rPr>
        <w:t xml:space="preserve">Committee on the Rights of Persons with Disabilities, </w:t>
      </w:r>
      <w:r w:rsidRPr="0020650B">
        <w:rPr>
          <w:rFonts w:ascii="Avenir Roman" w:hAnsi="Avenir Roman"/>
          <w:i/>
          <w:sz w:val="16"/>
          <w:szCs w:val="16"/>
          <w:lang w:val="en-AU"/>
        </w:rPr>
        <w:t xml:space="preserve">General comment No. 5 (2017) on living independently and being included in the community, </w:t>
      </w:r>
      <w:r w:rsidRPr="0020650B">
        <w:rPr>
          <w:rFonts w:ascii="Avenir Roman" w:hAnsi="Avenir Roman"/>
          <w:sz w:val="16"/>
          <w:szCs w:val="16"/>
          <w:lang w:val="en-AU"/>
        </w:rPr>
        <w:t xml:space="preserve">op. cit., para </w:t>
      </w:r>
      <w:r w:rsidRPr="00917FF1">
        <w:rPr>
          <w:rFonts w:ascii="Avenir Roman" w:hAnsi="Avenir Roman"/>
          <w:sz w:val="16"/>
          <w:szCs w:val="16"/>
          <w:lang w:val="en-AU"/>
        </w:rPr>
        <w:t>73.</w:t>
      </w:r>
    </w:p>
  </w:footnote>
  <w:footnote w:id="109">
    <w:p w14:paraId="370398D0" w14:textId="22BDAAF3" w:rsidR="00D1282E" w:rsidRPr="00917FF1" w:rsidRDefault="00D1282E" w:rsidP="002F4C4C">
      <w:pPr>
        <w:pStyle w:val="FootnoteText"/>
        <w:spacing w:after="0" w:line="240" w:lineRule="auto"/>
        <w:rPr>
          <w:rFonts w:ascii="Avenir Roman" w:hAnsi="Avenir Roman"/>
          <w:sz w:val="16"/>
          <w:szCs w:val="16"/>
          <w:lang w:val="en-AU"/>
        </w:rPr>
      </w:pPr>
      <w:r w:rsidRPr="00917FF1">
        <w:rPr>
          <w:rStyle w:val="FootnoteReference"/>
          <w:rFonts w:ascii="Avenir Roman" w:hAnsi="Avenir Roman"/>
          <w:sz w:val="16"/>
          <w:szCs w:val="16"/>
        </w:rPr>
        <w:footnoteRef/>
      </w:r>
      <w:r w:rsidRPr="00917FF1">
        <w:rPr>
          <w:rFonts w:ascii="Avenir Roman" w:hAnsi="Avenir Roman"/>
          <w:sz w:val="16"/>
          <w:szCs w:val="16"/>
        </w:rPr>
        <w:t xml:space="preserve"> </w:t>
      </w:r>
      <w:r w:rsidRPr="00917FF1">
        <w:rPr>
          <w:rFonts w:ascii="Avenir Roman" w:hAnsi="Avenir Roman"/>
          <w:sz w:val="16"/>
          <w:szCs w:val="16"/>
          <w:lang w:val="en-AU"/>
        </w:rPr>
        <w:t xml:space="preserve">Committee on the Rights of Persons with Disabilities, </w:t>
      </w:r>
      <w:r w:rsidRPr="00917FF1">
        <w:rPr>
          <w:rFonts w:ascii="Avenir Roman" w:hAnsi="Avenir Roman"/>
          <w:i/>
          <w:sz w:val="16"/>
          <w:szCs w:val="16"/>
          <w:lang w:val="en-AU"/>
        </w:rPr>
        <w:t>General comment No. 3 (2016),</w:t>
      </w:r>
      <w:r w:rsidRPr="00917FF1">
        <w:rPr>
          <w:rFonts w:ascii="Avenir Roman" w:hAnsi="Avenir Roman"/>
          <w:sz w:val="16"/>
          <w:szCs w:val="16"/>
          <w:lang w:val="en-AU"/>
        </w:rPr>
        <w:t xml:space="preserve"> op. cit., para 59.</w:t>
      </w:r>
    </w:p>
  </w:footnote>
  <w:footnote w:id="110">
    <w:p w14:paraId="7A0359B1" w14:textId="044903DE" w:rsidR="00D1282E" w:rsidRPr="00917FF1" w:rsidRDefault="00D1282E" w:rsidP="002F4C4C">
      <w:pPr>
        <w:pStyle w:val="FootnoteText"/>
        <w:spacing w:after="0" w:line="240" w:lineRule="auto"/>
        <w:rPr>
          <w:lang w:val="en-AU"/>
        </w:rPr>
      </w:pPr>
      <w:r w:rsidRPr="00917FF1">
        <w:rPr>
          <w:rStyle w:val="FootnoteReference"/>
          <w:rFonts w:ascii="Avenir Roman" w:hAnsi="Avenir Roman"/>
          <w:sz w:val="16"/>
          <w:szCs w:val="16"/>
        </w:rPr>
        <w:footnoteRef/>
      </w:r>
      <w:r w:rsidRPr="00917FF1">
        <w:rPr>
          <w:rFonts w:ascii="Avenir Roman" w:hAnsi="Avenir Roman"/>
          <w:sz w:val="16"/>
          <w:szCs w:val="16"/>
        </w:rPr>
        <w:t xml:space="preserve"> </w:t>
      </w:r>
      <w:r w:rsidRPr="00917FF1">
        <w:rPr>
          <w:rFonts w:ascii="Avenir Roman" w:hAnsi="Avenir Roman"/>
          <w:sz w:val="16"/>
          <w:szCs w:val="16"/>
          <w:lang w:val="en-AU"/>
        </w:rPr>
        <w:t xml:space="preserve">Persons with Disabilities, </w:t>
      </w:r>
      <w:r w:rsidRPr="00917FF1">
        <w:rPr>
          <w:rFonts w:ascii="Avenir Roman" w:hAnsi="Avenir Roman"/>
          <w:i/>
          <w:sz w:val="16"/>
          <w:szCs w:val="16"/>
          <w:lang w:val="en-AU"/>
        </w:rPr>
        <w:t xml:space="preserve">General comment No. 5 (2017) on living independently and being included in the community, </w:t>
      </w:r>
      <w:r w:rsidRPr="00917FF1">
        <w:rPr>
          <w:rFonts w:ascii="Avenir Roman" w:hAnsi="Avenir Roman"/>
          <w:sz w:val="16"/>
          <w:szCs w:val="16"/>
          <w:lang w:val="en-AU"/>
        </w:rPr>
        <w:t xml:space="preserve">op. cit., para </w:t>
      </w:r>
      <w:r>
        <w:rPr>
          <w:rFonts w:ascii="Avenir Roman" w:hAnsi="Avenir Roman"/>
          <w:sz w:val="16"/>
          <w:szCs w:val="16"/>
          <w:lang w:val="en-AU"/>
        </w:rPr>
        <w:t>8</w:t>
      </w:r>
      <w:r w:rsidRPr="00917FF1">
        <w:rPr>
          <w:rFonts w:ascii="Avenir Roman" w:hAnsi="Avenir Roman"/>
          <w:sz w:val="16"/>
          <w:szCs w:val="16"/>
          <w:lang w:val="en-AU"/>
        </w:rPr>
        <w:t>.</w:t>
      </w:r>
    </w:p>
  </w:footnote>
  <w:footnote w:id="111">
    <w:p w14:paraId="4F31FEB1" w14:textId="27B97F4F"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Committee on the Rights of Persons with Disabilities, </w:t>
      </w:r>
      <w:r w:rsidRPr="002F4C4C">
        <w:rPr>
          <w:rFonts w:ascii="Avenir Roman" w:hAnsi="Avenir Roman"/>
          <w:i/>
          <w:sz w:val="16"/>
          <w:szCs w:val="16"/>
          <w:lang w:val="en-AU"/>
        </w:rPr>
        <w:t>General comment No. 3 (2016),</w:t>
      </w:r>
      <w:r w:rsidRPr="002F4C4C">
        <w:rPr>
          <w:rFonts w:ascii="Avenir Roman" w:hAnsi="Avenir Roman"/>
          <w:sz w:val="16"/>
          <w:szCs w:val="16"/>
          <w:lang w:val="en-AU"/>
        </w:rPr>
        <w:t xml:space="preserve"> op. cit., para 59.</w:t>
      </w:r>
    </w:p>
  </w:footnote>
  <w:footnote w:id="112">
    <w:p w14:paraId="6240E230" w14:textId="5A07DE57"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Committee on the Rights of Persons with Disabilities, </w:t>
      </w:r>
      <w:r w:rsidRPr="002F4C4C">
        <w:rPr>
          <w:rFonts w:ascii="Avenir Roman" w:hAnsi="Avenir Roman"/>
          <w:i/>
          <w:sz w:val="16"/>
          <w:szCs w:val="16"/>
          <w:lang w:val="en-AU"/>
        </w:rPr>
        <w:t>General comment No. 3 (2016),</w:t>
      </w:r>
      <w:r w:rsidRPr="002F4C4C">
        <w:rPr>
          <w:rFonts w:ascii="Avenir Roman" w:hAnsi="Avenir Roman"/>
          <w:sz w:val="16"/>
          <w:szCs w:val="16"/>
          <w:lang w:val="en-AU"/>
        </w:rPr>
        <w:t xml:space="preserve"> op. cit., para 44.</w:t>
      </w:r>
    </w:p>
  </w:footnote>
  <w:footnote w:id="113">
    <w:p w14:paraId="15FC416B" w14:textId="305944F2" w:rsidR="00D1282E" w:rsidRPr="00D06DDB"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Committee on the Rights of Persons with Disabilities, </w:t>
      </w:r>
      <w:r w:rsidRPr="002F4C4C">
        <w:rPr>
          <w:rFonts w:ascii="Avenir Roman" w:hAnsi="Avenir Roman"/>
          <w:i/>
          <w:sz w:val="16"/>
          <w:szCs w:val="16"/>
          <w:lang w:val="en-AU"/>
        </w:rPr>
        <w:t>General comment No. 3 (2016),</w:t>
      </w:r>
      <w:r w:rsidRPr="002F4C4C">
        <w:rPr>
          <w:rFonts w:ascii="Avenir Roman" w:hAnsi="Avenir Roman"/>
          <w:sz w:val="16"/>
          <w:szCs w:val="16"/>
          <w:lang w:val="en-AU"/>
        </w:rPr>
        <w:t xml:space="preserve"> op. cit., para 55; Committee on the Rights of Persons with Disabilities, </w:t>
      </w:r>
      <w:r w:rsidRPr="002F4C4C">
        <w:rPr>
          <w:rFonts w:ascii="Avenir Roman" w:hAnsi="Avenir Roman"/>
          <w:i/>
          <w:sz w:val="16"/>
          <w:szCs w:val="16"/>
          <w:lang w:val="en-AU"/>
        </w:rPr>
        <w:t xml:space="preserve">General comment No. 5 (2017) on living independently and being included in the community, </w:t>
      </w:r>
      <w:r w:rsidRPr="002F4C4C">
        <w:rPr>
          <w:rFonts w:ascii="Avenir Roman" w:hAnsi="Avenir Roman"/>
          <w:sz w:val="16"/>
          <w:szCs w:val="16"/>
          <w:lang w:val="en-AU"/>
        </w:rPr>
        <w:t>op. cit., para 73.</w:t>
      </w:r>
    </w:p>
  </w:footnote>
  <w:footnote w:id="114">
    <w:p w14:paraId="0EC4E511" w14:textId="77777777" w:rsidR="00D1282E" w:rsidRPr="00D06DDB" w:rsidRDefault="00D1282E" w:rsidP="002F4C4C">
      <w:pPr>
        <w:pStyle w:val="FootnoteText"/>
        <w:spacing w:after="0" w:line="240" w:lineRule="auto"/>
        <w:jc w:val="left"/>
        <w:rPr>
          <w:rFonts w:ascii="Avenir Roman" w:hAnsi="Avenir Roman"/>
          <w:sz w:val="16"/>
          <w:szCs w:val="16"/>
          <w:lang w:val="en-AU"/>
        </w:rPr>
      </w:pPr>
      <w:r w:rsidRPr="00D06DDB">
        <w:rPr>
          <w:rStyle w:val="FootnoteReference"/>
          <w:rFonts w:ascii="Avenir Roman" w:hAnsi="Avenir Roman"/>
          <w:sz w:val="16"/>
          <w:szCs w:val="16"/>
        </w:rPr>
        <w:footnoteRef/>
      </w:r>
      <w:r w:rsidRPr="00D06DDB">
        <w:rPr>
          <w:rFonts w:ascii="Avenir Roman" w:hAnsi="Avenir Roman"/>
          <w:sz w:val="16"/>
          <w:szCs w:val="16"/>
        </w:rPr>
        <w:t xml:space="preserve"> </w:t>
      </w:r>
      <w:r w:rsidRPr="00D06DDB">
        <w:rPr>
          <w:rFonts w:ascii="Avenir Roman" w:hAnsi="Avenir Roman"/>
          <w:sz w:val="16"/>
          <w:szCs w:val="16"/>
          <w:lang w:val="en-AU"/>
        </w:rPr>
        <w:t>Ibid., para 23.</w:t>
      </w:r>
    </w:p>
  </w:footnote>
  <w:footnote w:id="115">
    <w:p w14:paraId="712C9729" w14:textId="77777777" w:rsidR="00D1282E" w:rsidRPr="00D06DDB" w:rsidRDefault="00D1282E" w:rsidP="002F4C4C">
      <w:pPr>
        <w:pStyle w:val="FootnoteText"/>
        <w:spacing w:after="0" w:line="240" w:lineRule="auto"/>
        <w:jc w:val="left"/>
        <w:rPr>
          <w:rFonts w:ascii="Avenir Roman" w:hAnsi="Avenir Roman"/>
          <w:sz w:val="16"/>
          <w:szCs w:val="16"/>
          <w:lang w:val="en-AU"/>
        </w:rPr>
      </w:pPr>
      <w:r w:rsidRPr="00D06DDB">
        <w:rPr>
          <w:rStyle w:val="FootnoteReference"/>
          <w:rFonts w:ascii="Avenir Roman" w:hAnsi="Avenir Roman"/>
          <w:sz w:val="16"/>
          <w:szCs w:val="16"/>
        </w:rPr>
        <w:footnoteRef/>
      </w:r>
      <w:r w:rsidRPr="00D06DDB">
        <w:rPr>
          <w:rFonts w:ascii="Avenir Roman" w:hAnsi="Avenir Roman"/>
          <w:sz w:val="16"/>
          <w:szCs w:val="16"/>
        </w:rPr>
        <w:t xml:space="preserve"> </w:t>
      </w:r>
      <w:r w:rsidRPr="00D06DDB">
        <w:rPr>
          <w:rFonts w:ascii="Avenir Roman" w:hAnsi="Avenir Roman"/>
          <w:sz w:val="16"/>
          <w:szCs w:val="16"/>
          <w:lang w:val="en-AU"/>
        </w:rPr>
        <w:t xml:space="preserve">Persons with Disabilities, </w:t>
      </w:r>
      <w:r w:rsidRPr="00D06DDB">
        <w:rPr>
          <w:rFonts w:ascii="Avenir Roman" w:hAnsi="Avenir Roman"/>
          <w:i/>
          <w:sz w:val="16"/>
          <w:szCs w:val="16"/>
          <w:lang w:val="en-AU"/>
        </w:rPr>
        <w:t xml:space="preserve">General comment No. 5 (2017) on living independently and being included in the community, </w:t>
      </w:r>
      <w:r w:rsidRPr="00D06DDB">
        <w:rPr>
          <w:rFonts w:ascii="Avenir Roman" w:hAnsi="Avenir Roman"/>
          <w:sz w:val="16"/>
          <w:szCs w:val="16"/>
          <w:lang w:val="en-AU"/>
        </w:rPr>
        <w:t>op. cit., para 72.</w:t>
      </w:r>
    </w:p>
  </w:footnote>
  <w:footnote w:id="116">
    <w:p w14:paraId="3E4B7275" w14:textId="77777777"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Royal Commission into Violence, Abuse, Neglect and Exploitation of People with Disability, </w:t>
      </w:r>
      <w:r w:rsidRPr="002F4C4C">
        <w:rPr>
          <w:rFonts w:ascii="Avenir Roman" w:hAnsi="Avenir Roman"/>
          <w:i/>
          <w:sz w:val="16"/>
          <w:szCs w:val="16"/>
          <w:lang w:val="en-AU"/>
        </w:rPr>
        <w:t xml:space="preserve">Transcript of Proceedings, </w:t>
      </w:r>
      <w:r w:rsidRPr="002F4C4C">
        <w:rPr>
          <w:rFonts w:ascii="Avenir Roman" w:hAnsi="Avenir Roman"/>
          <w:sz w:val="16"/>
          <w:szCs w:val="16"/>
          <w:lang w:val="en-AU"/>
        </w:rPr>
        <w:t>Melbourne</w:t>
      </w:r>
      <w:r w:rsidRPr="002F4C4C">
        <w:rPr>
          <w:rFonts w:ascii="Avenir Roman" w:hAnsi="Avenir Roman"/>
          <w:i/>
          <w:sz w:val="16"/>
          <w:szCs w:val="16"/>
          <w:lang w:val="en-AU"/>
        </w:rPr>
        <w:t xml:space="preserve">, </w:t>
      </w:r>
      <w:r w:rsidRPr="002F4C4C">
        <w:rPr>
          <w:rFonts w:ascii="Avenir Roman" w:hAnsi="Avenir Roman"/>
          <w:sz w:val="16"/>
          <w:szCs w:val="16"/>
          <w:lang w:val="en-AU"/>
        </w:rPr>
        <w:t>5 December 2019, pp. 348-365.</w:t>
      </w:r>
    </w:p>
  </w:footnote>
  <w:footnote w:id="117">
    <w:p w14:paraId="2B289588" w14:textId="4C00DED9"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Royal Commission into Violence, Abuse, Neglect and Exploitation of People with Disability, </w:t>
      </w:r>
      <w:r w:rsidRPr="002F4C4C">
        <w:rPr>
          <w:rFonts w:ascii="Avenir Roman" w:hAnsi="Avenir Roman"/>
          <w:i/>
          <w:sz w:val="16"/>
          <w:szCs w:val="16"/>
          <w:lang w:val="en-AU"/>
        </w:rPr>
        <w:t xml:space="preserve">Transcript of Proceedings, </w:t>
      </w:r>
      <w:r w:rsidRPr="002F4C4C">
        <w:rPr>
          <w:rFonts w:ascii="Avenir Roman" w:hAnsi="Avenir Roman"/>
          <w:sz w:val="16"/>
          <w:szCs w:val="16"/>
          <w:lang w:val="en-AU"/>
        </w:rPr>
        <w:t>Melbourne</w:t>
      </w:r>
      <w:r w:rsidRPr="002F4C4C">
        <w:rPr>
          <w:rFonts w:ascii="Avenir Roman" w:hAnsi="Avenir Roman"/>
          <w:i/>
          <w:sz w:val="16"/>
          <w:szCs w:val="16"/>
          <w:lang w:val="en-AU"/>
        </w:rPr>
        <w:t xml:space="preserve">, </w:t>
      </w:r>
      <w:r w:rsidRPr="002F4C4C">
        <w:rPr>
          <w:rFonts w:ascii="Avenir Roman" w:hAnsi="Avenir Roman"/>
          <w:sz w:val="16"/>
          <w:szCs w:val="16"/>
          <w:lang w:val="en-AU"/>
        </w:rPr>
        <w:t xml:space="preserve">4 December 2019, pp. 171-187.  Available at: </w:t>
      </w:r>
      <w:hyperlink r:id="rId49" w:history="1">
        <w:r w:rsidRPr="002F4C4C">
          <w:rPr>
            <w:rStyle w:val="Hyperlink"/>
            <w:rFonts w:ascii="Avenir Roman" w:hAnsi="Avenir Roman"/>
            <w:sz w:val="16"/>
            <w:szCs w:val="16"/>
            <w:lang w:val="en-AU"/>
          </w:rPr>
          <w:t>https://disability.royalcommission.gov.au/system/files/2020-04/Transcript%20Day%203%20-%20Homes%20and%20living%2C%20Melbourne_0.pdf</w:t>
        </w:r>
      </w:hyperlink>
    </w:p>
  </w:footnote>
  <w:footnote w:id="118">
    <w:p w14:paraId="41B6EDC9" w14:textId="126AF7CE" w:rsidR="00D1282E" w:rsidRPr="002F4C4C" w:rsidRDefault="00D1282E" w:rsidP="002F4C4C">
      <w:pPr>
        <w:spacing w:after="0" w:line="240" w:lineRule="auto"/>
        <w:jc w:val="left"/>
        <w:rPr>
          <w:rFonts w:ascii="Avenir Roman" w:hAnsi="Avenir Roman"/>
          <w:bCs/>
          <w:sz w:val="16"/>
          <w:szCs w:val="16"/>
        </w:rPr>
      </w:pPr>
      <w:r w:rsidRPr="002F4C4C">
        <w:rPr>
          <w:rStyle w:val="FootnoteReference"/>
          <w:rFonts w:ascii="Avenir Roman" w:hAnsi="Avenir Roman"/>
          <w:sz w:val="16"/>
          <w:szCs w:val="16"/>
        </w:rPr>
        <w:footnoteRef/>
      </w:r>
      <w:r w:rsidRPr="002F4C4C">
        <w:rPr>
          <w:rFonts w:ascii="Avenir Roman" w:hAnsi="Avenir Roman"/>
          <w:sz w:val="16"/>
          <w:szCs w:val="16"/>
        </w:rPr>
        <w:t xml:space="preserve"> See for example, Rhoda Olkin, H’Sien Hayward, Melody Schaff Abbene, Goldie VanHeel, ‘</w:t>
      </w:r>
      <w:r w:rsidRPr="002F4C4C">
        <w:rPr>
          <w:rFonts w:ascii="Avenir Roman" w:hAnsi="Avenir Roman"/>
          <w:bCs/>
          <w:sz w:val="16"/>
          <w:szCs w:val="16"/>
        </w:rPr>
        <w:t xml:space="preserve">The Experiences of Microaggressions against Women with Visible and Invisible Disabilities’ in </w:t>
      </w:r>
      <w:r w:rsidRPr="002F4C4C">
        <w:rPr>
          <w:rFonts w:ascii="Avenir Roman" w:hAnsi="Avenir Roman"/>
          <w:bCs/>
          <w:i/>
          <w:sz w:val="16"/>
          <w:szCs w:val="16"/>
        </w:rPr>
        <w:t>Journal of Social Issues,</w:t>
      </w:r>
      <w:r w:rsidRPr="002F4C4C">
        <w:rPr>
          <w:rFonts w:ascii="Avenir Roman" w:hAnsi="Avenir Roman"/>
          <w:bCs/>
          <w:sz w:val="16"/>
          <w:szCs w:val="16"/>
        </w:rPr>
        <w:t xml:space="preserve"> Vol. 75, No. 3, August 2019, pp. 757-785. Available at: </w:t>
      </w:r>
      <w:hyperlink r:id="rId50" w:history="1">
        <w:r w:rsidRPr="002F4C4C">
          <w:rPr>
            <w:rStyle w:val="Hyperlink"/>
            <w:rFonts w:ascii="Avenir Roman" w:hAnsi="Avenir Roman"/>
            <w:bCs/>
            <w:sz w:val="16"/>
            <w:szCs w:val="16"/>
          </w:rPr>
          <w:t>https://www.researchgate.net/publication/335349534_The_Experiences_of_Microaggressions_against_Women_with_Visible_and_Invisible_Disabilities</w:t>
        </w:r>
      </w:hyperlink>
      <w:r w:rsidRPr="002F4C4C">
        <w:rPr>
          <w:rFonts w:ascii="Avenir Roman" w:hAnsi="Avenir Roman"/>
          <w:bCs/>
          <w:sz w:val="16"/>
          <w:szCs w:val="16"/>
        </w:rPr>
        <w:t xml:space="preserve"> </w:t>
      </w:r>
    </w:p>
  </w:footnote>
  <w:footnote w:id="119">
    <w:p w14:paraId="1FAD0FA0" w14:textId="77777777" w:rsidR="00D1282E" w:rsidRPr="00E849E0"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AAI in </w:t>
      </w:r>
      <w:r w:rsidRPr="002F4C4C">
        <w:rPr>
          <w:rFonts w:ascii="Avenir Roman" w:hAnsi="Avenir Roman"/>
          <w:sz w:val="16"/>
          <w:szCs w:val="16"/>
          <w:lang w:val="en-AU"/>
        </w:rPr>
        <w:t xml:space="preserve">Royal Commission into Violence, Abuse, Neglect and Exploitation of People with Disability, </w:t>
      </w:r>
      <w:r w:rsidRPr="002F4C4C">
        <w:rPr>
          <w:rFonts w:ascii="Avenir Roman" w:hAnsi="Avenir Roman"/>
          <w:i/>
          <w:sz w:val="16"/>
          <w:szCs w:val="16"/>
          <w:lang w:val="en-AU"/>
        </w:rPr>
        <w:t xml:space="preserve">Transcript of Proceedings, </w:t>
      </w:r>
      <w:r w:rsidRPr="002F4C4C">
        <w:rPr>
          <w:rFonts w:ascii="Avenir Roman" w:hAnsi="Avenir Roman"/>
          <w:sz w:val="16"/>
          <w:szCs w:val="16"/>
          <w:lang w:val="en-AU"/>
        </w:rPr>
        <w:t>Melbourne</w:t>
      </w:r>
      <w:r w:rsidRPr="002F4C4C">
        <w:rPr>
          <w:rFonts w:ascii="Avenir Roman" w:hAnsi="Avenir Roman"/>
          <w:i/>
          <w:sz w:val="16"/>
          <w:szCs w:val="16"/>
          <w:lang w:val="en-AU"/>
        </w:rPr>
        <w:t xml:space="preserve">, </w:t>
      </w:r>
      <w:r w:rsidRPr="002F4C4C">
        <w:rPr>
          <w:rFonts w:ascii="Avenir Roman" w:hAnsi="Avenir Roman"/>
          <w:sz w:val="16"/>
          <w:szCs w:val="16"/>
          <w:lang w:val="en-AU"/>
        </w:rPr>
        <w:t>2 December 2019, p. 31.</w:t>
      </w:r>
    </w:p>
  </w:footnote>
  <w:footnote w:id="120">
    <w:p w14:paraId="52045FBE" w14:textId="67CACEAD"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French, P, op. cit., p. 25.</w:t>
      </w:r>
    </w:p>
  </w:footnote>
  <w:footnote w:id="121">
    <w:p w14:paraId="7D0F5F2B" w14:textId="4151227F"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Royal Commission into Violence, Abuse, Neglect and Exploitation of People with Disability, </w:t>
      </w:r>
      <w:r w:rsidRPr="002F4C4C">
        <w:rPr>
          <w:rFonts w:ascii="Avenir Roman" w:hAnsi="Avenir Roman"/>
          <w:i/>
          <w:sz w:val="16"/>
          <w:szCs w:val="16"/>
          <w:lang w:val="en-AU"/>
        </w:rPr>
        <w:t>Group Homes Issues Paper</w:t>
      </w:r>
      <w:r w:rsidRPr="002F4C4C">
        <w:rPr>
          <w:rFonts w:ascii="Avenir Roman" w:hAnsi="Avenir Roman"/>
          <w:sz w:val="16"/>
          <w:szCs w:val="16"/>
          <w:lang w:val="en-AU"/>
        </w:rPr>
        <w:t>, op. cit., p. 3.</w:t>
      </w:r>
    </w:p>
  </w:footnote>
  <w:footnote w:id="122">
    <w:p w14:paraId="0CF01F65" w14:textId="213A6294"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Office of the United Nations High Commissioner for Human Rights, </w:t>
      </w:r>
      <w:r w:rsidRPr="002F4C4C">
        <w:rPr>
          <w:rFonts w:ascii="Avenir Roman" w:hAnsi="Avenir Roman"/>
          <w:i/>
          <w:sz w:val="16"/>
          <w:szCs w:val="16"/>
          <w:lang w:val="en-AU"/>
        </w:rPr>
        <w:t>Thematic study on the right of persons with disabilities to live independently and be included in the community</w:t>
      </w:r>
      <w:r w:rsidRPr="002F4C4C">
        <w:rPr>
          <w:rFonts w:ascii="Avenir Roman" w:hAnsi="Avenir Roman"/>
          <w:sz w:val="16"/>
          <w:szCs w:val="16"/>
          <w:lang w:val="en-AU"/>
        </w:rPr>
        <w:t>, UN Doc A/HRC/28/37 (12 December 2014) para. 22.</w:t>
      </w:r>
    </w:p>
  </w:footnote>
  <w:footnote w:id="123">
    <w:p w14:paraId="47D1E14B" w14:textId="2535D968"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Community Affairs References Committee, </w:t>
      </w:r>
      <w:r w:rsidRPr="002F4C4C">
        <w:rPr>
          <w:rFonts w:ascii="Avenir Roman" w:hAnsi="Avenir Roman"/>
          <w:i/>
          <w:sz w:val="16"/>
          <w:szCs w:val="16"/>
        </w:rPr>
        <w:t xml:space="preserve">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 </w:t>
      </w:r>
      <w:r w:rsidRPr="002F4C4C">
        <w:rPr>
          <w:rFonts w:ascii="Avenir Roman" w:hAnsi="Avenir Roman"/>
          <w:sz w:val="16"/>
          <w:szCs w:val="16"/>
        </w:rPr>
        <w:t>op. cit., para 8.27, p. 223.</w:t>
      </w:r>
    </w:p>
  </w:footnote>
  <w:footnote w:id="124">
    <w:p w14:paraId="66C8AEA4" w14:textId="47B5D193"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Ibid. p. xxvi</w:t>
      </w:r>
    </w:p>
  </w:footnote>
  <w:footnote w:id="125">
    <w:p w14:paraId="7F43B59A" w14:textId="14347903" w:rsidR="00D1282E" w:rsidRPr="00B701C8"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Ibid. para 8.41, p. 226</w:t>
      </w:r>
    </w:p>
  </w:footnote>
  <w:footnote w:id="126">
    <w:p w14:paraId="3307EB2E" w14:textId="02C355C6" w:rsidR="00D1282E" w:rsidRPr="003B049D" w:rsidRDefault="00D1282E" w:rsidP="002F4C4C">
      <w:pPr>
        <w:pStyle w:val="FootnoteText"/>
        <w:spacing w:after="0" w:line="240" w:lineRule="auto"/>
        <w:jc w:val="left"/>
        <w:rPr>
          <w:rFonts w:ascii="Avenir Roman" w:hAnsi="Avenir Roman"/>
          <w:sz w:val="16"/>
          <w:szCs w:val="16"/>
          <w:lang w:val="en-AU"/>
        </w:rPr>
      </w:pPr>
      <w:r w:rsidRPr="003B049D">
        <w:rPr>
          <w:rStyle w:val="FootnoteReference"/>
          <w:rFonts w:ascii="Avenir Roman" w:hAnsi="Avenir Roman"/>
          <w:sz w:val="16"/>
          <w:szCs w:val="16"/>
        </w:rPr>
        <w:footnoteRef/>
      </w:r>
      <w:r w:rsidRPr="003B049D">
        <w:rPr>
          <w:rFonts w:ascii="Avenir Roman" w:hAnsi="Avenir Roman"/>
          <w:sz w:val="16"/>
          <w:szCs w:val="16"/>
        </w:rPr>
        <w:t xml:space="preserve"> </w:t>
      </w:r>
      <w:r w:rsidRPr="003B049D">
        <w:rPr>
          <w:rFonts w:ascii="Avenir Roman" w:hAnsi="Avenir Roman"/>
          <w:sz w:val="16"/>
          <w:szCs w:val="16"/>
          <w:lang w:val="en-AU"/>
        </w:rPr>
        <w:t>Theresia Degener, op. cit., p</w:t>
      </w:r>
      <w:r>
        <w:rPr>
          <w:rFonts w:ascii="Avenir Roman" w:hAnsi="Avenir Roman"/>
          <w:sz w:val="16"/>
          <w:szCs w:val="16"/>
          <w:lang w:val="en-AU"/>
        </w:rPr>
        <w:t>. 3.</w:t>
      </w:r>
    </w:p>
  </w:footnote>
  <w:footnote w:id="127">
    <w:p w14:paraId="51D62365" w14:textId="77777777" w:rsidR="00D1282E" w:rsidRPr="003B049D" w:rsidRDefault="00D1282E" w:rsidP="002F4C4C">
      <w:pPr>
        <w:pStyle w:val="FootnoteText"/>
        <w:spacing w:after="0" w:line="240" w:lineRule="auto"/>
        <w:jc w:val="left"/>
        <w:rPr>
          <w:rFonts w:ascii="Avenir Roman" w:hAnsi="Avenir Roman"/>
          <w:sz w:val="16"/>
          <w:szCs w:val="16"/>
          <w:lang w:val="en-AU"/>
        </w:rPr>
      </w:pPr>
      <w:r w:rsidRPr="003B049D">
        <w:rPr>
          <w:rStyle w:val="FootnoteReference"/>
          <w:rFonts w:ascii="Avenir Roman" w:hAnsi="Avenir Roman"/>
          <w:sz w:val="16"/>
          <w:szCs w:val="16"/>
        </w:rPr>
        <w:footnoteRef/>
      </w:r>
      <w:r w:rsidRPr="003B049D">
        <w:rPr>
          <w:rFonts w:ascii="Avenir Roman" w:hAnsi="Avenir Roman"/>
          <w:sz w:val="16"/>
          <w:szCs w:val="16"/>
        </w:rPr>
        <w:t xml:space="preserve"> </w:t>
      </w:r>
      <w:r w:rsidRPr="003B049D">
        <w:rPr>
          <w:rFonts w:ascii="Avenir Roman" w:hAnsi="Avenir Roman"/>
          <w:sz w:val="16"/>
          <w:szCs w:val="16"/>
          <w:lang w:val="en-AU"/>
        </w:rPr>
        <w:t>Ibid</w:t>
      </w:r>
    </w:p>
  </w:footnote>
  <w:footnote w:id="128">
    <w:p w14:paraId="1F18B1CF" w14:textId="77777777" w:rsidR="00D1282E" w:rsidRPr="003B049D" w:rsidRDefault="00D1282E" w:rsidP="002F4C4C">
      <w:pPr>
        <w:pStyle w:val="FootnoteText"/>
        <w:spacing w:after="0" w:line="240" w:lineRule="auto"/>
        <w:jc w:val="left"/>
        <w:rPr>
          <w:rFonts w:ascii="Avenir Roman" w:hAnsi="Avenir Roman"/>
          <w:sz w:val="16"/>
          <w:szCs w:val="16"/>
          <w:lang w:val="en-AU"/>
        </w:rPr>
      </w:pPr>
      <w:r w:rsidRPr="003B049D">
        <w:rPr>
          <w:rStyle w:val="FootnoteReference"/>
          <w:rFonts w:ascii="Avenir Roman" w:hAnsi="Avenir Roman"/>
          <w:sz w:val="16"/>
          <w:szCs w:val="16"/>
        </w:rPr>
        <w:footnoteRef/>
      </w:r>
      <w:r w:rsidRPr="003B049D">
        <w:rPr>
          <w:rFonts w:ascii="Avenir Roman" w:hAnsi="Avenir Roman"/>
          <w:sz w:val="16"/>
          <w:szCs w:val="16"/>
        </w:rPr>
        <w:t xml:space="preserve"> </w:t>
      </w:r>
      <w:r w:rsidRPr="003B049D">
        <w:rPr>
          <w:rFonts w:ascii="Avenir Roman" w:hAnsi="Avenir Roman"/>
          <w:sz w:val="16"/>
          <w:szCs w:val="16"/>
          <w:lang w:val="en-AU"/>
        </w:rPr>
        <w:t>Ibid, page 8 of 24</w:t>
      </w:r>
    </w:p>
  </w:footnote>
  <w:footnote w:id="129">
    <w:p w14:paraId="116A1D0E" w14:textId="77777777" w:rsidR="00D1282E" w:rsidRPr="003B049D" w:rsidRDefault="00D1282E" w:rsidP="002F4C4C">
      <w:pPr>
        <w:pStyle w:val="FootnoteText"/>
        <w:spacing w:after="0" w:line="240" w:lineRule="auto"/>
        <w:jc w:val="left"/>
        <w:rPr>
          <w:rFonts w:ascii="Avenir Roman" w:hAnsi="Avenir Roman"/>
          <w:sz w:val="16"/>
          <w:szCs w:val="16"/>
          <w:lang w:val="en-AU"/>
        </w:rPr>
      </w:pPr>
      <w:r w:rsidRPr="003B049D">
        <w:rPr>
          <w:rStyle w:val="FootnoteReference"/>
          <w:rFonts w:ascii="Avenir Roman" w:hAnsi="Avenir Roman"/>
          <w:sz w:val="16"/>
          <w:szCs w:val="16"/>
        </w:rPr>
        <w:footnoteRef/>
      </w:r>
      <w:r w:rsidRPr="003B049D">
        <w:rPr>
          <w:rFonts w:ascii="Avenir Roman" w:hAnsi="Avenir Roman"/>
          <w:sz w:val="16"/>
          <w:szCs w:val="16"/>
        </w:rPr>
        <w:t xml:space="preserve"> </w:t>
      </w:r>
      <w:r w:rsidRPr="003B049D">
        <w:rPr>
          <w:rFonts w:ascii="Avenir Roman" w:hAnsi="Avenir Roman"/>
          <w:sz w:val="16"/>
          <w:szCs w:val="16"/>
          <w:lang w:val="en-AU"/>
        </w:rPr>
        <w:t>Ibid</w:t>
      </w:r>
    </w:p>
  </w:footnote>
  <w:footnote w:id="130">
    <w:p w14:paraId="2F621E11" w14:textId="1C585F93" w:rsidR="00D1282E" w:rsidRPr="003B049D" w:rsidRDefault="00D1282E" w:rsidP="002F4C4C">
      <w:pPr>
        <w:pStyle w:val="FootnoteText"/>
        <w:spacing w:after="0" w:line="240" w:lineRule="auto"/>
        <w:jc w:val="left"/>
        <w:rPr>
          <w:rFonts w:ascii="Avenir Roman" w:hAnsi="Avenir Roman"/>
          <w:sz w:val="16"/>
          <w:szCs w:val="16"/>
          <w:lang w:val="en-AU"/>
        </w:rPr>
      </w:pPr>
      <w:r w:rsidRPr="003B049D">
        <w:rPr>
          <w:rStyle w:val="FootnoteReference"/>
          <w:rFonts w:ascii="Avenir Roman" w:hAnsi="Avenir Roman"/>
          <w:sz w:val="16"/>
          <w:szCs w:val="16"/>
        </w:rPr>
        <w:footnoteRef/>
      </w:r>
      <w:r w:rsidRPr="003B049D">
        <w:rPr>
          <w:rFonts w:ascii="Avenir Roman" w:hAnsi="Avenir Roman"/>
          <w:sz w:val="16"/>
          <w:szCs w:val="16"/>
        </w:rPr>
        <w:t xml:space="preserve"> </w:t>
      </w:r>
      <w:r w:rsidRPr="003B049D">
        <w:rPr>
          <w:rFonts w:ascii="Avenir Roman" w:hAnsi="Avenir Roman"/>
          <w:i/>
          <w:sz w:val="16"/>
          <w:szCs w:val="16"/>
          <w:lang w:val="en-AU"/>
        </w:rPr>
        <w:t>Universal Declaration of Human Rights</w:t>
      </w:r>
      <w:r w:rsidRPr="003B049D">
        <w:rPr>
          <w:rFonts w:ascii="Avenir Roman" w:hAnsi="Avenir Roman"/>
          <w:sz w:val="16"/>
          <w:szCs w:val="16"/>
          <w:lang w:val="en-AU"/>
        </w:rPr>
        <w:t>, GA Res 217A (III), UN GAOR, UN Doc A/810 (10 December 1948), art 1.</w:t>
      </w:r>
    </w:p>
  </w:footnote>
  <w:footnote w:id="131">
    <w:p w14:paraId="6F2D7FDF" w14:textId="66940226"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Australian Bureau of Statistics, ‘</w:t>
      </w:r>
      <w:r w:rsidRPr="002F4C4C">
        <w:rPr>
          <w:rFonts w:ascii="Avenir Roman" w:hAnsi="Avenir Roman"/>
          <w:bCs/>
          <w:sz w:val="16"/>
          <w:szCs w:val="16"/>
          <w:lang w:val="en-AU"/>
        </w:rPr>
        <w:t>Disability, Ageing and Carers, Australia: Summary of Findings, 2018’. Available at:</w:t>
      </w:r>
    </w:p>
    <w:p w14:paraId="674BAC2A" w14:textId="33E84736" w:rsidR="00D1282E" w:rsidRPr="002F4C4C" w:rsidRDefault="00122837" w:rsidP="002F4C4C">
      <w:pPr>
        <w:pStyle w:val="FootnoteText"/>
        <w:spacing w:after="0" w:line="240" w:lineRule="auto"/>
        <w:jc w:val="left"/>
        <w:rPr>
          <w:rFonts w:ascii="Avenir Roman" w:hAnsi="Avenir Roman"/>
          <w:sz w:val="16"/>
          <w:szCs w:val="16"/>
          <w:lang w:val="en-AU"/>
        </w:rPr>
      </w:pPr>
      <w:hyperlink r:id="rId51" w:history="1">
        <w:r w:rsidR="00D1282E" w:rsidRPr="002F4C4C">
          <w:rPr>
            <w:rStyle w:val="Hyperlink"/>
            <w:rFonts w:ascii="Avenir Roman" w:hAnsi="Avenir Roman"/>
            <w:sz w:val="16"/>
            <w:szCs w:val="16"/>
          </w:rPr>
          <w:t>https://www.abs.gov.au/ausstats/abs@.nsf/Latestproducts/4430.0Main%20Features52018?opendocument&amp;tabname=Summary&amp;prodno=4430.0&amp;issue=2018&amp;num=&amp;view</w:t>
        </w:r>
      </w:hyperlink>
      <w:r w:rsidR="00D1282E" w:rsidRPr="002F4C4C">
        <w:rPr>
          <w:rFonts w:ascii="Avenir Roman" w:hAnsi="Avenir Roman"/>
          <w:sz w:val="16"/>
          <w:szCs w:val="16"/>
        </w:rPr>
        <w:t xml:space="preserve">= </w:t>
      </w:r>
    </w:p>
  </w:footnote>
  <w:footnote w:id="132">
    <w:p w14:paraId="1BE59AC7" w14:textId="154114C6" w:rsidR="00D1282E" w:rsidRPr="002F4C4C" w:rsidRDefault="00D1282E" w:rsidP="002F4C4C">
      <w:pPr>
        <w:pStyle w:val="FootnoteText"/>
        <w:spacing w:after="0" w:line="240" w:lineRule="auto"/>
        <w:jc w:val="left"/>
        <w:rPr>
          <w:rFonts w:ascii="Avenir Roman" w:hAnsi="Avenir Roman" w:cs="Calibri"/>
          <w:color w:val="000000" w:themeColor="text1"/>
          <w:sz w:val="16"/>
          <w:szCs w:val="16"/>
          <w:lang w:val="en-AU"/>
        </w:rPr>
      </w:pPr>
      <w:r w:rsidRPr="002F4C4C">
        <w:rPr>
          <w:rStyle w:val="FootnoteReference"/>
          <w:rFonts w:ascii="Avenir Roman" w:hAnsi="Avenir Roman" w:cstheme="minorHAnsi"/>
          <w:sz w:val="16"/>
          <w:szCs w:val="16"/>
        </w:rPr>
        <w:footnoteRef/>
      </w:r>
      <w:r w:rsidRPr="002F4C4C">
        <w:rPr>
          <w:rFonts w:ascii="Avenir Roman" w:hAnsi="Avenir Roman" w:cstheme="minorHAnsi"/>
          <w:sz w:val="16"/>
          <w:szCs w:val="16"/>
        </w:rPr>
        <w:t xml:space="preserve"> See e.g., </w:t>
      </w:r>
      <w:r w:rsidRPr="002F4C4C">
        <w:rPr>
          <w:rFonts w:ascii="Avenir Roman" w:hAnsi="Avenir Roman" w:cs="Calibri"/>
          <w:color w:val="000000" w:themeColor="text1"/>
          <w:sz w:val="16"/>
          <w:szCs w:val="16"/>
        </w:rPr>
        <w:t xml:space="preserve">Frohmader, C. and Sands, T., (2015) </w:t>
      </w:r>
      <w:r w:rsidRPr="002F4C4C">
        <w:rPr>
          <w:rFonts w:ascii="Avenir Roman" w:hAnsi="Avenir Roman" w:cs="Calibri"/>
          <w:i/>
          <w:color w:val="000000" w:themeColor="text1"/>
          <w:sz w:val="16"/>
          <w:szCs w:val="16"/>
        </w:rPr>
        <w:t>Australian Cross Disability Alliance (ACDA) Submission to the Senate Inquiry into Violence, abuse and neglect against people with disability in institutional and residential settings</w:t>
      </w:r>
      <w:r w:rsidRPr="002F4C4C">
        <w:rPr>
          <w:rFonts w:ascii="Avenir Roman" w:hAnsi="Avenir Roman" w:cs="Calibri"/>
          <w:color w:val="000000" w:themeColor="text1"/>
          <w:sz w:val="16"/>
          <w:szCs w:val="16"/>
        </w:rPr>
        <w:t xml:space="preserve">, p.20. Available at: </w:t>
      </w:r>
      <w:hyperlink r:id="rId52" w:history="1">
        <w:r w:rsidRPr="002F4C4C">
          <w:rPr>
            <w:rStyle w:val="Hyperlink"/>
            <w:rFonts w:ascii="Avenir Roman" w:hAnsi="Avenir Roman" w:cs="Calibri"/>
            <w:sz w:val="16"/>
            <w:szCs w:val="16"/>
          </w:rPr>
          <w:t>http://wwda.org.au/papers/subs/subs2011/</w:t>
        </w:r>
      </w:hyperlink>
      <w:r w:rsidRPr="002F4C4C">
        <w:rPr>
          <w:rStyle w:val="Hyperlink"/>
          <w:rFonts w:ascii="Avenir Roman" w:hAnsi="Avenir Roman" w:cs="Calibri"/>
          <w:sz w:val="16"/>
          <w:szCs w:val="16"/>
        </w:rPr>
        <w:t xml:space="preserve">; </w:t>
      </w:r>
      <w:r w:rsidRPr="002F4C4C">
        <w:rPr>
          <w:rFonts w:ascii="Avenir Roman" w:hAnsi="Avenir Roman" w:cs="Calibri"/>
          <w:color w:val="000000" w:themeColor="text1"/>
          <w:sz w:val="16"/>
          <w:szCs w:val="16"/>
        </w:rPr>
        <w:t xml:space="preserve"> </w:t>
      </w:r>
      <w:r w:rsidRPr="002F4C4C">
        <w:rPr>
          <w:rFonts w:ascii="Avenir Roman" w:hAnsi="Avenir Roman" w:cstheme="minorHAnsi"/>
          <w:sz w:val="16"/>
          <w:szCs w:val="16"/>
        </w:rPr>
        <w:t xml:space="preserve">Frohmader, C.; Dowse, L.; Didi, A., </w:t>
      </w:r>
      <w:r w:rsidRPr="002F4C4C">
        <w:rPr>
          <w:rFonts w:ascii="Avenir Roman" w:hAnsi="Avenir Roman" w:cstheme="minorHAnsi"/>
          <w:i/>
          <w:sz w:val="16"/>
          <w:szCs w:val="16"/>
          <w:lang w:val="en-AU"/>
        </w:rPr>
        <w:t>Preventing Violence against Women and Girls with Disabilities: Integrating A Human Rights Perspective</w:t>
      </w:r>
      <w:r w:rsidRPr="002F4C4C">
        <w:rPr>
          <w:rFonts w:ascii="Avenir Roman" w:hAnsi="Avenir Roman" w:cstheme="minorHAnsi"/>
          <w:sz w:val="16"/>
          <w:szCs w:val="16"/>
          <w:lang w:val="en-AU"/>
        </w:rPr>
        <w:t xml:space="preserve">, Women With Disabilities Australia, September 2015 (revised and updated version), p. 14. Available at: </w:t>
      </w:r>
      <w:hyperlink r:id="rId53" w:history="1">
        <w:r w:rsidRPr="002F4C4C">
          <w:rPr>
            <w:rStyle w:val="Hyperlink"/>
            <w:rFonts w:ascii="Avenir Roman" w:hAnsi="Avenir Roman" w:cstheme="minorHAnsi"/>
            <w:sz w:val="16"/>
            <w:szCs w:val="16"/>
            <w:lang w:val="en-AU"/>
          </w:rPr>
          <w:t>http://wwda.org.au/wp-content/uploads/2013/12/Think_Piece_Revised_Edition.pdf</w:t>
        </w:r>
      </w:hyperlink>
      <w:r w:rsidRPr="002F4C4C">
        <w:rPr>
          <w:rFonts w:ascii="Avenir Roman" w:hAnsi="Avenir Roman" w:cstheme="minorHAnsi"/>
          <w:sz w:val="16"/>
          <w:szCs w:val="16"/>
        </w:rPr>
        <w:t>; Robinson, S.,</w:t>
      </w:r>
      <w:r w:rsidRPr="002F4C4C">
        <w:rPr>
          <w:rFonts w:ascii="Avenir Roman" w:hAnsi="Avenir Roman" w:cstheme="minorHAnsi"/>
          <w:color w:val="000000" w:themeColor="text1"/>
          <w:sz w:val="16"/>
          <w:szCs w:val="16"/>
        </w:rPr>
        <w:t xml:space="preserve"> </w:t>
      </w:r>
      <w:r w:rsidRPr="002F4C4C">
        <w:rPr>
          <w:rFonts w:ascii="Avenir Roman" w:hAnsi="Avenir Roman" w:cstheme="minorHAnsi"/>
          <w:i/>
          <w:color w:val="000000" w:themeColor="text1"/>
          <w:sz w:val="16"/>
          <w:szCs w:val="16"/>
        </w:rPr>
        <w:t>Enabling and Protecting: Proactive approaches to addressing the abuse and neglect of children and young people with disability.</w:t>
      </w:r>
      <w:r w:rsidRPr="002F4C4C">
        <w:rPr>
          <w:rFonts w:ascii="Avenir Roman" w:hAnsi="Avenir Roman" w:cstheme="minorHAnsi"/>
          <w:color w:val="000000" w:themeColor="text1"/>
          <w:sz w:val="16"/>
          <w:szCs w:val="16"/>
        </w:rPr>
        <w:t xml:space="preserve"> Issues Paper, Children with Disability Australia, 2012 p. 5. Available at: </w:t>
      </w:r>
      <w:hyperlink r:id="rId54" w:history="1">
        <w:r w:rsidRPr="002F4C4C">
          <w:rPr>
            <w:rStyle w:val="Hyperlink"/>
            <w:rFonts w:ascii="Avenir Roman" w:hAnsi="Avenir Roman" w:cstheme="minorHAnsi"/>
            <w:sz w:val="16"/>
            <w:szCs w:val="16"/>
          </w:rPr>
          <w:t>https://www.cyda.org.au/enabling-and-protecting</w:t>
        </w:r>
      </w:hyperlink>
      <w:r w:rsidRPr="002F4C4C">
        <w:rPr>
          <w:rFonts w:ascii="Avenir Roman" w:hAnsi="Avenir Roman" w:cstheme="minorHAnsi"/>
          <w:color w:val="000000" w:themeColor="text1"/>
          <w:sz w:val="16"/>
          <w:szCs w:val="16"/>
        </w:rPr>
        <w:t xml:space="preserve">; </w:t>
      </w:r>
      <w:r w:rsidRPr="002F4C4C">
        <w:rPr>
          <w:rFonts w:ascii="Avenir Roman" w:hAnsi="Avenir Roman" w:cstheme="minorHAnsi"/>
          <w:sz w:val="16"/>
          <w:szCs w:val="16"/>
        </w:rPr>
        <w:t xml:space="preserve">Llewellyn, G, Wayland, S, Hindmarsh, G (2016) </w:t>
      </w:r>
      <w:r w:rsidRPr="002F4C4C">
        <w:rPr>
          <w:rFonts w:ascii="Avenir Roman" w:hAnsi="Avenir Roman" w:cstheme="minorHAnsi"/>
          <w:i/>
          <w:sz w:val="16"/>
          <w:szCs w:val="16"/>
        </w:rPr>
        <w:t>Disability and child sexual abuse in institutional contexts</w:t>
      </w:r>
      <w:r w:rsidRPr="002F4C4C">
        <w:rPr>
          <w:rFonts w:ascii="Avenir Roman" w:hAnsi="Avenir Roman" w:cstheme="minorHAnsi"/>
          <w:sz w:val="16"/>
          <w:szCs w:val="16"/>
        </w:rPr>
        <w:t xml:space="preserve">, Royal Commission into Institutional Responses to Child Sexual Abuse, Sydney, p. 31. Available at: </w:t>
      </w:r>
      <w:hyperlink r:id="rId55" w:history="1">
        <w:r w:rsidRPr="002F4C4C">
          <w:rPr>
            <w:rStyle w:val="Hyperlink"/>
            <w:rFonts w:ascii="Avenir Roman" w:hAnsi="Avenir Roman" w:cstheme="minorHAnsi"/>
            <w:sz w:val="16"/>
            <w:szCs w:val="16"/>
          </w:rPr>
          <w:t>https://www.researchgate.net/publication/309728772_Disability_and_child_sexual_abuse_in_institutional_contexts_Royal_Commission_into_Institutional_Responses_to_Child_Sexual_Abuse</w:t>
        </w:r>
      </w:hyperlink>
    </w:p>
  </w:footnote>
  <w:footnote w:id="133">
    <w:p w14:paraId="65C9B327" w14:textId="2D5A76F9"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cstheme="minorHAnsi"/>
          <w:sz w:val="16"/>
          <w:szCs w:val="16"/>
        </w:rPr>
        <w:t xml:space="preserve">Our Watch, “What drives violence against women?”. Available at: </w:t>
      </w:r>
      <w:hyperlink r:id="rId56" w:history="1">
        <w:r w:rsidRPr="002F4C4C">
          <w:rPr>
            <w:rStyle w:val="Hyperlink"/>
            <w:rFonts w:ascii="Avenir Roman" w:hAnsi="Avenir Roman" w:cstheme="minorHAnsi"/>
            <w:sz w:val="16"/>
            <w:szCs w:val="16"/>
          </w:rPr>
          <w:t>https://www.ourwatch.org.au/Preventing-Violence/Women</w:t>
        </w:r>
      </w:hyperlink>
    </w:p>
  </w:footnote>
  <w:footnote w:id="134">
    <w:p w14:paraId="50455614" w14:textId="420E3B5E" w:rsidR="00D1282E" w:rsidRPr="00D62F37"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Ibid.</w:t>
      </w:r>
      <w:r w:rsidRPr="00D62F37">
        <w:rPr>
          <w:rFonts w:ascii="Avenir Roman" w:hAnsi="Avenir Roman"/>
          <w:sz w:val="16"/>
          <w:szCs w:val="16"/>
        </w:rPr>
        <w:t xml:space="preserve"> </w:t>
      </w:r>
    </w:p>
  </w:footnote>
  <w:footnote w:id="135">
    <w:p w14:paraId="4C8CACD8" w14:textId="756F5BAD"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Australia’s National Research Organisation for Women’s Safety (ANROWS), ‘Counting on change – A guide to prevention monitoring - A guide for policy-makers, researchers, and advocates on measuring population-level progress towards the prevention of violence against women and their children in Australia’ (Our Watch, 2017) p. 3. Available at:  </w:t>
      </w:r>
      <w:hyperlink r:id="rId57" w:history="1">
        <w:r w:rsidRPr="002F4C4C">
          <w:rPr>
            <w:rStyle w:val="Hyperlink"/>
            <w:rFonts w:ascii="Avenir Roman" w:hAnsi="Avenir Roman"/>
            <w:sz w:val="16"/>
            <w:szCs w:val="16"/>
            <w:lang w:val="en-AU"/>
          </w:rPr>
          <w:t>https://d2bb010tdzqaq7.cloudfront.net/wp-content/uploads/sites/2/2019/06/27043538/OurWatch_Counting-on-Change_AA.pdf</w:t>
        </w:r>
      </w:hyperlink>
      <w:r w:rsidRPr="002F4C4C">
        <w:rPr>
          <w:rFonts w:ascii="Avenir Roman" w:hAnsi="Avenir Roman"/>
          <w:sz w:val="16"/>
          <w:szCs w:val="16"/>
          <w:lang w:val="en-AU"/>
        </w:rPr>
        <w:t xml:space="preserve"> </w:t>
      </w:r>
    </w:p>
  </w:footnote>
  <w:footnote w:id="136">
    <w:p w14:paraId="1767B409" w14:textId="5B7A7C65" w:rsidR="00D1282E" w:rsidRPr="002F4C4C" w:rsidRDefault="00D1282E" w:rsidP="002F4C4C">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cstheme="minorHAnsi"/>
          <w:sz w:val="16"/>
          <w:szCs w:val="16"/>
        </w:rPr>
        <w:t xml:space="preserve">Ibid. </w:t>
      </w:r>
    </w:p>
  </w:footnote>
  <w:footnote w:id="137">
    <w:p w14:paraId="523253CB" w14:textId="32F65AF6" w:rsidR="00D1282E" w:rsidRPr="000C6712" w:rsidRDefault="00D1282E" w:rsidP="000C6712">
      <w:pPr>
        <w:pStyle w:val="FootnoteText"/>
        <w:spacing w:after="0" w:line="240" w:lineRule="auto"/>
        <w:jc w:val="left"/>
        <w:rPr>
          <w:rFonts w:ascii="Avenir Roman" w:hAnsi="Avenir Roman"/>
          <w:sz w:val="16"/>
          <w:szCs w:val="16"/>
          <w:lang w:val="en-AU"/>
        </w:rPr>
      </w:pPr>
      <w:r w:rsidRPr="002F4C4C">
        <w:rPr>
          <w:rStyle w:val="FootnoteReference"/>
          <w:rFonts w:ascii="Avenir Roman" w:hAnsi="Avenir Roman"/>
          <w:sz w:val="16"/>
          <w:szCs w:val="16"/>
        </w:rPr>
        <w:footnoteRef/>
      </w:r>
      <w:r w:rsidRPr="002F4C4C">
        <w:rPr>
          <w:rFonts w:ascii="Avenir Roman" w:hAnsi="Avenir Roman"/>
          <w:sz w:val="16"/>
          <w:szCs w:val="16"/>
        </w:rPr>
        <w:t xml:space="preserve"> </w:t>
      </w:r>
      <w:r w:rsidRPr="002F4C4C">
        <w:rPr>
          <w:rFonts w:ascii="Avenir Roman" w:hAnsi="Avenir Roman"/>
          <w:sz w:val="16"/>
          <w:szCs w:val="16"/>
          <w:lang w:val="en-AU"/>
        </w:rPr>
        <w:t xml:space="preserve">See e.g., </w:t>
      </w:r>
      <w:r w:rsidRPr="002F4C4C">
        <w:rPr>
          <w:rFonts w:ascii="Avenir Roman" w:hAnsi="Avenir Roman" w:cs="Calibri"/>
          <w:color w:val="000000" w:themeColor="text1"/>
          <w:sz w:val="16"/>
          <w:szCs w:val="16"/>
        </w:rPr>
        <w:t xml:space="preserve">Council of Australian Governments (2011) </w:t>
      </w:r>
      <w:r w:rsidRPr="002F4C4C">
        <w:rPr>
          <w:rFonts w:ascii="Avenir Roman" w:hAnsi="Avenir Roman" w:cs="Calibri"/>
          <w:i/>
          <w:color w:val="000000" w:themeColor="text1"/>
          <w:sz w:val="16"/>
          <w:szCs w:val="16"/>
        </w:rPr>
        <w:t xml:space="preserve">National Plan to Reduce Violence against Women and their Children 2010-2022, </w:t>
      </w:r>
      <w:r w:rsidRPr="002F4C4C">
        <w:rPr>
          <w:rFonts w:ascii="Avenir Roman" w:hAnsi="Avenir Roman" w:cs="Calibri"/>
          <w:color w:val="000000" w:themeColor="text1"/>
          <w:sz w:val="16"/>
          <w:szCs w:val="16"/>
        </w:rPr>
        <w:t xml:space="preserve">Canberra. Available at: </w:t>
      </w:r>
      <w:hyperlink r:id="rId58" w:history="1">
        <w:r w:rsidRPr="002F4C4C">
          <w:rPr>
            <w:rStyle w:val="Hyperlink"/>
            <w:rFonts w:ascii="Avenir Roman" w:hAnsi="Avenir Roman" w:cs="Calibri"/>
            <w:sz w:val="16"/>
            <w:szCs w:val="16"/>
          </w:rPr>
          <w:t>https://www.dss.gov.au/women/programs-services/reducing-violence/the-national-plan-to-reduce-violence-against-women-and-their-children-2010-2022</w:t>
        </w:r>
      </w:hyperlink>
      <w:r w:rsidRPr="002F4C4C">
        <w:rPr>
          <w:rStyle w:val="Hyperlink"/>
          <w:rFonts w:ascii="Avenir Roman" w:hAnsi="Avenir Roman" w:cs="Calibri"/>
          <w:color w:val="000000" w:themeColor="text1"/>
          <w:sz w:val="16"/>
          <w:szCs w:val="16"/>
        </w:rPr>
        <w:t>;</w:t>
      </w:r>
      <w:r w:rsidRPr="002F4C4C">
        <w:rPr>
          <w:rFonts w:ascii="Avenir Roman" w:hAnsi="Avenir Roman"/>
          <w:sz w:val="16"/>
          <w:szCs w:val="16"/>
          <w:lang w:val="en-AU"/>
        </w:rPr>
        <w:t xml:space="preserve"> Our Watch projects, “#BecauseWhy”, “Doing Nothing Causes Harm” and Awards, </w:t>
      </w:r>
      <w:hyperlink r:id="rId59" w:history="1">
        <w:r w:rsidRPr="002F4C4C">
          <w:rPr>
            <w:rStyle w:val="Hyperlink"/>
            <w:rFonts w:ascii="Avenir Roman" w:hAnsi="Avenir Roman"/>
            <w:sz w:val="16"/>
            <w:szCs w:val="16"/>
            <w:lang w:val="en-AU"/>
          </w:rPr>
          <w:t>https://www.ourwatch.org.au/What-We-Do</w:t>
        </w:r>
      </w:hyperlink>
      <w:r w:rsidRPr="002F4C4C">
        <w:rPr>
          <w:rFonts w:ascii="Avenir Roman" w:hAnsi="Avenir Roman"/>
          <w:sz w:val="16"/>
          <w:szCs w:val="16"/>
          <w:lang w:val="en-AU"/>
        </w:rPr>
        <w:t xml:space="preserve">; Australian Government campaign, ‘Stop it at the start’, </w:t>
      </w:r>
      <w:hyperlink r:id="rId60" w:history="1">
        <w:r w:rsidRPr="002F4C4C">
          <w:rPr>
            <w:rStyle w:val="Hyperlink"/>
            <w:rFonts w:ascii="Avenir Roman" w:hAnsi="Avenir Roman"/>
            <w:sz w:val="16"/>
            <w:szCs w:val="16"/>
            <w:lang w:val="en-AU"/>
          </w:rPr>
          <w:t>https://www.respect.gov.au</w:t>
        </w:r>
      </w:hyperlink>
      <w:r w:rsidRPr="002F4C4C">
        <w:rPr>
          <w:rFonts w:ascii="Avenir Roman" w:hAnsi="Avenir Roman"/>
          <w:sz w:val="16"/>
          <w:szCs w:val="16"/>
          <w:lang w:val="en-AU"/>
        </w:rPr>
        <w:t xml:space="preserve">; Respectful Relationships program, Victorian Government, Department of Education and Training, </w:t>
      </w:r>
      <w:hyperlink r:id="rId61" w:history="1">
        <w:r w:rsidRPr="002F4C4C">
          <w:rPr>
            <w:rStyle w:val="Hyperlink"/>
            <w:rFonts w:ascii="Avenir Roman" w:hAnsi="Avenir Roman"/>
            <w:sz w:val="16"/>
            <w:szCs w:val="16"/>
            <w:lang w:val="en-AU"/>
          </w:rPr>
          <w:t>https://www.education.vic.gov.au/about/programs/Pages/respectfulrelationships.aspx</w:t>
        </w:r>
      </w:hyperlink>
      <w:r w:rsidRPr="002F4C4C">
        <w:rPr>
          <w:rFonts w:ascii="Avenir Roman" w:hAnsi="Avenir Roman"/>
          <w:sz w:val="16"/>
          <w:szCs w:val="16"/>
          <w:lang w:val="en-AU"/>
        </w:rPr>
        <w:t xml:space="preserve"> </w:t>
      </w:r>
    </w:p>
  </w:footnote>
  <w:footnote w:id="138">
    <w:p w14:paraId="3F1E0A40" w14:textId="24BF1875"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See e.g., </w:t>
      </w:r>
      <w:r w:rsidRPr="000C6712">
        <w:rPr>
          <w:rFonts w:ascii="Avenir Roman" w:hAnsi="Avenir Roman" w:cstheme="minorHAnsi"/>
          <w:sz w:val="16"/>
          <w:szCs w:val="16"/>
        </w:rPr>
        <w:t xml:space="preserve">Frohmader, C.; Dowse, L.; Didi, A., op.cit; Disabled People’s Organisations Australia and the National Women’s Alliances, </w:t>
      </w:r>
      <w:r w:rsidRPr="000C6712">
        <w:rPr>
          <w:rFonts w:ascii="Avenir Roman" w:hAnsi="Avenir Roman" w:cstheme="minorHAnsi"/>
          <w:i/>
          <w:sz w:val="16"/>
          <w:szCs w:val="16"/>
        </w:rPr>
        <w:t>The Status of Women and Girls with Disability in Australia</w:t>
      </w:r>
      <w:r w:rsidRPr="000C6712">
        <w:rPr>
          <w:rFonts w:ascii="Avenir Roman" w:hAnsi="Avenir Roman" w:cstheme="minorHAnsi"/>
          <w:sz w:val="16"/>
          <w:szCs w:val="16"/>
        </w:rPr>
        <w:t xml:space="preserve">, op. cit., pp. 23-28. Available at: </w:t>
      </w:r>
      <w:hyperlink r:id="rId62" w:history="1">
        <w:r w:rsidRPr="000C6712">
          <w:rPr>
            <w:rStyle w:val="Hyperlink"/>
            <w:rFonts w:ascii="Avenir Roman" w:hAnsi="Avenir Roman" w:cstheme="minorHAnsi"/>
            <w:sz w:val="16"/>
            <w:szCs w:val="16"/>
          </w:rPr>
          <w:t>http://wwda.org.au/wp-content/uploads/2019/12/The-Status-of-Women-and-Girls-with-Disability-Asutralia.pdf</w:t>
        </w:r>
      </w:hyperlink>
      <w:r w:rsidRPr="000C6712">
        <w:rPr>
          <w:rFonts w:ascii="Avenir Roman" w:hAnsi="Avenir Roman" w:cstheme="minorHAnsi"/>
          <w:sz w:val="16"/>
          <w:szCs w:val="16"/>
        </w:rPr>
        <w:t xml:space="preserve"> </w:t>
      </w:r>
    </w:p>
  </w:footnote>
  <w:footnote w:id="139">
    <w:p w14:paraId="49C88950" w14:textId="2785CC62"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cstheme="minorHAnsi"/>
          <w:sz w:val="16"/>
          <w:szCs w:val="16"/>
        </w:rPr>
        <w:t>Disabled People’s Organisations Australia and the National Women’s Alliances, op. cit., p. 5.</w:t>
      </w:r>
    </w:p>
  </w:footnote>
  <w:footnote w:id="140">
    <w:p w14:paraId="1FE089EE" w14:textId="64ED135A"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Ibid.</w:t>
      </w:r>
    </w:p>
  </w:footnote>
  <w:footnote w:id="141">
    <w:p w14:paraId="23C57AA9" w14:textId="21C402AC" w:rsidR="00D1282E" w:rsidRPr="000C6712" w:rsidRDefault="00D1282E" w:rsidP="000C6712">
      <w:pPr>
        <w:pStyle w:val="FootnoteText"/>
        <w:spacing w:after="0" w:line="240" w:lineRule="auto"/>
        <w:jc w:val="left"/>
        <w:rPr>
          <w:rFonts w:ascii="Avenir Roman" w:hAnsi="Avenir Roman" w:cs="Calibri"/>
          <w:color w:val="000000" w:themeColor="text1"/>
          <w:sz w:val="16"/>
          <w:szCs w:val="16"/>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 xml:space="preserve">See e.g., </w:t>
      </w:r>
      <w:r w:rsidRPr="000C6712">
        <w:rPr>
          <w:rFonts w:ascii="Avenir Roman" w:hAnsi="Avenir Roman" w:cstheme="minorHAnsi"/>
          <w:sz w:val="16"/>
          <w:szCs w:val="16"/>
        </w:rPr>
        <w:t xml:space="preserve">Disabled People’s Organisations Australia and the National Women’s Alliances, op. cit.; </w:t>
      </w:r>
      <w:r w:rsidRPr="000C6712">
        <w:rPr>
          <w:rFonts w:ascii="Avenir Roman" w:hAnsi="Avenir Roman" w:cs="Calibri"/>
          <w:color w:val="000000" w:themeColor="text1"/>
          <w:sz w:val="16"/>
          <w:szCs w:val="16"/>
        </w:rPr>
        <w:t>Frohmader, C. and Sands, T., op. cit., pp. 35-43; Frohmader, C. and Cadwallader, J., ‘Senate Standing Committee on Finance and Public Administration Inquiry into Domestic Violence in Australia (</w:t>
      </w:r>
      <w:r w:rsidRPr="000C6712">
        <w:rPr>
          <w:rFonts w:ascii="Avenir Roman" w:hAnsi="Avenir Roman" w:cs="Calibri"/>
          <w:color w:val="000000" w:themeColor="text1"/>
          <w:sz w:val="16"/>
          <w:szCs w:val="16"/>
          <w:lang w:val="en-AU"/>
        </w:rPr>
        <w:t xml:space="preserve">Joint Submission from National Cross-Disability Disabled People’s Organisations (DPO’s), September 2014). </w:t>
      </w:r>
    </w:p>
  </w:footnote>
  <w:footnote w:id="142">
    <w:p w14:paraId="2F576868" w14:textId="7A57D259"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cstheme="minorHAnsi"/>
          <w:sz w:val="16"/>
          <w:szCs w:val="16"/>
        </w:rPr>
        <w:t>Disabled People’s Organisations Australia and the National Women’s Alliances, op. cit., p. 23.</w:t>
      </w:r>
    </w:p>
  </w:footnote>
  <w:footnote w:id="143">
    <w:p w14:paraId="6F85B8BD" w14:textId="3E606A81"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 xml:space="preserve">Australian Bureau of Statistics, ‘About the Personal Safety Survey’ (website information). Available at: </w:t>
      </w:r>
      <w:hyperlink r:id="rId63" w:history="1">
        <w:r w:rsidRPr="000C6712">
          <w:rPr>
            <w:rStyle w:val="Hyperlink"/>
            <w:rFonts w:ascii="Avenir Roman" w:hAnsi="Avenir Roman"/>
            <w:sz w:val="16"/>
            <w:szCs w:val="16"/>
            <w:lang w:val="en-AU"/>
          </w:rPr>
          <w:t>https://www.abs.gov.au/ausstats/abs@.nsf/Lookup/by%20Subject/4906.0~2016~Main%20Features~About%20the%20Personal%20Safety%20Survey%20~2</w:t>
        </w:r>
      </w:hyperlink>
      <w:r w:rsidRPr="000C6712">
        <w:rPr>
          <w:rFonts w:ascii="Avenir Roman" w:hAnsi="Avenir Roman"/>
          <w:sz w:val="16"/>
          <w:szCs w:val="16"/>
          <w:lang w:val="en-AU"/>
        </w:rPr>
        <w:t xml:space="preserve"> </w:t>
      </w:r>
    </w:p>
  </w:footnote>
  <w:footnote w:id="144">
    <w:p w14:paraId="3CBA7B76" w14:textId="7CD479AC" w:rsidR="00D1282E" w:rsidRPr="00A6091C"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 xml:space="preserve">Our Watch, ‘Personal Safety Survey 2016 Factsheet’. Available at: </w:t>
      </w:r>
      <w:hyperlink r:id="rId64" w:history="1">
        <w:r w:rsidRPr="000C6712">
          <w:rPr>
            <w:rStyle w:val="Hyperlink"/>
            <w:rFonts w:ascii="Avenir Roman" w:hAnsi="Avenir Roman"/>
            <w:sz w:val="16"/>
            <w:szCs w:val="16"/>
            <w:lang w:val="en-AU"/>
          </w:rPr>
          <w:t>https://media.ourwatch.org.au/resource/personal-safety-survey-2016/</w:t>
        </w:r>
      </w:hyperlink>
      <w:r w:rsidRPr="00A6091C">
        <w:rPr>
          <w:rFonts w:ascii="Avenir Roman" w:hAnsi="Avenir Roman"/>
          <w:sz w:val="16"/>
          <w:szCs w:val="16"/>
          <w:lang w:val="en-AU"/>
        </w:rPr>
        <w:t xml:space="preserve"> </w:t>
      </w:r>
    </w:p>
  </w:footnote>
  <w:footnote w:id="145">
    <w:p w14:paraId="6C69A888" w14:textId="43C1792F" w:rsidR="00D1282E" w:rsidRPr="00A94287" w:rsidRDefault="00D1282E" w:rsidP="000C6712">
      <w:pPr>
        <w:pStyle w:val="FootnoteText"/>
        <w:spacing w:after="0"/>
        <w:jc w:val="left"/>
        <w:rPr>
          <w:rFonts w:ascii="Avenir Roman" w:hAnsi="Avenir Roman"/>
          <w:sz w:val="16"/>
          <w:szCs w:val="16"/>
          <w:lang w:val="en-AU"/>
        </w:rPr>
      </w:pPr>
      <w:r w:rsidRPr="00A94287">
        <w:rPr>
          <w:rStyle w:val="FootnoteReference"/>
          <w:rFonts w:ascii="Avenir Roman" w:hAnsi="Avenir Roman"/>
          <w:sz w:val="16"/>
          <w:szCs w:val="16"/>
        </w:rPr>
        <w:footnoteRef/>
      </w:r>
      <w:r w:rsidRPr="00A94287">
        <w:rPr>
          <w:rFonts w:ascii="Avenir Roman" w:hAnsi="Avenir Roman"/>
          <w:sz w:val="16"/>
          <w:szCs w:val="16"/>
        </w:rPr>
        <w:t xml:space="preserve"> Community Affairs References Committee, </w:t>
      </w:r>
      <w:r w:rsidRPr="00A94287">
        <w:rPr>
          <w:rFonts w:ascii="Avenir Roman" w:hAnsi="Avenir Roman"/>
          <w:i/>
          <w:sz w:val="16"/>
          <w:szCs w:val="16"/>
        </w:rPr>
        <w:t xml:space="preserve">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 </w:t>
      </w:r>
      <w:r w:rsidRPr="00A94287">
        <w:rPr>
          <w:rFonts w:ascii="Avenir Roman" w:hAnsi="Avenir Roman"/>
          <w:sz w:val="16"/>
          <w:szCs w:val="16"/>
        </w:rPr>
        <w:t>op. cit., pp. 37-44.</w:t>
      </w:r>
    </w:p>
  </w:footnote>
  <w:footnote w:id="146">
    <w:p w14:paraId="2BDE4BA7" w14:textId="2E00928C" w:rsidR="00D1282E" w:rsidRPr="00A94287" w:rsidRDefault="00D1282E" w:rsidP="000C6712">
      <w:pPr>
        <w:pStyle w:val="FootnoteText"/>
        <w:spacing w:after="0"/>
        <w:jc w:val="left"/>
        <w:rPr>
          <w:rFonts w:ascii="Avenir Roman" w:hAnsi="Avenir Roman"/>
          <w:sz w:val="16"/>
          <w:szCs w:val="16"/>
          <w:lang w:val="en-AU"/>
        </w:rPr>
      </w:pPr>
      <w:r w:rsidRPr="00A94287">
        <w:rPr>
          <w:rStyle w:val="FootnoteReference"/>
          <w:rFonts w:ascii="Avenir Roman" w:hAnsi="Avenir Roman"/>
          <w:sz w:val="16"/>
          <w:szCs w:val="16"/>
        </w:rPr>
        <w:footnoteRef/>
      </w:r>
      <w:r w:rsidRPr="00A94287">
        <w:rPr>
          <w:rFonts w:ascii="Avenir Roman" w:hAnsi="Avenir Roman"/>
          <w:sz w:val="16"/>
          <w:szCs w:val="16"/>
        </w:rPr>
        <w:t xml:space="preserve"> </w:t>
      </w:r>
      <w:r w:rsidRPr="00A94287">
        <w:rPr>
          <w:rFonts w:ascii="Avenir Roman" w:hAnsi="Avenir Roman"/>
          <w:sz w:val="16"/>
          <w:szCs w:val="16"/>
          <w:lang w:val="en-AU"/>
        </w:rPr>
        <w:t>Ibid.</w:t>
      </w:r>
    </w:p>
  </w:footnote>
  <w:footnote w:id="147">
    <w:p w14:paraId="3D5768AB" w14:textId="3E08A951" w:rsidR="00D1282E" w:rsidRPr="00A94287" w:rsidRDefault="00D1282E" w:rsidP="000C6712">
      <w:pPr>
        <w:pStyle w:val="FootnoteText"/>
        <w:spacing w:after="0"/>
        <w:jc w:val="left"/>
        <w:rPr>
          <w:rFonts w:ascii="Avenir Roman" w:hAnsi="Avenir Roman"/>
          <w:sz w:val="16"/>
          <w:szCs w:val="16"/>
          <w:lang w:val="en-AU"/>
        </w:rPr>
      </w:pPr>
      <w:r w:rsidRPr="00A94287">
        <w:rPr>
          <w:rStyle w:val="FootnoteReference"/>
          <w:rFonts w:ascii="Avenir Roman" w:hAnsi="Avenir Roman"/>
          <w:sz w:val="16"/>
          <w:szCs w:val="16"/>
        </w:rPr>
        <w:footnoteRef/>
      </w:r>
      <w:r w:rsidRPr="00A94287">
        <w:rPr>
          <w:rFonts w:ascii="Avenir Roman" w:hAnsi="Avenir Roman"/>
          <w:sz w:val="16"/>
          <w:szCs w:val="16"/>
        </w:rPr>
        <w:t xml:space="preserve"> </w:t>
      </w:r>
      <w:r w:rsidRPr="00A94287">
        <w:rPr>
          <w:rFonts w:ascii="Avenir Roman" w:hAnsi="Avenir Roman"/>
          <w:sz w:val="16"/>
          <w:szCs w:val="16"/>
          <w:lang w:val="en-AU"/>
        </w:rPr>
        <w:t>Ibid. pp. 235-238.</w:t>
      </w:r>
    </w:p>
  </w:footnote>
  <w:footnote w:id="148">
    <w:p w14:paraId="77A7CC1B" w14:textId="77777777" w:rsidR="00D1282E" w:rsidRPr="000C6712" w:rsidRDefault="00D1282E" w:rsidP="000C6712">
      <w:pPr>
        <w:pStyle w:val="FootnoteText"/>
        <w:spacing w:after="0" w:line="240" w:lineRule="auto"/>
        <w:jc w:val="left"/>
        <w:rPr>
          <w:rFonts w:ascii="Avenir Roman" w:hAnsi="Avenir Roman" w:cstheme="minorHAnsi"/>
          <w:sz w:val="16"/>
          <w:szCs w:val="16"/>
          <w:lang w:val="en-AU"/>
        </w:rPr>
      </w:pPr>
      <w:r w:rsidRPr="000C6712">
        <w:rPr>
          <w:rStyle w:val="FootnoteReference"/>
          <w:rFonts w:ascii="Avenir Roman" w:hAnsi="Avenir Roman" w:cstheme="minorHAnsi"/>
          <w:sz w:val="16"/>
          <w:szCs w:val="16"/>
        </w:rPr>
        <w:footnoteRef/>
      </w:r>
      <w:r w:rsidRPr="000C6712">
        <w:rPr>
          <w:rFonts w:ascii="Avenir Roman" w:hAnsi="Avenir Roman" w:cstheme="minorHAnsi"/>
          <w:sz w:val="16"/>
          <w:szCs w:val="16"/>
        </w:rPr>
        <w:t xml:space="preserve"> </w:t>
      </w:r>
      <w:r w:rsidRPr="000C6712">
        <w:rPr>
          <w:rFonts w:ascii="Avenir Roman" w:hAnsi="Avenir Roman" w:cstheme="minorHAnsi"/>
          <w:color w:val="000000" w:themeColor="text1"/>
          <w:sz w:val="16"/>
          <w:szCs w:val="16"/>
        </w:rPr>
        <w:t>Frohmader, C. and Sands, T., op. cit., page 19</w:t>
      </w:r>
    </w:p>
  </w:footnote>
  <w:footnote w:id="149">
    <w:p w14:paraId="11CCAEC1" w14:textId="34111E53"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Ms. Kate Eastman SC in </w:t>
      </w:r>
      <w:r w:rsidRPr="000C6712">
        <w:rPr>
          <w:rFonts w:ascii="Avenir Roman" w:hAnsi="Avenir Roman"/>
          <w:sz w:val="16"/>
          <w:szCs w:val="16"/>
          <w:lang w:val="en-AU"/>
        </w:rPr>
        <w:t xml:space="preserve">Royal Commission into Violence, Abuse, Neglect and Exploitation of People with Disability, </w:t>
      </w:r>
      <w:r w:rsidRPr="000C6712">
        <w:rPr>
          <w:rFonts w:ascii="Avenir Roman" w:hAnsi="Avenir Roman"/>
          <w:i/>
          <w:sz w:val="16"/>
          <w:szCs w:val="16"/>
          <w:lang w:val="en-AU"/>
        </w:rPr>
        <w:t xml:space="preserve">Transcript of Proceedings, </w:t>
      </w:r>
      <w:r w:rsidRPr="000C6712">
        <w:rPr>
          <w:rFonts w:ascii="Avenir Roman" w:hAnsi="Avenir Roman"/>
          <w:sz w:val="16"/>
          <w:szCs w:val="16"/>
          <w:lang w:val="en-AU"/>
        </w:rPr>
        <w:t>Melbourne</w:t>
      </w:r>
      <w:r w:rsidRPr="000C6712">
        <w:rPr>
          <w:rFonts w:ascii="Avenir Roman" w:hAnsi="Avenir Roman"/>
          <w:i/>
          <w:sz w:val="16"/>
          <w:szCs w:val="16"/>
          <w:lang w:val="en-AU"/>
        </w:rPr>
        <w:t xml:space="preserve">, </w:t>
      </w:r>
      <w:r w:rsidRPr="000C6712">
        <w:rPr>
          <w:rFonts w:ascii="Avenir Roman" w:hAnsi="Avenir Roman"/>
          <w:sz w:val="16"/>
          <w:szCs w:val="16"/>
          <w:lang w:val="en-AU"/>
        </w:rPr>
        <w:t xml:space="preserve">5 December 2019, pp. 280-281.  Available at: </w:t>
      </w:r>
      <w:hyperlink r:id="rId65" w:history="1">
        <w:r w:rsidRPr="000C6712">
          <w:rPr>
            <w:rStyle w:val="Hyperlink"/>
            <w:rFonts w:ascii="Avenir Roman" w:hAnsi="Avenir Roman"/>
            <w:sz w:val="16"/>
            <w:szCs w:val="16"/>
            <w:lang w:val="en-AU"/>
          </w:rPr>
          <w:t>https://disability.royalcommission.gov.au/publications/transcript-5-december-2019</w:t>
        </w:r>
      </w:hyperlink>
      <w:r w:rsidRPr="000C6712">
        <w:rPr>
          <w:rFonts w:ascii="Avenir Roman" w:hAnsi="Avenir Roman"/>
          <w:sz w:val="16"/>
          <w:szCs w:val="16"/>
          <w:lang w:val="en-AU"/>
        </w:rPr>
        <w:t xml:space="preserve"> </w:t>
      </w:r>
    </w:p>
  </w:footnote>
  <w:footnote w:id="150">
    <w:p w14:paraId="600FEAD9" w14:textId="56C8ACB9"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Ibid. p. 295.</w:t>
      </w:r>
    </w:p>
  </w:footnote>
  <w:footnote w:id="151">
    <w:p w14:paraId="037C8D0E" w14:textId="1F6FE2CF"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Ibid.</w:t>
      </w:r>
    </w:p>
  </w:footnote>
  <w:footnote w:id="152">
    <w:p w14:paraId="7AD400D1" w14:textId="77777777"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cs="Calibri"/>
          <w:color w:val="000000" w:themeColor="text1"/>
          <w:sz w:val="16"/>
          <w:szCs w:val="16"/>
        </w:rPr>
        <w:t>Frohmader, C. and Cadwallader, J., ‘Senate Standing Committee on Finance and Public Administration Inquiry into Domestic Violence in Australia (</w:t>
      </w:r>
      <w:r w:rsidRPr="000C6712">
        <w:rPr>
          <w:rFonts w:ascii="Avenir Roman" w:hAnsi="Avenir Roman" w:cs="Calibri"/>
          <w:color w:val="000000" w:themeColor="text1"/>
          <w:sz w:val="16"/>
          <w:szCs w:val="16"/>
          <w:lang w:val="en-AU"/>
        </w:rPr>
        <w:t xml:space="preserve">Joint Submission from National Cross-Disability Disabled People’s Organisations (DPO’s), September 2014) p. 16. Available at: </w:t>
      </w:r>
      <w:hyperlink r:id="rId66" w:history="1">
        <w:r w:rsidRPr="000C6712">
          <w:rPr>
            <w:rStyle w:val="Hyperlink"/>
            <w:rFonts w:ascii="Avenir Roman" w:hAnsi="Avenir Roman" w:cs="Calibri"/>
            <w:sz w:val="16"/>
            <w:szCs w:val="16"/>
            <w:lang w:val="en-AU"/>
          </w:rPr>
          <w:t>http://wwda.org.au/wp-content/uploads/2013/12/Final_Draft_DPO_Sub_DV_Senate2014.pdf</w:t>
        </w:r>
      </w:hyperlink>
      <w:r w:rsidRPr="000C6712">
        <w:rPr>
          <w:rFonts w:ascii="Avenir Roman" w:hAnsi="Avenir Roman" w:cs="Calibri"/>
          <w:color w:val="000000" w:themeColor="text1"/>
          <w:sz w:val="16"/>
          <w:szCs w:val="16"/>
          <w:lang w:val="en-AU"/>
        </w:rPr>
        <w:t xml:space="preserve"> </w:t>
      </w:r>
    </w:p>
  </w:footnote>
  <w:footnote w:id="153">
    <w:p w14:paraId="32304C23" w14:textId="77777777"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Ibid. p.30.</w:t>
      </w:r>
    </w:p>
  </w:footnote>
  <w:footnote w:id="154">
    <w:p w14:paraId="01E59816" w14:textId="77777777" w:rsidR="00D1282E" w:rsidRPr="008934C0"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 xml:space="preserve">See for example, </w:t>
      </w:r>
      <w:r w:rsidRPr="000C6712">
        <w:rPr>
          <w:rFonts w:ascii="Avenir Roman" w:hAnsi="Avenir Roman"/>
          <w:i/>
          <w:sz w:val="16"/>
          <w:szCs w:val="16"/>
          <w:lang w:val="en-AU"/>
        </w:rPr>
        <w:t>Crimes (Domestic and Personal Violence) Act 2007 No 80 (NSW).</w:t>
      </w:r>
    </w:p>
  </w:footnote>
  <w:footnote w:id="155">
    <w:p w14:paraId="60082E66" w14:textId="77777777"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 xml:space="preserve">Attard, M., &amp; Price-Kelly, S., </w:t>
      </w:r>
      <w:r w:rsidRPr="000C6712">
        <w:rPr>
          <w:rFonts w:ascii="Avenir Roman" w:hAnsi="Avenir Roman"/>
          <w:i/>
          <w:sz w:val="16"/>
          <w:szCs w:val="16"/>
          <w:lang w:val="en-AU"/>
        </w:rPr>
        <w:t>Accommodating Violence: The experience of domestic violence of people with disability living in licensed boarding houses</w:t>
      </w:r>
      <w:r w:rsidRPr="000C6712">
        <w:rPr>
          <w:rFonts w:ascii="Avenir Roman" w:hAnsi="Avenir Roman"/>
          <w:sz w:val="16"/>
          <w:szCs w:val="16"/>
          <w:lang w:val="en-AU"/>
        </w:rPr>
        <w:t>, People with Disability Australia, 2010, p. 96.</w:t>
      </w:r>
    </w:p>
  </w:footnote>
  <w:footnote w:id="156">
    <w:p w14:paraId="15586D0D" w14:textId="77777777"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Disabled People’s Organisations Australia and the National Women’s Alliances, op. cit., p. 49.</w:t>
      </w:r>
    </w:p>
  </w:footnote>
  <w:footnote w:id="157">
    <w:p w14:paraId="7C5C4916" w14:textId="77777777"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Ibid.</w:t>
      </w:r>
    </w:p>
  </w:footnote>
  <w:footnote w:id="158">
    <w:p w14:paraId="7B6CC820" w14:textId="77777777" w:rsidR="00D1282E" w:rsidRPr="000C6712" w:rsidRDefault="00D1282E" w:rsidP="000C6712">
      <w:pPr>
        <w:pStyle w:val="FootnoteText"/>
        <w:spacing w:after="0" w:line="240" w:lineRule="auto"/>
        <w:jc w:val="left"/>
        <w:rPr>
          <w:rFonts w:ascii="Avenir Roman" w:hAnsi="Avenir Roman"/>
          <w:sz w:val="16"/>
          <w:szCs w:val="16"/>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 xml:space="preserve">Australian Civil Society Shadow Report Working Group, </w:t>
      </w:r>
      <w:r w:rsidRPr="000C6712">
        <w:rPr>
          <w:rFonts w:ascii="Avenir Roman" w:hAnsi="Avenir Roman"/>
          <w:i/>
          <w:sz w:val="16"/>
          <w:szCs w:val="16"/>
          <w:lang w:val="en-AU"/>
        </w:rPr>
        <w:t>Disability Rights Now 2019, Australian Civil Society Shadow Report to the United Nations Committee on the Rights of Persons with Disabilities: UN CRPD Review 2019</w:t>
      </w:r>
      <w:r w:rsidRPr="000C6712">
        <w:rPr>
          <w:rFonts w:ascii="Avenir Roman" w:hAnsi="Avenir Roman"/>
          <w:sz w:val="16"/>
          <w:szCs w:val="16"/>
          <w:lang w:val="en-AU"/>
        </w:rPr>
        <w:t xml:space="preserve">, July 2019, page 29. Available at: </w:t>
      </w:r>
      <w:hyperlink r:id="rId67" w:history="1">
        <w:r w:rsidRPr="000C6712">
          <w:rPr>
            <w:rStyle w:val="Hyperlink"/>
            <w:rFonts w:ascii="Avenir Roman" w:hAnsi="Avenir Roman"/>
            <w:sz w:val="16"/>
            <w:szCs w:val="16"/>
            <w:lang w:val="en-AU"/>
          </w:rPr>
          <w:t>https://dpoa.org.au/rights-of-people-with-disability-routinely-ignored-new-report/</w:t>
        </w:r>
      </w:hyperlink>
    </w:p>
  </w:footnote>
  <w:footnote w:id="159">
    <w:p w14:paraId="17466CA3" w14:textId="77777777"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cstheme="minorHAnsi"/>
          <w:sz w:val="16"/>
          <w:szCs w:val="16"/>
        </w:rPr>
        <w:t xml:space="preserve">Committee on the Rights of Persons with Disabilities (2019) </w:t>
      </w:r>
      <w:hyperlink r:id="rId68" w:history="1">
        <w:r w:rsidRPr="000C6712">
          <w:rPr>
            <w:rStyle w:val="Hyperlink"/>
            <w:rFonts w:ascii="Avenir Roman" w:hAnsi="Avenir Roman" w:cstheme="minorHAnsi"/>
            <w:sz w:val="16"/>
            <w:szCs w:val="16"/>
          </w:rPr>
          <w:t>Concluding observations on the combined second and third periodic reports of Australia</w:t>
        </w:r>
      </w:hyperlink>
      <w:r w:rsidRPr="000C6712">
        <w:rPr>
          <w:rFonts w:ascii="Avenir Roman" w:hAnsi="Avenir Roman" w:cstheme="minorHAnsi"/>
          <w:sz w:val="16"/>
          <w:szCs w:val="16"/>
        </w:rPr>
        <w:t>, op. cit., para 34(a).</w:t>
      </w:r>
    </w:p>
  </w:footnote>
  <w:footnote w:id="160">
    <w:p w14:paraId="1750ECDE" w14:textId="1CB7BAA5"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 xml:space="preserve">See e.g., People with Disability Australia, ‘Sexuality and Respectful Relationships’ training programs, </w:t>
      </w:r>
      <w:hyperlink r:id="rId69" w:history="1">
        <w:r w:rsidRPr="000C6712">
          <w:rPr>
            <w:rStyle w:val="Hyperlink"/>
            <w:rFonts w:ascii="Avenir Roman" w:hAnsi="Avenir Roman"/>
            <w:sz w:val="16"/>
            <w:szCs w:val="16"/>
            <w:lang w:val="en-AU"/>
          </w:rPr>
          <w:t>https://pwd.org.au/services/training/sexuality-and-respectful-relationships/</w:t>
        </w:r>
      </w:hyperlink>
      <w:r w:rsidRPr="000C6712">
        <w:rPr>
          <w:rFonts w:ascii="Avenir Roman" w:hAnsi="Avenir Roman"/>
          <w:sz w:val="16"/>
          <w:szCs w:val="16"/>
          <w:lang w:val="en-AU"/>
        </w:rPr>
        <w:t xml:space="preserve">; Deakin University, ‘Sexual Lives &amp; Respectful Relationships’, </w:t>
      </w:r>
      <w:hyperlink r:id="rId70" w:history="1">
        <w:r w:rsidRPr="000C6712">
          <w:rPr>
            <w:rStyle w:val="Hyperlink"/>
            <w:rFonts w:ascii="Avenir Roman" w:hAnsi="Avenir Roman"/>
            <w:sz w:val="16"/>
            <w:szCs w:val="16"/>
            <w:lang w:val="en-AU"/>
          </w:rPr>
          <w:t>https://www.slrr.com.au</w:t>
        </w:r>
      </w:hyperlink>
      <w:r w:rsidRPr="000C6712">
        <w:rPr>
          <w:rFonts w:ascii="Avenir Roman" w:hAnsi="Avenir Roman"/>
          <w:sz w:val="16"/>
          <w:szCs w:val="16"/>
          <w:lang w:val="en-AU"/>
        </w:rPr>
        <w:t xml:space="preserve">   </w:t>
      </w:r>
    </w:p>
  </w:footnote>
  <w:footnote w:id="161">
    <w:p w14:paraId="2DAF0AD7" w14:textId="2C5F03C3" w:rsidR="00D1282E" w:rsidRPr="002906C7"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 xml:space="preserve">See e.g., National Disability Services, ‘Zero Tolerance – Focus on rights, target abuse’. Available at: </w:t>
      </w:r>
      <w:hyperlink r:id="rId71" w:history="1">
        <w:r w:rsidRPr="000C6712">
          <w:rPr>
            <w:rStyle w:val="Hyperlink"/>
            <w:rFonts w:ascii="Avenir Roman" w:hAnsi="Avenir Roman"/>
            <w:sz w:val="16"/>
            <w:szCs w:val="16"/>
            <w:lang w:val="en-AU"/>
          </w:rPr>
          <w:t>https://www.nds.org.au/resources/zero-tolerance</w:t>
        </w:r>
      </w:hyperlink>
      <w:r w:rsidRPr="002906C7">
        <w:rPr>
          <w:rFonts w:ascii="Avenir Roman" w:hAnsi="Avenir Roman"/>
          <w:sz w:val="16"/>
          <w:szCs w:val="16"/>
          <w:lang w:val="en-AU"/>
        </w:rPr>
        <w:t xml:space="preserve"> </w:t>
      </w:r>
    </w:p>
  </w:footnote>
  <w:footnote w:id="162">
    <w:p w14:paraId="4FFE0BEB" w14:textId="22D4C1E9" w:rsidR="00D1282E" w:rsidRPr="002906C7" w:rsidRDefault="00D1282E" w:rsidP="000C6712">
      <w:pPr>
        <w:pStyle w:val="FootnoteText"/>
        <w:spacing w:after="0" w:line="240" w:lineRule="auto"/>
        <w:jc w:val="left"/>
        <w:rPr>
          <w:rFonts w:ascii="Avenir Roman" w:hAnsi="Avenir Roman"/>
          <w:sz w:val="16"/>
          <w:szCs w:val="16"/>
          <w:lang w:val="en-AU"/>
        </w:rPr>
      </w:pPr>
      <w:r w:rsidRPr="002906C7">
        <w:rPr>
          <w:rStyle w:val="FootnoteReference"/>
          <w:rFonts w:ascii="Avenir Roman" w:hAnsi="Avenir Roman"/>
          <w:sz w:val="16"/>
          <w:szCs w:val="16"/>
        </w:rPr>
        <w:footnoteRef/>
      </w:r>
      <w:r w:rsidRPr="002906C7">
        <w:rPr>
          <w:rFonts w:ascii="Avenir Roman" w:hAnsi="Avenir Roman"/>
          <w:sz w:val="16"/>
          <w:szCs w:val="16"/>
        </w:rPr>
        <w:t xml:space="preserve"> </w:t>
      </w:r>
      <w:r w:rsidRPr="002906C7">
        <w:rPr>
          <w:rFonts w:ascii="Avenir Roman" w:hAnsi="Avenir Roman"/>
          <w:sz w:val="16"/>
          <w:szCs w:val="16"/>
          <w:lang w:val="en-AU"/>
        </w:rPr>
        <w:t xml:space="preserve">See e.g., </w:t>
      </w:r>
      <w:r>
        <w:rPr>
          <w:rFonts w:ascii="Avenir Roman" w:hAnsi="Avenir Roman"/>
          <w:sz w:val="16"/>
          <w:szCs w:val="16"/>
          <w:lang w:val="en-AU"/>
        </w:rPr>
        <w:t xml:space="preserve">Women With Disabilities Australia, ‘Our Site’ (website resource).  Available at: </w:t>
      </w:r>
      <w:hyperlink r:id="rId72" w:history="1">
        <w:r w:rsidRPr="001632AD">
          <w:rPr>
            <w:rStyle w:val="Hyperlink"/>
            <w:rFonts w:ascii="Avenir Roman" w:hAnsi="Avenir Roman"/>
            <w:sz w:val="16"/>
            <w:szCs w:val="16"/>
            <w:lang w:val="en-AU"/>
          </w:rPr>
          <w:t>https://oursite.wwda.org.au</w:t>
        </w:r>
      </w:hyperlink>
      <w:r>
        <w:rPr>
          <w:rFonts w:ascii="Avenir Roman" w:hAnsi="Avenir Roman"/>
          <w:sz w:val="16"/>
          <w:szCs w:val="16"/>
          <w:lang w:val="en-AU"/>
        </w:rPr>
        <w:t xml:space="preserve">; </w:t>
      </w:r>
      <w:r w:rsidRPr="002906C7">
        <w:rPr>
          <w:rFonts w:ascii="Avenir Roman" w:hAnsi="Avenir Roman"/>
          <w:sz w:val="16"/>
          <w:szCs w:val="16"/>
          <w:lang w:val="en-AU"/>
        </w:rPr>
        <w:t xml:space="preserve">Women with Disabilities Victoria, ‘Our Right to Safety and Respect Resource (Safeguards Project’. Available at: </w:t>
      </w:r>
      <w:hyperlink r:id="rId73" w:history="1">
        <w:r w:rsidRPr="002906C7">
          <w:rPr>
            <w:rStyle w:val="Hyperlink"/>
            <w:rFonts w:ascii="Avenir Roman" w:hAnsi="Avenir Roman"/>
            <w:sz w:val="16"/>
            <w:szCs w:val="16"/>
            <w:lang w:val="en-AU"/>
          </w:rPr>
          <w:t>https://www.wdv.org.au/our-work/our-work-with-organisations/safeguards/</w:t>
        </w:r>
      </w:hyperlink>
      <w:r w:rsidRPr="002906C7">
        <w:rPr>
          <w:rFonts w:ascii="Avenir Roman" w:hAnsi="Avenir Roman"/>
          <w:sz w:val="16"/>
          <w:szCs w:val="16"/>
          <w:lang w:val="en-AU"/>
        </w:rPr>
        <w:t xml:space="preserve"> </w:t>
      </w:r>
    </w:p>
  </w:footnote>
  <w:footnote w:id="163">
    <w:p w14:paraId="67428150" w14:textId="577D8E47"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 xml:space="preserve">See e.g., People with Disability Australia, ‘Building Access Project’. Available at: </w:t>
      </w:r>
      <w:hyperlink r:id="rId74" w:history="1">
        <w:r w:rsidRPr="000C6712">
          <w:rPr>
            <w:rStyle w:val="Hyperlink"/>
            <w:rFonts w:ascii="Avenir Roman" w:hAnsi="Avenir Roman"/>
            <w:sz w:val="16"/>
            <w:szCs w:val="16"/>
            <w:lang w:val="en-AU"/>
          </w:rPr>
          <w:t>https://pwd.org.au/our-work/projects/building-access/</w:t>
        </w:r>
      </w:hyperlink>
      <w:r w:rsidRPr="000C6712">
        <w:rPr>
          <w:rFonts w:ascii="Avenir Roman" w:hAnsi="Avenir Roman"/>
          <w:sz w:val="16"/>
          <w:szCs w:val="16"/>
          <w:lang w:val="en-AU"/>
        </w:rPr>
        <w:t xml:space="preserve">; People with Disability Australia &amp; Domestic Violence NSW, </w:t>
      </w:r>
      <w:r w:rsidRPr="000C6712">
        <w:rPr>
          <w:rFonts w:ascii="Avenir Roman" w:hAnsi="Avenir Roman"/>
          <w:i/>
          <w:sz w:val="16"/>
          <w:szCs w:val="16"/>
          <w:lang w:val="en-AU"/>
        </w:rPr>
        <w:t>Women With Disability and Domestic and Family Violence: A Guide for Policy and Practice</w:t>
      </w:r>
      <w:r w:rsidRPr="000C6712">
        <w:rPr>
          <w:rFonts w:ascii="Avenir Roman" w:hAnsi="Avenir Roman"/>
          <w:sz w:val="16"/>
          <w:szCs w:val="16"/>
          <w:lang w:val="en-AU"/>
        </w:rPr>
        <w:t xml:space="preserve">, 2015. Available at: </w:t>
      </w:r>
      <w:hyperlink r:id="rId75" w:history="1">
        <w:r w:rsidRPr="000C6712">
          <w:rPr>
            <w:rStyle w:val="Hyperlink"/>
            <w:rFonts w:ascii="Avenir Roman" w:hAnsi="Avenir Roman"/>
            <w:sz w:val="16"/>
            <w:szCs w:val="16"/>
            <w:lang w:val="en-AU"/>
          </w:rPr>
          <w:t>http://dvnsw.org.au/pwd_doc1.pdf</w:t>
        </w:r>
      </w:hyperlink>
      <w:r w:rsidRPr="000C6712">
        <w:rPr>
          <w:rFonts w:ascii="Avenir Roman" w:hAnsi="Avenir Roman"/>
          <w:sz w:val="16"/>
          <w:szCs w:val="16"/>
          <w:lang w:val="en-AU"/>
        </w:rPr>
        <w:t xml:space="preserve">  </w:t>
      </w:r>
    </w:p>
  </w:footnote>
  <w:footnote w:id="164">
    <w:p w14:paraId="1D47A153" w14:textId="2323CC44"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Women With Disability Australia, ‘</w:t>
      </w:r>
      <w:r w:rsidRPr="000C6712">
        <w:rPr>
          <w:rFonts w:ascii="Avenir Roman" w:hAnsi="Avenir Roman"/>
          <w:sz w:val="16"/>
          <w:szCs w:val="16"/>
          <w:lang w:val="en-AU"/>
        </w:rPr>
        <w:t xml:space="preserve">Meet Sunny – A New App for Women with Disability’. Available at: </w:t>
      </w:r>
      <w:hyperlink r:id="rId76" w:history="1">
        <w:r w:rsidRPr="000C6712">
          <w:rPr>
            <w:rStyle w:val="Hyperlink"/>
            <w:rFonts w:ascii="Avenir Roman" w:hAnsi="Avenir Roman"/>
            <w:sz w:val="16"/>
            <w:szCs w:val="16"/>
            <w:lang w:val="en-AU"/>
          </w:rPr>
          <w:t>http://wwda.org.au/sunny/</w:t>
        </w:r>
      </w:hyperlink>
      <w:r w:rsidRPr="000C6712">
        <w:rPr>
          <w:rFonts w:ascii="Avenir Roman" w:hAnsi="Avenir Roman"/>
          <w:sz w:val="16"/>
          <w:szCs w:val="16"/>
          <w:lang w:val="en-AU"/>
        </w:rPr>
        <w:t xml:space="preserve"> </w:t>
      </w:r>
    </w:p>
  </w:footnote>
  <w:footnote w:id="165">
    <w:p w14:paraId="455DB201" w14:textId="77777777" w:rsidR="00D1282E" w:rsidRPr="000C6712" w:rsidRDefault="00D1282E" w:rsidP="000C6712">
      <w:pPr>
        <w:pStyle w:val="FootnoteText"/>
        <w:spacing w:after="0" w:line="240" w:lineRule="auto"/>
        <w:jc w:val="left"/>
        <w:rPr>
          <w:rFonts w:ascii="Avenir Roman" w:hAnsi="Avenir Roman" w:cstheme="minorHAnsi"/>
          <w:i/>
          <w:sz w:val="16"/>
          <w:szCs w:val="16"/>
          <w:lang w:val="en-AU"/>
        </w:rPr>
      </w:pPr>
      <w:r w:rsidRPr="000C6712">
        <w:rPr>
          <w:rStyle w:val="FootnoteReference"/>
          <w:rFonts w:ascii="Avenir Roman" w:hAnsi="Avenir Roman" w:cstheme="minorHAnsi"/>
          <w:sz w:val="16"/>
          <w:szCs w:val="16"/>
        </w:rPr>
        <w:footnoteRef/>
      </w:r>
      <w:r w:rsidRPr="000C6712">
        <w:rPr>
          <w:rFonts w:ascii="Avenir Roman" w:hAnsi="Avenir Roman" w:cstheme="minorHAnsi"/>
          <w:sz w:val="16"/>
          <w:szCs w:val="16"/>
        </w:rPr>
        <w:t xml:space="preserve"> </w:t>
      </w:r>
      <w:r w:rsidRPr="000C6712">
        <w:rPr>
          <w:rFonts w:ascii="Avenir Roman" w:hAnsi="Avenir Roman" w:cstheme="minorHAnsi"/>
          <w:sz w:val="16"/>
          <w:szCs w:val="16"/>
          <w:lang w:val="en-AU"/>
        </w:rPr>
        <w:t xml:space="preserve">Manfred Nowak, </w:t>
      </w:r>
      <w:r w:rsidRPr="000C6712">
        <w:rPr>
          <w:rFonts w:ascii="Avenir Roman" w:hAnsi="Avenir Roman" w:cstheme="minorHAnsi"/>
          <w:i/>
          <w:sz w:val="16"/>
          <w:szCs w:val="16"/>
          <w:lang w:val="en-AU"/>
        </w:rPr>
        <w:t xml:space="preserve">Interim Report of the Special Rapporteur on Torture and Other Cruel, Inhuman or Degrading Treatment or Punishment, </w:t>
      </w:r>
      <w:r w:rsidRPr="000C6712">
        <w:rPr>
          <w:rFonts w:ascii="Avenir Roman" w:hAnsi="Avenir Roman" w:cstheme="minorHAnsi"/>
          <w:sz w:val="16"/>
          <w:szCs w:val="16"/>
          <w:lang w:val="en-AU"/>
        </w:rPr>
        <w:t>63</w:t>
      </w:r>
      <w:r w:rsidRPr="000C6712">
        <w:rPr>
          <w:rFonts w:ascii="Avenir Roman" w:hAnsi="Avenir Roman" w:cstheme="minorHAnsi"/>
          <w:sz w:val="16"/>
          <w:szCs w:val="16"/>
          <w:vertAlign w:val="superscript"/>
          <w:lang w:val="en-AU"/>
        </w:rPr>
        <w:t>rd</w:t>
      </w:r>
      <w:r w:rsidRPr="000C6712">
        <w:rPr>
          <w:rFonts w:ascii="Avenir Roman" w:hAnsi="Avenir Roman" w:cstheme="minorHAnsi"/>
          <w:sz w:val="16"/>
          <w:szCs w:val="16"/>
          <w:lang w:val="en-AU"/>
        </w:rPr>
        <w:t xml:space="preserve"> sess, UN Doc A/63/175 (28 July 2008) para 58.</w:t>
      </w:r>
      <w:r w:rsidRPr="000C6712">
        <w:rPr>
          <w:rFonts w:ascii="Avenir Roman" w:hAnsi="Avenir Roman" w:cstheme="minorHAnsi"/>
          <w:i/>
          <w:sz w:val="16"/>
          <w:szCs w:val="16"/>
          <w:lang w:val="en-AU"/>
        </w:rPr>
        <w:t xml:space="preserve"> </w:t>
      </w:r>
    </w:p>
  </w:footnote>
  <w:footnote w:id="166">
    <w:p w14:paraId="3682B704" w14:textId="77777777" w:rsidR="00D1282E" w:rsidRPr="000C6712"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Frohmader, C.; Dowse, L.; Didi, A., op. cit., page 16.</w:t>
      </w:r>
    </w:p>
  </w:footnote>
  <w:footnote w:id="167">
    <w:p w14:paraId="4FB3E872" w14:textId="77777777" w:rsidR="00D1282E" w:rsidRPr="000C6712" w:rsidRDefault="00D1282E" w:rsidP="000C6712">
      <w:pPr>
        <w:pStyle w:val="FootnoteText"/>
        <w:spacing w:after="0" w:line="240" w:lineRule="auto"/>
        <w:jc w:val="left"/>
        <w:rPr>
          <w:rFonts w:ascii="Avenir Roman" w:hAnsi="Avenir Roman" w:cstheme="minorHAnsi"/>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 xml:space="preserve">See e.g., </w:t>
      </w:r>
      <w:r w:rsidRPr="000C6712">
        <w:rPr>
          <w:rFonts w:ascii="Avenir Roman" w:hAnsi="Avenir Roman" w:cstheme="minorHAnsi"/>
          <w:sz w:val="16"/>
          <w:szCs w:val="16"/>
          <w:lang w:val="en-AU"/>
        </w:rPr>
        <w:t xml:space="preserve">French, P., Dardel, J., Price-Kelly, S., </w:t>
      </w:r>
      <w:r w:rsidRPr="000C6712">
        <w:rPr>
          <w:rFonts w:ascii="Avenir Roman" w:hAnsi="Avenir Roman" w:cstheme="minorHAnsi"/>
          <w:i/>
          <w:sz w:val="16"/>
          <w:szCs w:val="16"/>
          <w:lang w:val="en-AU"/>
        </w:rPr>
        <w:t xml:space="preserve">Rights Denied: Towards a National Policy Agenda About Abuse, Neglect &amp; Exploitation of Persons with Cognitive Impairment, </w:t>
      </w:r>
      <w:r w:rsidRPr="000C6712">
        <w:rPr>
          <w:rFonts w:ascii="Avenir Roman" w:hAnsi="Avenir Roman" w:cstheme="minorHAnsi"/>
          <w:sz w:val="16"/>
          <w:szCs w:val="16"/>
          <w:lang w:val="en-AU"/>
        </w:rPr>
        <w:t xml:space="preserve">2010, People with Disability Australia, Sydney; </w:t>
      </w:r>
      <w:r w:rsidRPr="000C6712">
        <w:rPr>
          <w:rFonts w:ascii="Avenir Roman" w:hAnsi="Avenir Roman"/>
          <w:sz w:val="16"/>
          <w:szCs w:val="16"/>
          <w:lang w:val="en-AU"/>
        </w:rPr>
        <w:t>Attard, M., &amp; Price-Kelly, S., op. cit.</w:t>
      </w:r>
    </w:p>
  </w:footnote>
  <w:footnote w:id="168">
    <w:p w14:paraId="43E94F01" w14:textId="77777777" w:rsidR="00D1282E" w:rsidRPr="003E0B7B" w:rsidRDefault="00D1282E" w:rsidP="000C6712">
      <w:pPr>
        <w:pStyle w:val="FootnoteText"/>
        <w:spacing w:after="0" w:line="240" w:lineRule="auto"/>
        <w:jc w:val="left"/>
        <w:rPr>
          <w:rFonts w:ascii="Avenir Roman" w:hAnsi="Avenir Roman"/>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 xml:space="preserve">Dr. Claire Spivakovsky in Royal Commission into Violence, Abuse, Neglect and Exploitation of People with Disability, </w:t>
      </w:r>
      <w:r w:rsidRPr="000C6712">
        <w:rPr>
          <w:rFonts w:ascii="Avenir Roman" w:hAnsi="Avenir Roman"/>
          <w:i/>
          <w:sz w:val="16"/>
          <w:szCs w:val="16"/>
          <w:lang w:val="en-AU"/>
        </w:rPr>
        <w:t xml:space="preserve">Transcript of Proceedings, </w:t>
      </w:r>
      <w:r w:rsidRPr="000C6712">
        <w:rPr>
          <w:rFonts w:ascii="Avenir Roman" w:hAnsi="Avenir Roman"/>
          <w:sz w:val="16"/>
          <w:szCs w:val="16"/>
          <w:lang w:val="en-AU"/>
        </w:rPr>
        <w:t>Melbourne</w:t>
      </w:r>
      <w:r w:rsidRPr="000C6712">
        <w:rPr>
          <w:rFonts w:ascii="Avenir Roman" w:hAnsi="Avenir Roman"/>
          <w:i/>
          <w:sz w:val="16"/>
          <w:szCs w:val="16"/>
          <w:lang w:val="en-AU"/>
        </w:rPr>
        <w:t xml:space="preserve">, </w:t>
      </w:r>
      <w:r w:rsidRPr="000C6712">
        <w:rPr>
          <w:rFonts w:ascii="Avenir Roman" w:hAnsi="Avenir Roman"/>
          <w:sz w:val="16"/>
          <w:szCs w:val="16"/>
          <w:lang w:val="en-AU"/>
        </w:rPr>
        <w:t xml:space="preserve">3 December 2019, pp. 84-97.  Available at: </w:t>
      </w:r>
      <w:hyperlink r:id="rId77" w:history="1">
        <w:r w:rsidRPr="000C6712">
          <w:rPr>
            <w:rStyle w:val="Hyperlink"/>
            <w:rFonts w:ascii="Avenir Roman" w:hAnsi="Avenir Roman"/>
            <w:sz w:val="16"/>
            <w:szCs w:val="16"/>
            <w:lang w:val="en-AU"/>
          </w:rPr>
          <w:t>https://disability.royalcommission.gov.au/system/files/2020-04/Transcript%20Day%202%20-%20Homes%20and%20living%2C%20Melbourne_0.pdf</w:t>
        </w:r>
      </w:hyperlink>
    </w:p>
  </w:footnote>
  <w:footnote w:id="169">
    <w:p w14:paraId="6888C149" w14:textId="77777777" w:rsidR="00D1282E" w:rsidRPr="000C6712" w:rsidRDefault="00D1282E" w:rsidP="000C6712">
      <w:pPr>
        <w:pStyle w:val="FootnoteText"/>
        <w:spacing w:after="0" w:line="240" w:lineRule="auto"/>
        <w:jc w:val="left"/>
        <w:rPr>
          <w:rFonts w:ascii="Avenir Roman" w:hAnsi="Avenir Roman" w:cstheme="minorHAnsi"/>
          <w:sz w:val="16"/>
          <w:szCs w:val="16"/>
          <w:lang w:val="en-AU"/>
        </w:rPr>
      </w:pPr>
      <w:r w:rsidRPr="000C6712">
        <w:rPr>
          <w:rStyle w:val="FootnoteReference"/>
          <w:rFonts w:ascii="Avenir Roman" w:hAnsi="Avenir Roman" w:cstheme="minorHAnsi"/>
          <w:sz w:val="16"/>
          <w:szCs w:val="16"/>
        </w:rPr>
        <w:footnoteRef/>
      </w:r>
      <w:r w:rsidRPr="000C6712">
        <w:rPr>
          <w:rFonts w:ascii="Avenir Roman" w:hAnsi="Avenir Roman" w:cstheme="minorHAnsi"/>
          <w:sz w:val="16"/>
          <w:szCs w:val="16"/>
        </w:rPr>
        <w:t xml:space="preserve"> Meredith Lea, Fleur Beaupert, Ngila Bevan, Danielle Celermajer, Piers Gooding, Rebecca Minty, Emma Phillips, Claire Spivakovsky, Linda Steele, Dinesh Joseph Wadiwel &amp; Penelope June Weller (2018) ‘A disability aware approach to torture prevention? Australian OPCAT ratification and improved protections for people with disability, </w:t>
      </w:r>
      <w:r w:rsidRPr="000C6712">
        <w:rPr>
          <w:rFonts w:ascii="Avenir Roman" w:hAnsi="Avenir Roman" w:cstheme="minorHAnsi"/>
          <w:i/>
          <w:sz w:val="16"/>
          <w:szCs w:val="16"/>
        </w:rPr>
        <w:t xml:space="preserve">Australian Journal of Human Rights, </w:t>
      </w:r>
      <w:r w:rsidRPr="000C6712">
        <w:rPr>
          <w:rFonts w:ascii="Avenir Roman" w:hAnsi="Avenir Roman" w:cstheme="minorHAnsi"/>
          <w:sz w:val="16"/>
          <w:szCs w:val="16"/>
        </w:rPr>
        <w:t xml:space="preserve">24:1, pp. 70-96. Available at: </w:t>
      </w:r>
      <w:hyperlink r:id="rId78" w:history="1">
        <w:r w:rsidRPr="000C6712">
          <w:rPr>
            <w:rStyle w:val="Hyperlink"/>
            <w:rFonts w:ascii="Avenir Roman" w:hAnsi="Avenir Roman" w:cstheme="minorHAnsi"/>
            <w:sz w:val="16"/>
            <w:szCs w:val="16"/>
          </w:rPr>
          <w:t>https://doi.org/10.1080/1323238X.2018.1441611</w:t>
        </w:r>
      </w:hyperlink>
      <w:r w:rsidRPr="000C6712">
        <w:rPr>
          <w:rFonts w:ascii="Avenir Roman" w:hAnsi="Avenir Roman" w:cstheme="minorHAnsi"/>
          <w:sz w:val="16"/>
          <w:szCs w:val="16"/>
        </w:rPr>
        <w:t xml:space="preserve">; </w:t>
      </w:r>
      <w:r w:rsidRPr="000C6712">
        <w:rPr>
          <w:rFonts w:ascii="Avenir Roman" w:hAnsi="Avenir Roman" w:cstheme="minorHAnsi"/>
          <w:sz w:val="16"/>
          <w:szCs w:val="16"/>
          <w:lang w:val="en-AU"/>
        </w:rPr>
        <w:t xml:space="preserve">Disabled People’s Organisations Australia, </w:t>
      </w:r>
      <w:r w:rsidRPr="000C6712">
        <w:rPr>
          <w:rFonts w:ascii="Avenir Roman" w:hAnsi="Avenir Roman" w:cstheme="minorHAnsi"/>
          <w:i/>
          <w:sz w:val="16"/>
          <w:szCs w:val="16"/>
          <w:lang w:val="en-AU"/>
        </w:rPr>
        <w:t>Position Paper: Disability Inclusive National Preventive Mechanism (NPM)</w:t>
      </w:r>
      <w:r w:rsidRPr="000C6712">
        <w:rPr>
          <w:rFonts w:ascii="Avenir Roman" w:hAnsi="Avenir Roman" w:cstheme="minorHAnsi"/>
          <w:sz w:val="16"/>
          <w:szCs w:val="16"/>
          <w:lang w:val="en-AU"/>
        </w:rPr>
        <w:t xml:space="preserve">, 11 May 2018. Available at: </w:t>
      </w:r>
      <w:hyperlink r:id="rId79" w:history="1">
        <w:r w:rsidRPr="000C6712">
          <w:rPr>
            <w:rStyle w:val="Hyperlink"/>
            <w:rFonts w:ascii="Avenir Roman" w:hAnsi="Avenir Roman" w:cstheme="minorHAnsi"/>
            <w:sz w:val="16"/>
            <w:szCs w:val="16"/>
            <w:lang w:val="en-AU"/>
          </w:rPr>
          <w:t>https://dpoa.org.au/position-opcat-npm/</w:t>
        </w:r>
      </w:hyperlink>
      <w:r w:rsidRPr="000C6712">
        <w:rPr>
          <w:rFonts w:ascii="Avenir Roman" w:hAnsi="Avenir Roman" w:cstheme="minorHAnsi"/>
          <w:sz w:val="16"/>
          <w:szCs w:val="16"/>
          <w:lang w:val="en-AU"/>
        </w:rPr>
        <w:t xml:space="preserve">; The Australian OPCAT Network, </w:t>
      </w:r>
      <w:r w:rsidRPr="000C6712">
        <w:rPr>
          <w:rFonts w:ascii="Avenir Roman" w:hAnsi="Avenir Roman" w:cstheme="minorHAnsi"/>
          <w:i/>
          <w:sz w:val="16"/>
          <w:szCs w:val="16"/>
          <w:lang w:val="en-AU"/>
        </w:rPr>
        <w:t>The implementation of OPCAT in Australia</w:t>
      </w:r>
      <w:r w:rsidRPr="000C6712">
        <w:rPr>
          <w:rFonts w:ascii="Avenir Roman" w:hAnsi="Avenir Roman" w:cstheme="minorHAnsi"/>
          <w:sz w:val="16"/>
          <w:szCs w:val="16"/>
          <w:lang w:val="en-AU"/>
        </w:rPr>
        <w:t xml:space="preserve">, (Submission to the Subcommittee on Prevention of Torture and other Cruel, Inhuman or Degrading Treatment or Punishment (SPT) and the United Nations Working Group on Arbitrary Detention (WGAD) January 2020, page 88-89. Available at: </w:t>
      </w:r>
      <w:hyperlink r:id="rId80" w:history="1">
        <w:r w:rsidRPr="000C6712">
          <w:rPr>
            <w:rStyle w:val="Hyperlink"/>
            <w:rFonts w:ascii="Avenir Roman" w:hAnsi="Avenir Roman" w:cstheme="minorHAnsi"/>
            <w:sz w:val="16"/>
            <w:szCs w:val="16"/>
            <w:lang w:val="en-AU"/>
          </w:rPr>
          <w:t>https://reliefweb.int/report/australia/implementation-opcat-australia</w:t>
        </w:r>
      </w:hyperlink>
    </w:p>
  </w:footnote>
  <w:footnote w:id="170">
    <w:p w14:paraId="616C0B3F" w14:textId="77777777" w:rsidR="00D1282E" w:rsidRPr="000C6712" w:rsidRDefault="00D1282E" w:rsidP="000C6712">
      <w:pPr>
        <w:pStyle w:val="FootnoteText"/>
        <w:spacing w:after="0" w:line="240" w:lineRule="auto"/>
        <w:jc w:val="left"/>
        <w:rPr>
          <w:rFonts w:ascii="Avenir Roman" w:hAnsi="Avenir Roman" w:cstheme="minorHAnsi"/>
          <w:sz w:val="16"/>
          <w:szCs w:val="16"/>
          <w:lang w:val="en-AU"/>
        </w:rPr>
      </w:pPr>
      <w:r w:rsidRPr="000C6712">
        <w:rPr>
          <w:rStyle w:val="FootnoteReference"/>
          <w:rFonts w:ascii="Avenir Roman" w:hAnsi="Avenir Roman" w:cstheme="minorHAnsi"/>
          <w:sz w:val="16"/>
          <w:szCs w:val="16"/>
        </w:rPr>
        <w:footnoteRef/>
      </w:r>
      <w:r w:rsidRPr="000C6712">
        <w:rPr>
          <w:rFonts w:ascii="Avenir Roman" w:hAnsi="Avenir Roman" w:cstheme="minorHAnsi"/>
          <w:sz w:val="16"/>
          <w:szCs w:val="16"/>
        </w:rPr>
        <w:t xml:space="preserve"> See e.g., </w:t>
      </w:r>
      <w:r w:rsidRPr="000C6712">
        <w:rPr>
          <w:rFonts w:ascii="Avenir Roman" w:hAnsi="Avenir Roman" w:cstheme="minorHAnsi"/>
          <w:sz w:val="16"/>
          <w:szCs w:val="16"/>
          <w:lang w:val="en-AU"/>
        </w:rPr>
        <w:t xml:space="preserve">Disabled People’s Organisations Australia, </w:t>
      </w:r>
      <w:r w:rsidRPr="000C6712">
        <w:rPr>
          <w:rFonts w:ascii="Avenir Roman" w:hAnsi="Avenir Roman" w:cstheme="minorHAnsi"/>
          <w:i/>
          <w:sz w:val="16"/>
          <w:szCs w:val="16"/>
          <w:lang w:val="en-AU"/>
        </w:rPr>
        <w:t>Position Paper: Disability Inclusive National Preventive Mechanism (NPM)</w:t>
      </w:r>
      <w:r w:rsidRPr="000C6712">
        <w:rPr>
          <w:rFonts w:ascii="Avenir Roman" w:hAnsi="Avenir Roman" w:cstheme="minorHAnsi"/>
          <w:sz w:val="16"/>
          <w:szCs w:val="16"/>
          <w:lang w:val="en-AU"/>
        </w:rPr>
        <w:t xml:space="preserve">, ibid; The Australian OPCAT Network, </w:t>
      </w:r>
      <w:r w:rsidRPr="000C6712">
        <w:rPr>
          <w:rFonts w:ascii="Avenir Roman" w:hAnsi="Avenir Roman" w:cstheme="minorHAnsi"/>
          <w:i/>
          <w:sz w:val="16"/>
          <w:szCs w:val="16"/>
          <w:lang w:val="en-AU"/>
        </w:rPr>
        <w:t>The implementation of OPCAT in Australia</w:t>
      </w:r>
      <w:r w:rsidRPr="000C6712">
        <w:rPr>
          <w:rFonts w:ascii="Avenir Roman" w:hAnsi="Avenir Roman" w:cstheme="minorHAnsi"/>
          <w:sz w:val="16"/>
          <w:szCs w:val="16"/>
          <w:lang w:val="en-AU"/>
        </w:rPr>
        <w:t xml:space="preserve">, ibid. </w:t>
      </w:r>
    </w:p>
  </w:footnote>
  <w:footnote w:id="171">
    <w:p w14:paraId="08F86826" w14:textId="77777777" w:rsidR="00D1282E" w:rsidRPr="000C6712" w:rsidRDefault="00D1282E" w:rsidP="000C6712">
      <w:pPr>
        <w:pStyle w:val="FootnoteText"/>
        <w:spacing w:after="0" w:line="240" w:lineRule="auto"/>
        <w:jc w:val="left"/>
        <w:rPr>
          <w:rFonts w:ascii="Avenir Roman" w:hAnsi="Avenir Roman"/>
          <w:bCs/>
          <w:sz w:val="16"/>
          <w:szCs w:val="16"/>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sz w:val="16"/>
          <w:szCs w:val="16"/>
          <w:lang w:val="en-AU"/>
        </w:rPr>
        <w:t>Commonwealth Ombudsman, ‘</w:t>
      </w:r>
      <w:r w:rsidRPr="000C6712">
        <w:rPr>
          <w:rFonts w:ascii="Avenir Roman" w:hAnsi="Avenir Roman"/>
          <w:bCs/>
          <w:sz w:val="16"/>
          <w:szCs w:val="16"/>
        </w:rPr>
        <w:t xml:space="preserve">The Optional Protocol to the Convention against Torture and Other Cruel, Inhuman or Degrading Treatment or Punishment (OPCAT)’ (website information). Available at: </w:t>
      </w:r>
      <w:hyperlink r:id="rId81" w:history="1">
        <w:r w:rsidRPr="000C6712">
          <w:rPr>
            <w:rStyle w:val="Hyperlink"/>
            <w:rFonts w:ascii="Avenir Roman" w:hAnsi="Avenir Roman"/>
            <w:bCs/>
            <w:sz w:val="16"/>
            <w:szCs w:val="16"/>
          </w:rPr>
          <w:t>https://www.ombudsman.gov.au/what-we-do/monitoring-places-of-detention-opcat</w:t>
        </w:r>
      </w:hyperlink>
      <w:r w:rsidRPr="000C6712">
        <w:rPr>
          <w:rFonts w:ascii="Avenir Roman" w:hAnsi="Avenir Roman"/>
          <w:bCs/>
          <w:sz w:val="16"/>
          <w:szCs w:val="16"/>
        </w:rPr>
        <w:t xml:space="preserve"> </w:t>
      </w:r>
    </w:p>
  </w:footnote>
  <w:footnote w:id="172">
    <w:p w14:paraId="3CC041BD" w14:textId="77777777" w:rsidR="00D1282E" w:rsidRPr="000C04C8" w:rsidRDefault="00D1282E" w:rsidP="000C6712">
      <w:pPr>
        <w:pStyle w:val="FootnoteText"/>
        <w:spacing w:after="0" w:line="240" w:lineRule="auto"/>
        <w:jc w:val="left"/>
        <w:rPr>
          <w:rFonts w:ascii="Avenir Book" w:hAnsi="Avenir Book" w:cstheme="minorHAnsi"/>
          <w:sz w:val="16"/>
          <w:szCs w:val="16"/>
          <w:lang w:val="en-AU"/>
        </w:rPr>
      </w:pPr>
      <w:r w:rsidRPr="000C6712">
        <w:rPr>
          <w:rStyle w:val="FootnoteReference"/>
          <w:rFonts w:ascii="Avenir Roman" w:hAnsi="Avenir Roman"/>
          <w:sz w:val="16"/>
          <w:szCs w:val="16"/>
        </w:rPr>
        <w:footnoteRef/>
      </w:r>
      <w:r w:rsidRPr="000C6712">
        <w:rPr>
          <w:rFonts w:ascii="Avenir Roman" w:hAnsi="Avenir Roman"/>
          <w:sz w:val="16"/>
          <w:szCs w:val="16"/>
        </w:rPr>
        <w:t xml:space="preserve"> </w:t>
      </w:r>
      <w:r w:rsidRPr="000C6712">
        <w:rPr>
          <w:rFonts w:ascii="Avenir Roman" w:hAnsi="Avenir Roman" w:cstheme="minorHAnsi"/>
          <w:sz w:val="16"/>
          <w:szCs w:val="16"/>
          <w:lang w:val="en-AU"/>
        </w:rPr>
        <w:t>The Australian OPCAT Network, op, cit., pages 78-96.</w:t>
      </w:r>
    </w:p>
  </w:footnote>
  <w:footnote w:id="173">
    <w:p w14:paraId="2D2D4866" w14:textId="3884C44C" w:rsidR="00D1282E" w:rsidRPr="00A86322" w:rsidRDefault="00D1282E" w:rsidP="00A86322">
      <w:pPr>
        <w:pStyle w:val="FootnoteText"/>
        <w:spacing w:after="0" w:line="240" w:lineRule="auto"/>
        <w:jc w:val="left"/>
        <w:rPr>
          <w:rFonts w:ascii="Avenir Roman" w:hAnsi="Avenir Roman"/>
          <w:sz w:val="16"/>
          <w:szCs w:val="16"/>
        </w:rPr>
      </w:pPr>
      <w:r w:rsidRPr="00A86322">
        <w:rPr>
          <w:rStyle w:val="FootnoteReference"/>
          <w:rFonts w:ascii="Avenir Roman" w:hAnsi="Avenir Roman"/>
          <w:sz w:val="16"/>
          <w:szCs w:val="16"/>
        </w:rPr>
        <w:footnoteRef/>
      </w:r>
      <w:r w:rsidRPr="00A86322">
        <w:rPr>
          <w:rFonts w:ascii="Avenir Roman" w:hAnsi="Avenir Roman"/>
          <w:sz w:val="16"/>
          <w:szCs w:val="16"/>
        </w:rPr>
        <w:t xml:space="preserve"> See e.g., </w:t>
      </w:r>
      <w:r w:rsidRPr="00A86322">
        <w:rPr>
          <w:rFonts w:ascii="Avenir Roman" w:hAnsi="Avenir Roman" w:cs="Calibri"/>
          <w:color w:val="000000" w:themeColor="text1"/>
          <w:sz w:val="16"/>
          <w:szCs w:val="16"/>
          <w:lang w:val="en-AU"/>
        </w:rPr>
        <w:t xml:space="preserve">Women with Disabilities Australia (2013) </w:t>
      </w:r>
      <w:r w:rsidRPr="00A86322">
        <w:rPr>
          <w:rFonts w:ascii="Avenir Roman" w:hAnsi="Avenir Roman" w:cs="Calibri"/>
          <w:i/>
          <w:color w:val="000000" w:themeColor="text1"/>
          <w:sz w:val="16"/>
          <w:szCs w:val="16"/>
          <w:lang w:val="en-AU"/>
        </w:rPr>
        <w:t>Stop the Violence Project, Report of the Proceedings and Outcomes, National Symposium on Violence Against Women and Girls with Disabilities</w:t>
      </w:r>
      <w:r w:rsidRPr="00A86322">
        <w:rPr>
          <w:rFonts w:ascii="Avenir Roman" w:hAnsi="Avenir Roman" w:cs="Calibri"/>
          <w:color w:val="000000" w:themeColor="text1"/>
          <w:sz w:val="16"/>
          <w:szCs w:val="16"/>
          <w:lang w:val="en-AU"/>
        </w:rPr>
        <w:t xml:space="preserve">, Hobart: WWDA. Available at: </w:t>
      </w:r>
      <w:hyperlink r:id="rId82" w:history="1">
        <w:r w:rsidRPr="00A86322">
          <w:rPr>
            <w:rStyle w:val="Hyperlink"/>
            <w:rFonts w:ascii="Avenir Roman" w:hAnsi="Avenir Roman" w:cs="Calibri"/>
            <w:sz w:val="16"/>
            <w:szCs w:val="16"/>
            <w:lang w:val="en-AU"/>
          </w:rPr>
          <w:t>http://wwda.org.au/wp-content/uploads/2013/12/STV_Outcomes_Paper.pdf</w:t>
        </w:r>
      </w:hyperlink>
      <w:r w:rsidRPr="00A86322">
        <w:rPr>
          <w:rFonts w:ascii="Avenir Roman" w:hAnsi="Avenir Roman" w:cs="Calibri"/>
          <w:color w:val="000000" w:themeColor="text1"/>
          <w:sz w:val="16"/>
          <w:szCs w:val="16"/>
          <w:lang w:val="en-AU"/>
        </w:rPr>
        <w:t xml:space="preserve">; </w:t>
      </w:r>
      <w:r w:rsidRPr="00A86322">
        <w:rPr>
          <w:rFonts w:ascii="Avenir Roman" w:hAnsi="Avenir Roman"/>
          <w:sz w:val="16"/>
          <w:szCs w:val="16"/>
          <w:lang w:val="en-AU"/>
        </w:rPr>
        <w:t xml:space="preserve">Frawley, P; Dyson, S; Robinson, S, </w:t>
      </w:r>
      <w:r w:rsidRPr="00A86322">
        <w:rPr>
          <w:rFonts w:ascii="Avenir Roman" w:hAnsi="Avenir Roman"/>
          <w:i/>
          <w:sz w:val="16"/>
          <w:szCs w:val="16"/>
          <w:lang w:val="en-AU"/>
        </w:rPr>
        <w:t>Whatever it takes? Access for women with disabilities to domestic and family violence services: Key findings and future directions</w:t>
      </w:r>
      <w:r w:rsidRPr="00A86322">
        <w:rPr>
          <w:rFonts w:ascii="Avenir Roman" w:hAnsi="Avenir Roman"/>
          <w:sz w:val="16"/>
          <w:szCs w:val="16"/>
          <w:lang w:val="en-AU"/>
        </w:rPr>
        <w:t xml:space="preserve">, Compass Issue 5, 2017, ANROWS. Available at: </w:t>
      </w:r>
      <w:hyperlink r:id="rId83" w:history="1">
        <w:r w:rsidRPr="00A86322">
          <w:rPr>
            <w:rStyle w:val="Hyperlink"/>
            <w:rFonts w:ascii="Avenir Roman" w:hAnsi="Avenir Roman"/>
            <w:sz w:val="16"/>
            <w:szCs w:val="16"/>
            <w:lang w:val="en-AU"/>
          </w:rPr>
          <w:t>https://www.anrows.org.au/publication/whatever-it-takes-access-for-women-with-disabilities-to-domestic-and-family-violence-services-key-findings-and-future-directions/</w:t>
        </w:r>
      </w:hyperlink>
      <w:r w:rsidRPr="00A86322">
        <w:rPr>
          <w:rStyle w:val="Hyperlink"/>
          <w:rFonts w:ascii="Avenir Roman" w:hAnsi="Avenir Roman"/>
          <w:sz w:val="16"/>
          <w:szCs w:val="16"/>
          <w:lang w:val="en-AU"/>
        </w:rPr>
        <w:t>;</w:t>
      </w:r>
      <w:r w:rsidRPr="00A86322">
        <w:rPr>
          <w:rFonts w:ascii="Avenir Roman" w:hAnsi="Avenir Roman"/>
          <w:sz w:val="16"/>
          <w:szCs w:val="16"/>
          <w:lang w:val="en-AU"/>
        </w:rPr>
        <w:t xml:space="preserve"> </w:t>
      </w:r>
      <w:r w:rsidRPr="00A86322">
        <w:rPr>
          <w:rFonts w:ascii="Avenir Roman" w:hAnsi="Avenir Roman" w:cs="Calibri"/>
          <w:color w:val="000000" w:themeColor="text1"/>
          <w:sz w:val="16"/>
          <w:szCs w:val="16"/>
          <w:lang w:val="en-AU"/>
        </w:rPr>
        <w:t xml:space="preserve">Maher, J. M., Spivakovsky, C., McCulloch, J., McGowan, J., Beavis, K., Lea, M., Cadwallader, J., Sands, T. (2018) </w:t>
      </w:r>
      <w:r w:rsidRPr="00A86322">
        <w:rPr>
          <w:rFonts w:ascii="Avenir Roman" w:hAnsi="Avenir Roman" w:cs="Calibri"/>
          <w:i/>
          <w:color w:val="000000" w:themeColor="text1"/>
          <w:sz w:val="16"/>
          <w:szCs w:val="16"/>
          <w:lang w:val="en-AU"/>
        </w:rPr>
        <w:t>Women, disability and violence: Barriers to accessing justice: Final report</w:t>
      </w:r>
      <w:r w:rsidRPr="00A86322">
        <w:rPr>
          <w:rFonts w:ascii="Avenir Roman" w:hAnsi="Avenir Roman" w:cs="Calibri"/>
          <w:color w:val="000000" w:themeColor="text1"/>
          <w:sz w:val="16"/>
          <w:szCs w:val="16"/>
          <w:lang w:val="en-AU"/>
        </w:rPr>
        <w:t xml:space="preserve"> (ANROWS Horizons, 02/2018). Sydney: ANROWS. Available at: </w:t>
      </w:r>
      <w:hyperlink r:id="rId84" w:history="1">
        <w:r w:rsidRPr="00A86322">
          <w:rPr>
            <w:rStyle w:val="Hyperlink"/>
            <w:rFonts w:ascii="Avenir Roman" w:hAnsi="Avenir Roman" w:cs="Calibri"/>
            <w:sz w:val="16"/>
            <w:szCs w:val="16"/>
            <w:lang w:val="en-AU"/>
          </w:rPr>
          <w:t>https://www.anrows.org.au/publications/horizons/women-disability-and-violence-barriers-accessing-justice-final-report</w:t>
        </w:r>
      </w:hyperlink>
      <w:r w:rsidRPr="00A86322">
        <w:rPr>
          <w:rFonts w:ascii="Avenir Roman" w:hAnsi="Avenir Roman" w:cs="Calibri"/>
          <w:color w:val="000000" w:themeColor="text1"/>
          <w:sz w:val="16"/>
          <w:szCs w:val="16"/>
          <w:lang w:val="en-AU"/>
        </w:rPr>
        <w:t xml:space="preserve">. </w:t>
      </w:r>
    </w:p>
  </w:footnote>
  <w:footnote w:id="174">
    <w:p w14:paraId="00BBA96B" w14:textId="43239626" w:rsidR="00D1282E" w:rsidRPr="00A86322" w:rsidRDefault="00D1282E" w:rsidP="00A86322">
      <w:pPr>
        <w:pStyle w:val="FootnoteText"/>
        <w:spacing w:after="0" w:line="240" w:lineRule="auto"/>
        <w:jc w:val="left"/>
        <w:rPr>
          <w:rFonts w:ascii="Avenir Roman" w:hAnsi="Avenir Roman"/>
          <w:sz w:val="16"/>
          <w:szCs w:val="16"/>
          <w:lang w:val="en-AU"/>
        </w:rPr>
      </w:pPr>
      <w:r w:rsidRPr="00A86322">
        <w:rPr>
          <w:rStyle w:val="FootnoteReference"/>
          <w:rFonts w:ascii="Avenir Roman" w:hAnsi="Avenir Roman"/>
          <w:sz w:val="16"/>
          <w:szCs w:val="16"/>
        </w:rPr>
        <w:footnoteRef/>
      </w:r>
      <w:r w:rsidRPr="00A86322">
        <w:rPr>
          <w:rFonts w:ascii="Avenir Roman" w:hAnsi="Avenir Roman"/>
          <w:sz w:val="16"/>
          <w:szCs w:val="16"/>
        </w:rPr>
        <w:t xml:space="preserve"> </w:t>
      </w:r>
      <w:r w:rsidRPr="00A86322">
        <w:rPr>
          <w:rFonts w:ascii="Avenir Roman" w:hAnsi="Avenir Roman"/>
          <w:sz w:val="16"/>
          <w:szCs w:val="16"/>
          <w:lang w:val="en-AU"/>
        </w:rPr>
        <w:t>Disabled People’s Organisations Australia and the National Women’s Alliances, op. cit., p. 25.</w:t>
      </w:r>
    </w:p>
  </w:footnote>
  <w:footnote w:id="175">
    <w:p w14:paraId="53A362E3" w14:textId="682BCEAA" w:rsidR="00D1282E" w:rsidRPr="00A86322" w:rsidRDefault="00D1282E" w:rsidP="00A86322">
      <w:pPr>
        <w:pStyle w:val="FootnoteText"/>
        <w:spacing w:after="0" w:line="240" w:lineRule="auto"/>
        <w:jc w:val="left"/>
        <w:rPr>
          <w:rFonts w:ascii="Avenir Roman" w:hAnsi="Avenir Roman"/>
          <w:sz w:val="16"/>
          <w:szCs w:val="16"/>
          <w:lang w:val="en-AU"/>
        </w:rPr>
      </w:pPr>
      <w:r w:rsidRPr="00A86322">
        <w:rPr>
          <w:rStyle w:val="FootnoteReference"/>
          <w:rFonts w:ascii="Avenir Roman" w:hAnsi="Avenir Roman"/>
          <w:sz w:val="16"/>
          <w:szCs w:val="16"/>
        </w:rPr>
        <w:footnoteRef/>
      </w:r>
      <w:r w:rsidRPr="00A86322">
        <w:rPr>
          <w:rFonts w:ascii="Avenir Roman" w:hAnsi="Avenir Roman"/>
          <w:sz w:val="16"/>
          <w:szCs w:val="16"/>
        </w:rPr>
        <w:t xml:space="preserve"> </w:t>
      </w:r>
      <w:r w:rsidRPr="00A86322">
        <w:rPr>
          <w:rFonts w:ascii="Avenir Roman" w:hAnsi="Avenir Roman"/>
          <w:sz w:val="16"/>
          <w:szCs w:val="16"/>
          <w:lang w:val="en-AU"/>
        </w:rPr>
        <w:t xml:space="preserve">Council of Australian Governments, </w:t>
      </w:r>
      <w:r w:rsidRPr="00A86322">
        <w:rPr>
          <w:rFonts w:ascii="Avenir Roman" w:hAnsi="Avenir Roman"/>
          <w:i/>
          <w:sz w:val="16"/>
          <w:szCs w:val="16"/>
        </w:rPr>
        <w:t>National Disability Strategy 2010-2020</w:t>
      </w:r>
      <w:r w:rsidRPr="00A86322">
        <w:rPr>
          <w:rFonts w:ascii="Avenir Roman" w:hAnsi="Avenir Roman"/>
          <w:sz w:val="16"/>
          <w:szCs w:val="16"/>
        </w:rPr>
        <w:t>, op. cit., p. 38.</w:t>
      </w:r>
    </w:p>
  </w:footnote>
  <w:footnote w:id="176">
    <w:p w14:paraId="20B86C2C" w14:textId="565A7758" w:rsidR="00D1282E" w:rsidRPr="005821C8" w:rsidRDefault="00D1282E" w:rsidP="00A86322">
      <w:pPr>
        <w:pStyle w:val="FootnoteText"/>
        <w:spacing w:after="0" w:line="240" w:lineRule="auto"/>
        <w:jc w:val="left"/>
        <w:rPr>
          <w:lang w:val="en-AU"/>
        </w:rPr>
      </w:pPr>
      <w:r w:rsidRPr="00A86322">
        <w:rPr>
          <w:rStyle w:val="FootnoteReference"/>
          <w:rFonts w:ascii="Avenir Roman" w:hAnsi="Avenir Roman"/>
          <w:sz w:val="16"/>
          <w:szCs w:val="16"/>
        </w:rPr>
        <w:footnoteRef/>
      </w:r>
      <w:r w:rsidRPr="00A86322">
        <w:rPr>
          <w:rFonts w:ascii="Avenir Roman" w:hAnsi="Avenir Roman"/>
          <w:sz w:val="16"/>
          <w:szCs w:val="16"/>
        </w:rPr>
        <w:t xml:space="preserve"> Community Affairs References Committee, </w:t>
      </w:r>
      <w:r w:rsidRPr="00A86322">
        <w:rPr>
          <w:rFonts w:ascii="Avenir Roman" w:hAnsi="Avenir Roman"/>
          <w:i/>
          <w:sz w:val="16"/>
          <w:szCs w:val="16"/>
        </w:rPr>
        <w:t xml:space="preserve">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 </w:t>
      </w:r>
      <w:r w:rsidRPr="00A86322">
        <w:rPr>
          <w:rFonts w:ascii="Avenir Roman" w:hAnsi="Avenir Roman"/>
          <w:sz w:val="16"/>
          <w:szCs w:val="16"/>
        </w:rPr>
        <w:t>op. cit., para 10.86, p. 281.</w:t>
      </w:r>
      <w:r>
        <w:rPr>
          <w:rFonts w:ascii="Avenir Roman" w:hAnsi="Avenir Roman"/>
          <w:sz w:val="16"/>
          <w:szCs w:val="16"/>
        </w:rPr>
        <w:t xml:space="preserve"> </w:t>
      </w:r>
    </w:p>
  </w:footnote>
  <w:footnote w:id="177">
    <w:p w14:paraId="75A9DC7B" w14:textId="77777777" w:rsidR="00D1282E" w:rsidRPr="004C198B" w:rsidRDefault="00D1282E" w:rsidP="00A86322">
      <w:pPr>
        <w:pStyle w:val="FootnoteText"/>
        <w:spacing w:after="0" w:line="240" w:lineRule="auto"/>
        <w:jc w:val="left"/>
        <w:rPr>
          <w:rFonts w:ascii="Avenir Roman" w:hAnsi="Avenir Roman"/>
          <w:sz w:val="16"/>
          <w:szCs w:val="16"/>
          <w:lang w:val="en-AU"/>
        </w:rPr>
      </w:pPr>
      <w:r w:rsidRPr="004C198B">
        <w:rPr>
          <w:rStyle w:val="FootnoteReference"/>
          <w:rFonts w:ascii="Avenir Roman" w:hAnsi="Avenir Roman"/>
          <w:sz w:val="16"/>
          <w:szCs w:val="16"/>
        </w:rPr>
        <w:footnoteRef/>
      </w:r>
      <w:r w:rsidRPr="004C198B">
        <w:rPr>
          <w:rFonts w:ascii="Avenir Roman" w:hAnsi="Avenir Roman"/>
          <w:sz w:val="16"/>
          <w:szCs w:val="16"/>
        </w:rPr>
        <w:t xml:space="preserve"> </w:t>
      </w:r>
      <w:r w:rsidRPr="004C198B">
        <w:rPr>
          <w:rFonts w:ascii="Avenir Roman" w:hAnsi="Avenir Roman"/>
          <w:sz w:val="16"/>
          <w:szCs w:val="16"/>
          <w:lang w:val="en-AU"/>
        </w:rPr>
        <w:t xml:space="preserve">National Disability Insurance Scheme, ‘Safeguards’ (website information). Available at: </w:t>
      </w:r>
      <w:hyperlink r:id="rId85" w:history="1">
        <w:r w:rsidRPr="004C198B">
          <w:rPr>
            <w:rStyle w:val="Hyperlink"/>
            <w:rFonts w:ascii="Avenir Roman" w:hAnsi="Avenir Roman"/>
            <w:sz w:val="16"/>
            <w:szCs w:val="16"/>
            <w:lang w:val="en-AU"/>
          </w:rPr>
          <w:t>https://www.ndis.gov.au/participants/working-providers/safeguards</w:t>
        </w:r>
      </w:hyperlink>
      <w:r w:rsidRPr="004C198B">
        <w:rPr>
          <w:rFonts w:ascii="Avenir Roman" w:hAnsi="Avenir Roman"/>
          <w:sz w:val="16"/>
          <w:szCs w:val="16"/>
          <w:lang w:val="en-AU"/>
        </w:rPr>
        <w:t xml:space="preserve">. </w:t>
      </w:r>
    </w:p>
  </w:footnote>
  <w:footnote w:id="178">
    <w:p w14:paraId="07147238" w14:textId="3792C83B" w:rsidR="00D1282E" w:rsidRPr="00945241" w:rsidRDefault="00D1282E" w:rsidP="00D25EB8">
      <w:pPr>
        <w:pStyle w:val="FootnoteText"/>
        <w:spacing w:after="0" w:line="240" w:lineRule="auto"/>
        <w:jc w:val="left"/>
        <w:rPr>
          <w:rFonts w:ascii="Avenir Roman" w:hAnsi="Avenir Roman"/>
          <w:sz w:val="16"/>
          <w:szCs w:val="16"/>
          <w:lang w:val="en-AU"/>
        </w:rPr>
      </w:pPr>
      <w:r w:rsidRPr="00945241">
        <w:rPr>
          <w:rStyle w:val="FootnoteReference"/>
          <w:rFonts w:ascii="Avenir Roman" w:hAnsi="Avenir Roman"/>
          <w:sz w:val="16"/>
          <w:szCs w:val="16"/>
        </w:rPr>
        <w:footnoteRef/>
      </w:r>
      <w:r w:rsidRPr="00945241">
        <w:rPr>
          <w:rFonts w:ascii="Avenir Roman" w:hAnsi="Avenir Roman"/>
          <w:sz w:val="16"/>
          <w:szCs w:val="16"/>
        </w:rPr>
        <w:t xml:space="preserve"> </w:t>
      </w:r>
      <w:r w:rsidRPr="00945241">
        <w:rPr>
          <w:rFonts w:ascii="Avenir Roman" w:hAnsi="Avenir Roman" w:cstheme="majorHAnsi"/>
          <w:sz w:val="16"/>
          <w:szCs w:val="16"/>
        </w:rPr>
        <w:t xml:space="preserve">Committee on the Rights of Persons with Disabilities (2019) </w:t>
      </w:r>
      <w:hyperlink r:id="rId86" w:history="1">
        <w:r w:rsidRPr="00945241">
          <w:rPr>
            <w:rStyle w:val="Hyperlink"/>
            <w:rFonts w:ascii="Avenir Roman" w:hAnsi="Avenir Roman" w:cstheme="majorHAnsi"/>
            <w:sz w:val="16"/>
            <w:szCs w:val="16"/>
          </w:rPr>
          <w:t>Concluding observations on the combined second and third periodic reports of Australia</w:t>
        </w:r>
      </w:hyperlink>
      <w:r w:rsidRPr="00945241">
        <w:rPr>
          <w:rFonts w:ascii="Avenir Roman" w:hAnsi="Avenir Roman" w:cstheme="majorHAnsi"/>
          <w:sz w:val="16"/>
          <w:szCs w:val="16"/>
        </w:rPr>
        <w:t>, adopted by the Committee at its 511</w:t>
      </w:r>
      <w:r w:rsidRPr="00945241">
        <w:rPr>
          <w:rFonts w:ascii="Avenir Roman" w:hAnsi="Avenir Roman" w:cstheme="majorHAnsi"/>
          <w:sz w:val="16"/>
          <w:szCs w:val="16"/>
          <w:vertAlign w:val="superscript"/>
        </w:rPr>
        <w:t>th</w:t>
      </w:r>
      <w:r w:rsidRPr="00945241">
        <w:rPr>
          <w:rFonts w:ascii="Avenir Roman" w:hAnsi="Avenir Roman" w:cstheme="majorHAnsi"/>
          <w:sz w:val="16"/>
          <w:szCs w:val="16"/>
        </w:rPr>
        <w:t xml:space="preserve"> meeting (20 September 2019) of the 22</w:t>
      </w:r>
      <w:r w:rsidRPr="00945241">
        <w:rPr>
          <w:rFonts w:ascii="Avenir Roman" w:hAnsi="Avenir Roman" w:cstheme="majorHAnsi"/>
          <w:sz w:val="16"/>
          <w:szCs w:val="16"/>
          <w:vertAlign w:val="superscript"/>
        </w:rPr>
        <w:t>nd</w:t>
      </w:r>
      <w:r w:rsidRPr="00945241">
        <w:rPr>
          <w:rFonts w:ascii="Avenir Roman" w:hAnsi="Avenir Roman" w:cstheme="majorHAnsi"/>
          <w:sz w:val="16"/>
          <w:szCs w:val="16"/>
        </w:rPr>
        <w:t xml:space="preserve"> session; UN Doc. CRPD/C/AUS/CO/2-3.</w:t>
      </w:r>
    </w:p>
  </w:footnote>
  <w:footnote w:id="179">
    <w:p w14:paraId="58745A84" w14:textId="2D109F73" w:rsidR="00D1282E" w:rsidRPr="00945241" w:rsidRDefault="00D1282E" w:rsidP="00D25EB8">
      <w:pPr>
        <w:pStyle w:val="EndnoteText"/>
        <w:spacing w:after="0" w:line="240" w:lineRule="auto"/>
        <w:jc w:val="left"/>
        <w:rPr>
          <w:rFonts w:ascii="Avenir Roman" w:hAnsi="Avenir Roman" w:cstheme="majorHAnsi"/>
          <w:sz w:val="16"/>
          <w:szCs w:val="16"/>
        </w:rPr>
      </w:pPr>
      <w:r w:rsidRPr="00945241">
        <w:rPr>
          <w:rStyle w:val="FootnoteReference"/>
          <w:rFonts w:ascii="Avenir Roman" w:hAnsi="Avenir Roman"/>
          <w:sz w:val="16"/>
          <w:szCs w:val="16"/>
        </w:rPr>
        <w:footnoteRef/>
      </w:r>
      <w:r w:rsidRPr="00945241">
        <w:rPr>
          <w:rFonts w:ascii="Avenir Roman" w:hAnsi="Avenir Roman"/>
          <w:sz w:val="16"/>
          <w:szCs w:val="16"/>
        </w:rPr>
        <w:t xml:space="preserve"> </w:t>
      </w:r>
      <w:hyperlink r:id="rId87" w:history="1">
        <w:r w:rsidRPr="00945241">
          <w:rPr>
            <w:rStyle w:val="Hyperlink"/>
            <w:rFonts w:ascii="Avenir Roman" w:hAnsi="Avenir Roman" w:cstheme="majorHAnsi"/>
            <w:sz w:val="16"/>
            <w:szCs w:val="16"/>
          </w:rPr>
          <w:t>Combined second and third periodic reports submitted by Australia under article 35 of the Convention</w:t>
        </w:r>
      </w:hyperlink>
      <w:r w:rsidRPr="00945241">
        <w:rPr>
          <w:rFonts w:ascii="Avenir Roman" w:hAnsi="Avenir Roman" w:cstheme="majorHAnsi"/>
          <w:sz w:val="16"/>
          <w:szCs w:val="16"/>
        </w:rPr>
        <w:t xml:space="preserve"> (CRPD). Date of submission 7 September 2018. UN Doc. CRPD/C/AUS/2-3.</w:t>
      </w:r>
    </w:p>
  </w:footnote>
  <w:footnote w:id="180">
    <w:p w14:paraId="54D751A2" w14:textId="3985FE73" w:rsidR="00D1282E" w:rsidRPr="00490D6D" w:rsidRDefault="00D1282E" w:rsidP="00D25EB8">
      <w:pPr>
        <w:pStyle w:val="FootnoteText"/>
        <w:spacing w:after="0" w:line="240" w:lineRule="auto"/>
        <w:jc w:val="left"/>
        <w:rPr>
          <w:rFonts w:ascii="Avenir Roman" w:hAnsi="Avenir Roman"/>
          <w:sz w:val="16"/>
          <w:szCs w:val="16"/>
          <w:lang w:val="en-AU"/>
        </w:rPr>
      </w:pPr>
      <w:r w:rsidRPr="00490D6D">
        <w:rPr>
          <w:rStyle w:val="FootnoteReference"/>
          <w:rFonts w:ascii="Avenir Roman" w:hAnsi="Avenir Roman"/>
          <w:sz w:val="16"/>
          <w:szCs w:val="16"/>
        </w:rPr>
        <w:footnoteRef/>
      </w:r>
      <w:r w:rsidRPr="00490D6D">
        <w:rPr>
          <w:rFonts w:ascii="Avenir Roman" w:hAnsi="Avenir Roman"/>
          <w:sz w:val="16"/>
          <w:szCs w:val="16"/>
        </w:rPr>
        <w:t xml:space="preserve"> </w:t>
      </w:r>
      <w:r w:rsidRPr="00490D6D">
        <w:rPr>
          <w:rFonts w:ascii="Avenir Roman" w:hAnsi="Avenir Roman" w:cs="Calibri Light"/>
          <w:sz w:val="16"/>
          <w:szCs w:val="16"/>
        </w:rPr>
        <w:t xml:space="preserve">Committee on the Elimination of Discrimination against Women, Consideration of reports submitted by States parties under article 18 of the Convention, </w:t>
      </w:r>
      <w:hyperlink r:id="rId88" w:history="1">
        <w:r w:rsidRPr="00490D6D">
          <w:rPr>
            <w:rStyle w:val="Hyperlink"/>
            <w:rFonts w:ascii="Avenir Roman" w:hAnsi="Avenir Roman" w:cs="Calibri Light"/>
            <w:sz w:val="16"/>
            <w:szCs w:val="16"/>
          </w:rPr>
          <w:t>Eighth periodic report of Australia</w:t>
        </w:r>
      </w:hyperlink>
      <w:r w:rsidRPr="00490D6D">
        <w:rPr>
          <w:rFonts w:ascii="Avenir Roman" w:hAnsi="Avenir Roman" w:cs="Calibri Light"/>
          <w:sz w:val="16"/>
          <w:szCs w:val="16"/>
        </w:rPr>
        <w:t>; 20 December 2016. UN Doc. CEDAW/C/AUS/8.</w:t>
      </w:r>
    </w:p>
  </w:footnote>
  <w:footnote w:id="181">
    <w:p w14:paraId="46CB9462" w14:textId="12439D7C" w:rsidR="00D1282E" w:rsidRPr="00490D6D" w:rsidRDefault="00D1282E" w:rsidP="00D25EB8">
      <w:pPr>
        <w:pStyle w:val="FootnoteText"/>
        <w:spacing w:after="0" w:line="240" w:lineRule="auto"/>
        <w:jc w:val="left"/>
        <w:rPr>
          <w:rFonts w:ascii="Avenir Roman" w:hAnsi="Avenir Roman"/>
          <w:sz w:val="16"/>
          <w:szCs w:val="16"/>
          <w:lang w:val="en-AU"/>
        </w:rPr>
      </w:pPr>
      <w:r w:rsidRPr="00490D6D">
        <w:rPr>
          <w:rStyle w:val="FootnoteReference"/>
          <w:rFonts w:ascii="Avenir Roman" w:hAnsi="Avenir Roman"/>
          <w:sz w:val="16"/>
          <w:szCs w:val="16"/>
        </w:rPr>
        <w:footnoteRef/>
      </w:r>
      <w:r w:rsidRPr="00490D6D">
        <w:rPr>
          <w:rFonts w:ascii="Avenir Roman" w:hAnsi="Avenir Roman"/>
          <w:sz w:val="16"/>
          <w:szCs w:val="16"/>
        </w:rPr>
        <w:t xml:space="preserve"> </w:t>
      </w:r>
      <w:r w:rsidRPr="00490D6D">
        <w:rPr>
          <w:rFonts w:ascii="Avenir Roman" w:hAnsi="Avenir Roman" w:cs="Calibri Light"/>
          <w:sz w:val="16"/>
          <w:szCs w:val="16"/>
        </w:rPr>
        <w:t xml:space="preserve">Committee on the Elimination of Discrimination against Women </w:t>
      </w:r>
      <w:hyperlink r:id="rId89" w:history="1">
        <w:r w:rsidRPr="00490D6D">
          <w:rPr>
            <w:rStyle w:val="Hyperlink"/>
            <w:rFonts w:ascii="Avenir Roman" w:hAnsi="Avenir Roman" w:cs="Calibri Light"/>
            <w:sz w:val="16"/>
            <w:szCs w:val="16"/>
          </w:rPr>
          <w:t>Concluding observations on the eighth periodic report of Australia</w:t>
        </w:r>
      </w:hyperlink>
      <w:r w:rsidRPr="00490D6D">
        <w:rPr>
          <w:rFonts w:ascii="Avenir Roman" w:hAnsi="Avenir Roman" w:cs="Calibri Light"/>
          <w:sz w:val="16"/>
          <w:szCs w:val="16"/>
        </w:rPr>
        <w:t>, 25 July 2018, UN Doc. CEDAW/C/AUS/CO/8.</w:t>
      </w:r>
    </w:p>
  </w:footnote>
  <w:footnote w:id="182">
    <w:p w14:paraId="2758A5B2" w14:textId="616CAF9C" w:rsidR="00D1282E" w:rsidRPr="00490D6D" w:rsidRDefault="00D1282E" w:rsidP="00D25EB8">
      <w:pPr>
        <w:pStyle w:val="FootnoteText"/>
        <w:spacing w:after="0" w:line="240" w:lineRule="auto"/>
        <w:jc w:val="left"/>
        <w:rPr>
          <w:rFonts w:ascii="Avenir Roman" w:hAnsi="Avenir Roman"/>
          <w:sz w:val="16"/>
          <w:szCs w:val="16"/>
          <w:lang w:val="en-AU"/>
        </w:rPr>
      </w:pPr>
      <w:r w:rsidRPr="00490D6D">
        <w:rPr>
          <w:rStyle w:val="FootnoteReference"/>
          <w:rFonts w:ascii="Avenir Roman" w:hAnsi="Avenir Roman"/>
          <w:sz w:val="16"/>
          <w:szCs w:val="16"/>
        </w:rPr>
        <w:footnoteRef/>
      </w:r>
      <w:r w:rsidRPr="00490D6D">
        <w:rPr>
          <w:rFonts w:ascii="Avenir Roman" w:hAnsi="Avenir Roman"/>
          <w:sz w:val="16"/>
          <w:szCs w:val="16"/>
        </w:rPr>
        <w:t xml:space="preserve"> </w:t>
      </w:r>
      <w:r w:rsidRPr="00490D6D">
        <w:rPr>
          <w:rFonts w:ascii="Avenir Roman" w:hAnsi="Avenir Roman" w:cs="Calibri Light"/>
          <w:sz w:val="16"/>
          <w:szCs w:val="16"/>
        </w:rPr>
        <w:t xml:space="preserve">Committee on the Rights of the Child, Consideration of reports submitted by States parties under article 44 of the Convention, </w:t>
      </w:r>
      <w:hyperlink r:id="rId90" w:history="1">
        <w:r w:rsidRPr="00490D6D">
          <w:rPr>
            <w:rStyle w:val="Hyperlink"/>
            <w:rFonts w:ascii="Avenir Roman" w:hAnsi="Avenir Roman" w:cs="Calibri Light"/>
            <w:sz w:val="16"/>
            <w:szCs w:val="16"/>
          </w:rPr>
          <w:t>Concluding observations: Australia</w:t>
        </w:r>
      </w:hyperlink>
      <w:r w:rsidRPr="00490D6D">
        <w:rPr>
          <w:rFonts w:ascii="Avenir Roman" w:hAnsi="Avenir Roman" w:cs="Calibri Light"/>
          <w:sz w:val="16"/>
          <w:szCs w:val="16"/>
        </w:rPr>
        <w:t>, 1 November 2019, UN Doc. CRC/C/AUS/CO/5-6.</w:t>
      </w:r>
    </w:p>
  </w:footnote>
  <w:footnote w:id="183">
    <w:p w14:paraId="14767D64" w14:textId="038A1C91" w:rsidR="00D1282E" w:rsidRPr="00490D6D" w:rsidRDefault="00D1282E" w:rsidP="00D25EB8">
      <w:pPr>
        <w:pStyle w:val="FootnoteText"/>
        <w:spacing w:after="0" w:line="240" w:lineRule="auto"/>
        <w:jc w:val="left"/>
        <w:rPr>
          <w:rFonts w:ascii="Avenir Roman" w:hAnsi="Avenir Roman"/>
          <w:sz w:val="16"/>
          <w:szCs w:val="16"/>
          <w:lang w:val="en-AU"/>
        </w:rPr>
      </w:pPr>
      <w:r w:rsidRPr="00490D6D">
        <w:rPr>
          <w:rStyle w:val="FootnoteReference"/>
          <w:rFonts w:ascii="Avenir Roman" w:hAnsi="Avenir Roman"/>
          <w:sz w:val="16"/>
          <w:szCs w:val="16"/>
        </w:rPr>
        <w:footnoteRef/>
      </w:r>
      <w:r w:rsidRPr="00490D6D">
        <w:rPr>
          <w:rFonts w:ascii="Avenir Roman" w:hAnsi="Avenir Roman"/>
          <w:sz w:val="16"/>
          <w:szCs w:val="16"/>
        </w:rPr>
        <w:t xml:space="preserve"> </w:t>
      </w:r>
      <w:r w:rsidRPr="00490D6D">
        <w:rPr>
          <w:rFonts w:ascii="Avenir Roman" w:hAnsi="Avenir Roman" w:cs="Calibri Light"/>
          <w:sz w:val="16"/>
          <w:szCs w:val="16"/>
        </w:rPr>
        <w:t xml:space="preserve">Committee on Economic, Social and Cultural Rights (2017) </w:t>
      </w:r>
      <w:hyperlink r:id="rId91" w:history="1">
        <w:r w:rsidRPr="00490D6D">
          <w:rPr>
            <w:rStyle w:val="Hyperlink"/>
            <w:rFonts w:ascii="Avenir Roman" w:hAnsi="Avenir Roman" w:cs="Calibri Light"/>
            <w:sz w:val="16"/>
            <w:szCs w:val="16"/>
          </w:rPr>
          <w:t>Concluding observations on the fifth periodic report of Australia</w:t>
        </w:r>
      </w:hyperlink>
      <w:r w:rsidRPr="00490D6D">
        <w:rPr>
          <w:rFonts w:ascii="Avenir Roman" w:hAnsi="Avenir Roman" w:cs="Calibri Light"/>
          <w:sz w:val="16"/>
          <w:szCs w:val="16"/>
        </w:rPr>
        <w:t>; 11 July 2017; UN Doc. E/C.12/AUS/CO/5.</w:t>
      </w:r>
    </w:p>
  </w:footnote>
  <w:footnote w:id="184">
    <w:p w14:paraId="4E50A980" w14:textId="02A7A82A" w:rsidR="00D1282E" w:rsidRPr="00490D6D" w:rsidRDefault="00D1282E" w:rsidP="00D25EB8">
      <w:pPr>
        <w:pStyle w:val="FootnoteText"/>
        <w:spacing w:after="0" w:line="240" w:lineRule="auto"/>
        <w:jc w:val="left"/>
        <w:rPr>
          <w:rFonts w:ascii="Avenir Roman" w:hAnsi="Avenir Roman"/>
          <w:sz w:val="16"/>
          <w:szCs w:val="16"/>
          <w:lang w:val="en-AU"/>
        </w:rPr>
      </w:pPr>
      <w:r w:rsidRPr="00490D6D">
        <w:rPr>
          <w:rStyle w:val="FootnoteReference"/>
          <w:rFonts w:ascii="Avenir Roman" w:hAnsi="Avenir Roman"/>
          <w:sz w:val="16"/>
          <w:szCs w:val="16"/>
        </w:rPr>
        <w:footnoteRef/>
      </w:r>
      <w:r w:rsidRPr="00490D6D">
        <w:rPr>
          <w:rFonts w:ascii="Avenir Roman" w:hAnsi="Avenir Roman"/>
          <w:sz w:val="16"/>
          <w:szCs w:val="16"/>
        </w:rPr>
        <w:t xml:space="preserve"> </w:t>
      </w:r>
      <w:hyperlink r:id="rId92" w:history="1">
        <w:r w:rsidRPr="00490D6D">
          <w:rPr>
            <w:rStyle w:val="Hyperlink"/>
            <w:rFonts w:ascii="Avenir Roman" w:hAnsi="Avenir Roman" w:cs="Calibri Light"/>
            <w:sz w:val="16"/>
            <w:szCs w:val="16"/>
          </w:rPr>
          <w:t>Australia’s Fifth Report Under the International Covenant On Economic, Social and Cultural Rights</w:t>
        </w:r>
      </w:hyperlink>
      <w:r w:rsidRPr="00490D6D">
        <w:rPr>
          <w:rFonts w:ascii="Avenir Roman" w:hAnsi="Avenir Roman" w:cs="Calibri Light"/>
          <w:sz w:val="16"/>
          <w:szCs w:val="16"/>
        </w:rPr>
        <w:t xml:space="preserve"> (ICESCR) 2010-2014. Date of submission 1 February 2016. UN Doc. E/C.12/AUS/5.</w:t>
      </w:r>
    </w:p>
  </w:footnote>
  <w:footnote w:id="185">
    <w:p w14:paraId="4E0F56E6" w14:textId="6E6ECB5F" w:rsidR="00D1282E" w:rsidRPr="00D1282E" w:rsidRDefault="00D1282E" w:rsidP="00D25EB8">
      <w:pPr>
        <w:pStyle w:val="FootnoteText"/>
        <w:spacing w:after="0" w:line="240" w:lineRule="auto"/>
        <w:jc w:val="left"/>
        <w:rPr>
          <w:rFonts w:ascii="Avenir Roman" w:hAnsi="Avenir Roman"/>
          <w:sz w:val="16"/>
          <w:szCs w:val="16"/>
          <w:lang w:val="en-AU"/>
        </w:rPr>
      </w:pPr>
      <w:r w:rsidRPr="00D1282E">
        <w:rPr>
          <w:rStyle w:val="FootnoteReference"/>
          <w:rFonts w:ascii="Avenir Roman" w:hAnsi="Avenir Roman"/>
          <w:sz w:val="16"/>
          <w:szCs w:val="16"/>
        </w:rPr>
        <w:footnoteRef/>
      </w:r>
      <w:r w:rsidRPr="00D1282E">
        <w:rPr>
          <w:rFonts w:ascii="Avenir Roman" w:hAnsi="Avenir Roman"/>
          <w:sz w:val="16"/>
          <w:szCs w:val="16"/>
        </w:rPr>
        <w:t xml:space="preserve"> </w:t>
      </w:r>
      <w:r w:rsidRPr="00D1282E">
        <w:rPr>
          <w:rFonts w:ascii="Avenir Roman" w:hAnsi="Avenir Roman" w:cs="Calibri Light"/>
          <w:sz w:val="16"/>
          <w:szCs w:val="16"/>
        </w:rPr>
        <w:t xml:space="preserve">Committee on the Elimination of Racial Discrimination, </w:t>
      </w:r>
      <w:hyperlink r:id="rId93" w:history="1">
        <w:r w:rsidRPr="00D1282E">
          <w:rPr>
            <w:rStyle w:val="Hyperlink"/>
            <w:rFonts w:ascii="Avenir Roman" w:hAnsi="Avenir Roman" w:cs="Calibri Light"/>
            <w:sz w:val="16"/>
            <w:szCs w:val="16"/>
          </w:rPr>
          <w:t>Concluding observations on the eighteenth to twentieth periodic reports of Australia</w:t>
        </w:r>
      </w:hyperlink>
      <w:r w:rsidRPr="00D1282E">
        <w:rPr>
          <w:rFonts w:ascii="Avenir Roman" w:hAnsi="Avenir Roman" w:cs="Calibri Light"/>
          <w:sz w:val="16"/>
          <w:szCs w:val="16"/>
        </w:rPr>
        <w:t>, 26 December 2017, UN Doc. CERD/C/AUS/CO/18-20.</w:t>
      </w:r>
    </w:p>
  </w:footnote>
  <w:footnote w:id="186">
    <w:p w14:paraId="1861D014" w14:textId="104338F6" w:rsidR="00D1282E" w:rsidRPr="00D1282E" w:rsidRDefault="00D1282E" w:rsidP="00D25EB8">
      <w:pPr>
        <w:pStyle w:val="FootnoteText"/>
        <w:spacing w:after="0" w:line="240" w:lineRule="auto"/>
        <w:jc w:val="left"/>
        <w:rPr>
          <w:rFonts w:ascii="Avenir Roman" w:hAnsi="Avenir Roman"/>
          <w:sz w:val="16"/>
          <w:szCs w:val="16"/>
          <w:lang w:val="en-AU"/>
        </w:rPr>
      </w:pPr>
      <w:r w:rsidRPr="00D1282E">
        <w:rPr>
          <w:rStyle w:val="FootnoteReference"/>
          <w:rFonts w:ascii="Avenir Roman" w:hAnsi="Avenir Roman"/>
          <w:sz w:val="16"/>
          <w:szCs w:val="16"/>
        </w:rPr>
        <w:footnoteRef/>
      </w:r>
      <w:r w:rsidRPr="00D1282E">
        <w:rPr>
          <w:rFonts w:ascii="Avenir Roman" w:hAnsi="Avenir Roman"/>
          <w:sz w:val="16"/>
          <w:szCs w:val="16"/>
        </w:rPr>
        <w:t xml:space="preserve"> </w:t>
      </w:r>
      <w:r w:rsidRPr="00D1282E">
        <w:rPr>
          <w:rFonts w:ascii="Avenir Roman" w:hAnsi="Avenir Roman" w:cstheme="majorHAnsi"/>
          <w:sz w:val="16"/>
          <w:szCs w:val="16"/>
        </w:rPr>
        <w:t xml:space="preserve">Committee on the Rights of Persons with Disabilities (2019) </w:t>
      </w:r>
      <w:hyperlink r:id="rId94" w:history="1">
        <w:r w:rsidRPr="00D1282E">
          <w:rPr>
            <w:rStyle w:val="Hyperlink"/>
            <w:rFonts w:ascii="Avenir Roman" w:hAnsi="Avenir Roman" w:cstheme="majorHAnsi"/>
            <w:sz w:val="16"/>
            <w:szCs w:val="16"/>
          </w:rPr>
          <w:t>Concluding observations on the combined second and third periodic reports of Australia</w:t>
        </w:r>
      </w:hyperlink>
      <w:r w:rsidRPr="00D1282E">
        <w:rPr>
          <w:rFonts w:ascii="Avenir Roman" w:hAnsi="Avenir Roman" w:cstheme="majorHAnsi"/>
          <w:sz w:val="16"/>
          <w:szCs w:val="16"/>
        </w:rPr>
        <w:t>, adopted by the Committee at its 511</w:t>
      </w:r>
      <w:r w:rsidRPr="00D1282E">
        <w:rPr>
          <w:rFonts w:ascii="Avenir Roman" w:hAnsi="Avenir Roman" w:cstheme="majorHAnsi"/>
          <w:sz w:val="16"/>
          <w:szCs w:val="16"/>
          <w:vertAlign w:val="superscript"/>
        </w:rPr>
        <w:t>th</w:t>
      </w:r>
      <w:r w:rsidRPr="00D1282E">
        <w:rPr>
          <w:rFonts w:ascii="Avenir Roman" w:hAnsi="Avenir Roman" w:cstheme="majorHAnsi"/>
          <w:sz w:val="16"/>
          <w:szCs w:val="16"/>
        </w:rPr>
        <w:t xml:space="preserve"> meeting (20 September 2019) of the 22</w:t>
      </w:r>
      <w:r w:rsidRPr="00D1282E">
        <w:rPr>
          <w:rFonts w:ascii="Avenir Roman" w:hAnsi="Avenir Roman" w:cstheme="majorHAnsi"/>
          <w:sz w:val="16"/>
          <w:szCs w:val="16"/>
          <w:vertAlign w:val="superscript"/>
        </w:rPr>
        <w:t>nd</w:t>
      </w:r>
      <w:r w:rsidRPr="00D1282E">
        <w:rPr>
          <w:rFonts w:ascii="Avenir Roman" w:hAnsi="Avenir Roman" w:cstheme="majorHAnsi"/>
          <w:sz w:val="16"/>
          <w:szCs w:val="16"/>
        </w:rPr>
        <w:t xml:space="preserve"> session; UN Doc. CRPD/C/AUS/CO/2-3.</w:t>
      </w:r>
    </w:p>
  </w:footnote>
  <w:footnote w:id="187">
    <w:p w14:paraId="6A15AE2F" w14:textId="7D2A64E4" w:rsidR="00D1282E" w:rsidRPr="000709B9" w:rsidRDefault="00D1282E" w:rsidP="00D25EB8">
      <w:pPr>
        <w:pStyle w:val="FootnoteText"/>
        <w:spacing w:after="0" w:line="240" w:lineRule="auto"/>
        <w:jc w:val="left"/>
        <w:rPr>
          <w:rFonts w:ascii="Avenir Roman" w:hAnsi="Avenir Roman"/>
          <w:sz w:val="16"/>
          <w:szCs w:val="16"/>
          <w:lang w:val="en-AU"/>
        </w:rPr>
      </w:pPr>
      <w:r w:rsidRPr="000709B9">
        <w:rPr>
          <w:rStyle w:val="FootnoteReference"/>
          <w:rFonts w:ascii="Avenir Roman" w:hAnsi="Avenir Roman"/>
          <w:sz w:val="16"/>
          <w:szCs w:val="16"/>
        </w:rPr>
        <w:footnoteRef/>
      </w:r>
      <w:r w:rsidRPr="000709B9">
        <w:rPr>
          <w:rFonts w:ascii="Avenir Roman" w:hAnsi="Avenir Roman"/>
          <w:sz w:val="16"/>
          <w:szCs w:val="16"/>
        </w:rPr>
        <w:t xml:space="preserve"> </w:t>
      </w:r>
      <w:r w:rsidRPr="000709B9">
        <w:rPr>
          <w:rFonts w:ascii="Avenir Roman" w:hAnsi="Avenir Roman" w:cs="Calibri Light"/>
          <w:sz w:val="16"/>
          <w:szCs w:val="16"/>
        </w:rPr>
        <w:t xml:space="preserve">Committee on the Elimination of Discrimination against Women </w:t>
      </w:r>
      <w:hyperlink r:id="rId95" w:history="1">
        <w:r w:rsidRPr="000709B9">
          <w:rPr>
            <w:rStyle w:val="Hyperlink"/>
            <w:rFonts w:ascii="Avenir Roman" w:hAnsi="Avenir Roman" w:cs="Calibri Light"/>
            <w:sz w:val="16"/>
            <w:szCs w:val="16"/>
          </w:rPr>
          <w:t>Concluding observations on the eighth periodic report of Australia</w:t>
        </w:r>
      </w:hyperlink>
      <w:r w:rsidRPr="000709B9">
        <w:rPr>
          <w:rFonts w:ascii="Avenir Roman" w:hAnsi="Avenir Roman" w:cs="Calibri Light"/>
          <w:sz w:val="16"/>
          <w:szCs w:val="16"/>
        </w:rPr>
        <w:t>, 25 July 2018, UN Doc. CEDAW/C/AUS/CO/8</w:t>
      </w:r>
    </w:p>
  </w:footnote>
  <w:footnote w:id="188">
    <w:p w14:paraId="76740190" w14:textId="032D2445" w:rsidR="00D1282E" w:rsidRPr="000709B9" w:rsidRDefault="00D1282E" w:rsidP="00D25EB8">
      <w:pPr>
        <w:pStyle w:val="FootnoteText"/>
        <w:spacing w:after="0" w:line="240" w:lineRule="auto"/>
        <w:jc w:val="left"/>
        <w:rPr>
          <w:rFonts w:ascii="Avenir Roman" w:hAnsi="Avenir Roman"/>
          <w:sz w:val="16"/>
          <w:szCs w:val="16"/>
          <w:lang w:val="en-AU"/>
        </w:rPr>
      </w:pPr>
      <w:r w:rsidRPr="000709B9">
        <w:rPr>
          <w:rStyle w:val="FootnoteReference"/>
          <w:rFonts w:ascii="Avenir Roman" w:hAnsi="Avenir Roman"/>
          <w:sz w:val="16"/>
          <w:szCs w:val="16"/>
        </w:rPr>
        <w:footnoteRef/>
      </w:r>
      <w:r w:rsidRPr="000709B9">
        <w:rPr>
          <w:rFonts w:ascii="Avenir Roman" w:hAnsi="Avenir Roman"/>
          <w:sz w:val="16"/>
          <w:szCs w:val="16"/>
        </w:rPr>
        <w:t xml:space="preserve"> </w:t>
      </w:r>
      <w:r w:rsidRPr="000709B9">
        <w:rPr>
          <w:rFonts w:ascii="Avenir Roman" w:hAnsi="Avenir Roman" w:cs="Calibri Light"/>
          <w:sz w:val="16"/>
          <w:szCs w:val="16"/>
        </w:rPr>
        <w:t xml:space="preserve">Committee on the Elimination of Discrimination against Women, Consideration of reports submitted by States parties under article 18 of the Convention, </w:t>
      </w:r>
      <w:hyperlink r:id="rId96" w:history="1">
        <w:r w:rsidRPr="000709B9">
          <w:rPr>
            <w:rStyle w:val="Hyperlink"/>
            <w:rFonts w:ascii="Avenir Roman" w:hAnsi="Avenir Roman" w:cs="Calibri Light"/>
            <w:sz w:val="16"/>
            <w:szCs w:val="16"/>
          </w:rPr>
          <w:t>Eighth periodic report of Australia</w:t>
        </w:r>
      </w:hyperlink>
      <w:r w:rsidRPr="000709B9">
        <w:rPr>
          <w:rFonts w:ascii="Avenir Roman" w:hAnsi="Avenir Roman" w:cs="Calibri Light"/>
          <w:sz w:val="16"/>
          <w:szCs w:val="16"/>
        </w:rPr>
        <w:t>; 20 December 2016. UN Doc. CEDAW/C/AUS/8.</w:t>
      </w:r>
    </w:p>
  </w:footnote>
  <w:footnote w:id="189">
    <w:p w14:paraId="793B1E55" w14:textId="375FE9B5" w:rsidR="00D1282E" w:rsidRPr="000709B9" w:rsidRDefault="00D1282E" w:rsidP="00D25EB8">
      <w:pPr>
        <w:pStyle w:val="FootnoteText"/>
        <w:spacing w:after="0" w:line="240" w:lineRule="auto"/>
        <w:jc w:val="left"/>
        <w:rPr>
          <w:rFonts w:ascii="Avenir Roman" w:hAnsi="Avenir Roman"/>
          <w:sz w:val="16"/>
          <w:szCs w:val="16"/>
          <w:lang w:val="en-AU"/>
        </w:rPr>
      </w:pPr>
      <w:r w:rsidRPr="000709B9">
        <w:rPr>
          <w:rStyle w:val="FootnoteReference"/>
          <w:rFonts w:ascii="Avenir Roman" w:hAnsi="Avenir Roman"/>
          <w:sz w:val="16"/>
          <w:szCs w:val="16"/>
        </w:rPr>
        <w:footnoteRef/>
      </w:r>
      <w:r w:rsidRPr="000709B9">
        <w:rPr>
          <w:rFonts w:ascii="Avenir Roman" w:hAnsi="Avenir Roman"/>
          <w:sz w:val="16"/>
          <w:szCs w:val="16"/>
        </w:rPr>
        <w:t xml:space="preserve"> </w:t>
      </w:r>
      <w:r w:rsidRPr="000709B9">
        <w:rPr>
          <w:rFonts w:ascii="Avenir Roman" w:hAnsi="Avenir Roman" w:cs="Calibri Light"/>
          <w:sz w:val="16"/>
          <w:szCs w:val="16"/>
        </w:rPr>
        <w:t xml:space="preserve">Committee on the Rights of the Child, Consideration of reports submitted by States parties under article 44 of the Convention, </w:t>
      </w:r>
      <w:hyperlink r:id="rId97" w:history="1">
        <w:r w:rsidRPr="000709B9">
          <w:rPr>
            <w:rStyle w:val="Hyperlink"/>
            <w:rFonts w:ascii="Avenir Roman" w:hAnsi="Avenir Roman" w:cs="Calibri Light"/>
            <w:sz w:val="16"/>
            <w:szCs w:val="16"/>
          </w:rPr>
          <w:t>Concluding observations: Australia</w:t>
        </w:r>
      </w:hyperlink>
      <w:r w:rsidRPr="000709B9">
        <w:rPr>
          <w:rFonts w:ascii="Avenir Roman" w:hAnsi="Avenir Roman" w:cs="Calibri Light"/>
          <w:sz w:val="16"/>
          <w:szCs w:val="16"/>
        </w:rPr>
        <w:t>, 1 November 2019, UN Doc. CRC/C/AUS/CO/5-6.</w:t>
      </w:r>
    </w:p>
  </w:footnote>
  <w:footnote w:id="190">
    <w:p w14:paraId="176B60D7" w14:textId="53AABA88" w:rsidR="00D1282E" w:rsidRPr="000709B9" w:rsidRDefault="00D1282E" w:rsidP="00D25EB8">
      <w:pPr>
        <w:pStyle w:val="EndnoteText"/>
        <w:spacing w:after="0" w:line="240" w:lineRule="auto"/>
        <w:jc w:val="left"/>
        <w:rPr>
          <w:rFonts w:ascii="Avenir Roman" w:hAnsi="Avenir Roman" w:cs="Calibri Light"/>
          <w:sz w:val="16"/>
          <w:szCs w:val="16"/>
        </w:rPr>
      </w:pPr>
      <w:r w:rsidRPr="000709B9">
        <w:rPr>
          <w:rStyle w:val="FootnoteReference"/>
          <w:rFonts w:ascii="Avenir Roman" w:hAnsi="Avenir Roman"/>
          <w:sz w:val="16"/>
          <w:szCs w:val="16"/>
        </w:rPr>
        <w:footnoteRef/>
      </w:r>
      <w:r w:rsidRPr="000709B9">
        <w:rPr>
          <w:rFonts w:ascii="Avenir Roman" w:hAnsi="Avenir Roman"/>
          <w:sz w:val="16"/>
          <w:szCs w:val="16"/>
        </w:rPr>
        <w:t xml:space="preserve"> </w:t>
      </w:r>
      <w:r w:rsidRPr="000709B9">
        <w:rPr>
          <w:rFonts w:ascii="Avenir Roman" w:hAnsi="Avenir Roman" w:cs="Calibri Light"/>
          <w:sz w:val="16"/>
          <w:szCs w:val="16"/>
        </w:rPr>
        <w:t xml:space="preserve">Human Rights Committee, International Covenant on Civil and Political Rights, </w:t>
      </w:r>
      <w:hyperlink r:id="rId98" w:history="1">
        <w:r w:rsidRPr="000709B9">
          <w:rPr>
            <w:rStyle w:val="Hyperlink"/>
            <w:rFonts w:ascii="Avenir Roman" w:hAnsi="Avenir Roman" w:cs="Calibri Light"/>
            <w:sz w:val="16"/>
            <w:szCs w:val="16"/>
          </w:rPr>
          <w:t>Concluding observations on the sixth periodic report of Australia</w:t>
        </w:r>
      </w:hyperlink>
      <w:r w:rsidRPr="000709B9">
        <w:rPr>
          <w:rFonts w:ascii="Avenir Roman" w:hAnsi="Avenir Roman" w:cs="Calibri Light"/>
          <w:sz w:val="16"/>
          <w:szCs w:val="16"/>
        </w:rPr>
        <w:t>; 1 December 2017, UN Doc CCPR/C/AUS/CO/6.</w:t>
      </w:r>
    </w:p>
  </w:footnote>
  <w:footnote w:id="191">
    <w:p w14:paraId="02B2FE3D" w14:textId="7D9638D4" w:rsidR="00D1282E" w:rsidRPr="000709B9" w:rsidRDefault="00D1282E" w:rsidP="00D25EB8">
      <w:pPr>
        <w:pStyle w:val="FootnoteText"/>
        <w:spacing w:after="0" w:line="240" w:lineRule="auto"/>
        <w:jc w:val="left"/>
        <w:rPr>
          <w:rFonts w:ascii="Avenir Roman" w:hAnsi="Avenir Roman"/>
          <w:sz w:val="16"/>
          <w:szCs w:val="16"/>
          <w:lang w:val="en-AU"/>
        </w:rPr>
      </w:pPr>
      <w:r w:rsidRPr="000709B9">
        <w:rPr>
          <w:rStyle w:val="FootnoteReference"/>
          <w:rFonts w:ascii="Avenir Roman" w:hAnsi="Avenir Roman"/>
          <w:sz w:val="16"/>
          <w:szCs w:val="16"/>
        </w:rPr>
        <w:footnoteRef/>
      </w:r>
      <w:r w:rsidRPr="000709B9">
        <w:rPr>
          <w:rFonts w:ascii="Avenir Roman" w:hAnsi="Avenir Roman"/>
          <w:sz w:val="16"/>
          <w:szCs w:val="16"/>
        </w:rPr>
        <w:t xml:space="preserve"> </w:t>
      </w:r>
      <w:r w:rsidRPr="000709B9">
        <w:rPr>
          <w:rFonts w:ascii="Avenir Roman" w:hAnsi="Avenir Roman" w:cs="Calibri Light"/>
          <w:sz w:val="16"/>
          <w:szCs w:val="16"/>
        </w:rPr>
        <w:t xml:space="preserve">Human Rights Committee, International Covenant on Civil and Political Rights, Consideration of reports submitted by States parties under article 40 of the Covenant, </w:t>
      </w:r>
      <w:hyperlink r:id="rId99" w:history="1">
        <w:r w:rsidRPr="000709B9">
          <w:rPr>
            <w:rStyle w:val="Hyperlink"/>
            <w:rFonts w:ascii="Avenir Roman" w:hAnsi="Avenir Roman" w:cs="Calibri Light"/>
            <w:sz w:val="16"/>
            <w:szCs w:val="16"/>
          </w:rPr>
          <w:t>Sixth periodic reports of States parties due in 2013, Australia</w:t>
        </w:r>
      </w:hyperlink>
      <w:r w:rsidRPr="000709B9">
        <w:rPr>
          <w:rFonts w:ascii="Avenir Roman" w:hAnsi="Avenir Roman" w:cs="Calibri Light"/>
          <w:sz w:val="16"/>
          <w:szCs w:val="16"/>
        </w:rPr>
        <w:t>; 2 June 2016.</w:t>
      </w:r>
    </w:p>
  </w:footnote>
  <w:footnote w:id="192">
    <w:p w14:paraId="71512535" w14:textId="0616E018" w:rsidR="00D1282E" w:rsidRPr="000709B9" w:rsidRDefault="00D1282E" w:rsidP="00D25EB8">
      <w:pPr>
        <w:pStyle w:val="EndnoteText"/>
        <w:spacing w:after="0" w:line="240" w:lineRule="auto"/>
        <w:jc w:val="left"/>
        <w:rPr>
          <w:rFonts w:asciiTheme="majorHAnsi" w:hAnsiTheme="majorHAnsi" w:cstheme="majorHAnsi"/>
          <w:sz w:val="15"/>
          <w:szCs w:val="15"/>
        </w:rPr>
      </w:pPr>
      <w:r w:rsidRPr="000709B9">
        <w:rPr>
          <w:rStyle w:val="FootnoteReference"/>
          <w:rFonts w:ascii="Avenir Roman" w:hAnsi="Avenir Roman"/>
          <w:sz w:val="16"/>
          <w:szCs w:val="16"/>
        </w:rPr>
        <w:footnoteRef/>
      </w:r>
      <w:r w:rsidRPr="000709B9">
        <w:rPr>
          <w:rFonts w:ascii="Avenir Roman" w:hAnsi="Avenir Roman"/>
          <w:sz w:val="16"/>
          <w:szCs w:val="16"/>
        </w:rPr>
        <w:t xml:space="preserve"> </w:t>
      </w:r>
      <w:r w:rsidRPr="000709B9">
        <w:rPr>
          <w:rFonts w:ascii="Avenir Roman" w:hAnsi="Avenir Roman" w:cstheme="majorHAnsi"/>
          <w:sz w:val="16"/>
          <w:szCs w:val="16"/>
        </w:rPr>
        <w:t xml:space="preserve">Committee on the Rights of Persons with Disabilities (2019) </w:t>
      </w:r>
      <w:hyperlink r:id="rId100" w:history="1">
        <w:r w:rsidRPr="000709B9">
          <w:rPr>
            <w:rStyle w:val="Hyperlink"/>
            <w:rFonts w:ascii="Avenir Roman" w:hAnsi="Avenir Roman" w:cstheme="majorHAnsi"/>
            <w:sz w:val="16"/>
            <w:szCs w:val="16"/>
          </w:rPr>
          <w:t>Concluding observations on the combined second and third periodic reports of Australia</w:t>
        </w:r>
      </w:hyperlink>
      <w:r w:rsidRPr="000709B9">
        <w:rPr>
          <w:rFonts w:ascii="Avenir Roman" w:hAnsi="Avenir Roman" w:cstheme="majorHAnsi"/>
          <w:sz w:val="16"/>
          <w:szCs w:val="16"/>
        </w:rPr>
        <w:t>, adopted by the Committee at its 511</w:t>
      </w:r>
      <w:r w:rsidRPr="000709B9">
        <w:rPr>
          <w:rFonts w:ascii="Avenir Roman" w:hAnsi="Avenir Roman" w:cstheme="majorHAnsi"/>
          <w:sz w:val="16"/>
          <w:szCs w:val="16"/>
          <w:vertAlign w:val="superscript"/>
        </w:rPr>
        <w:t>th</w:t>
      </w:r>
      <w:r w:rsidRPr="000709B9">
        <w:rPr>
          <w:rFonts w:ascii="Avenir Roman" w:hAnsi="Avenir Roman" w:cstheme="majorHAnsi"/>
          <w:sz w:val="16"/>
          <w:szCs w:val="16"/>
        </w:rPr>
        <w:t xml:space="preserve"> meeting (20 September 2019) of the 22</w:t>
      </w:r>
      <w:r w:rsidRPr="000709B9">
        <w:rPr>
          <w:rFonts w:ascii="Avenir Roman" w:hAnsi="Avenir Roman" w:cstheme="majorHAnsi"/>
          <w:sz w:val="16"/>
          <w:szCs w:val="16"/>
          <w:vertAlign w:val="superscript"/>
        </w:rPr>
        <w:t>nd</w:t>
      </w:r>
      <w:r w:rsidRPr="000709B9">
        <w:rPr>
          <w:rFonts w:ascii="Avenir Roman" w:hAnsi="Avenir Roman" w:cstheme="majorHAnsi"/>
          <w:sz w:val="16"/>
          <w:szCs w:val="16"/>
        </w:rPr>
        <w:t xml:space="preserve"> session; UN Doc. CRPD/C/AUS/CO/2-3.</w:t>
      </w:r>
    </w:p>
  </w:footnote>
  <w:footnote w:id="193">
    <w:p w14:paraId="234A2E04" w14:textId="61DB438F" w:rsidR="00D1282E" w:rsidRPr="000709B9" w:rsidRDefault="00D1282E" w:rsidP="00D25EB8">
      <w:pPr>
        <w:pStyle w:val="FootnoteText"/>
        <w:spacing w:after="0" w:line="240" w:lineRule="auto"/>
        <w:jc w:val="left"/>
        <w:rPr>
          <w:rFonts w:ascii="Avenir Roman" w:hAnsi="Avenir Roman"/>
          <w:sz w:val="16"/>
          <w:szCs w:val="16"/>
          <w:lang w:val="en-AU"/>
        </w:rPr>
      </w:pPr>
      <w:r w:rsidRPr="000709B9">
        <w:rPr>
          <w:rStyle w:val="FootnoteReference"/>
          <w:rFonts w:ascii="Avenir Roman" w:hAnsi="Avenir Roman"/>
          <w:sz w:val="16"/>
          <w:szCs w:val="16"/>
        </w:rPr>
        <w:footnoteRef/>
      </w:r>
      <w:r w:rsidRPr="000709B9">
        <w:rPr>
          <w:rFonts w:ascii="Avenir Roman" w:hAnsi="Avenir Roman"/>
          <w:sz w:val="16"/>
          <w:szCs w:val="16"/>
        </w:rPr>
        <w:t xml:space="preserve"> </w:t>
      </w:r>
      <w:r w:rsidRPr="000709B9">
        <w:rPr>
          <w:rFonts w:ascii="Avenir Roman" w:hAnsi="Avenir Roman" w:cs="Calibri Light"/>
          <w:sz w:val="16"/>
          <w:szCs w:val="16"/>
        </w:rPr>
        <w:t xml:space="preserve">Committee on the Elimination of Discrimination against Women </w:t>
      </w:r>
      <w:hyperlink r:id="rId101" w:history="1">
        <w:r w:rsidRPr="000709B9">
          <w:rPr>
            <w:rStyle w:val="Hyperlink"/>
            <w:rFonts w:ascii="Avenir Roman" w:hAnsi="Avenir Roman" w:cs="Calibri Light"/>
            <w:sz w:val="16"/>
            <w:szCs w:val="16"/>
          </w:rPr>
          <w:t>Concluding observations on the eighth periodic report of Australia</w:t>
        </w:r>
      </w:hyperlink>
      <w:r w:rsidRPr="000709B9">
        <w:rPr>
          <w:rFonts w:ascii="Avenir Roman" w:hAnsi="Avenir Roman" w:cs="Calibri Light"/>
          <w:sz w:val="16"/>
          <w:szCs w:val="16"/>
        </w:rPr>
        <w:t>, 25 July 2018, UN Doc. CEDAW/C/AUS/CO/8.</w:t>
      </w:r>
    </w:p>
  </w:footnote>
  <w:footnote w:id="194">
    <w:p w14:paraId="76DEC7F5" w14:textId="323B9AE1" w:rsidR="00D1282E" w:rsidRPr="000709B9" w:rsidRDefault="00D1282E" w:rsidP="00D25EB8">
      <w:pPr>
        <w:pStyle w:val="FootnoteText"/>
        <w:spacing w:after="0" w:line="240" w:lineRule="auto"/>
        <w:jc w:val="left"/>
        <w:rPr>
          <w:rFonts w:ascii="Avenir Roman" w:hAnsi="Avenir Roman"/>
          <w:sz w:val="16"/>
          <w:szCs w:val="16"/>
          <w:lang w:val="en-AU"/>
        </w:rPr>
      </w:pPr>
      <w:r w:rsidRPr="000709B9">
        <w:rPr>
          <w:rStyle w:val="FootnoteReference"/>
          <w:rFonts w:ascii="Avenir Roman" w:hAnsi="Avenir Roman"/>
          <w:sz w:val="16"/>
          <w:szCs w:val="16"/>
        </w:rPr>
        <w:footnoteRef/>
      </w:r>
      <w:r w:rsidRPr="000709B9">
        <w:rPr>
          <w:rFonts w:ascii="Avenir Roman" w:hAnsi="Avenir Roman"/>
          <w:sz w:val="16"/>
          <w:szCs w:val="16"/>
        </w:rPr>
        <w:t xml:space="preserve"> </w:t>
      </w:r>
      <w:r w:rsidRPr="000709B9">
        <w:rPr>
          <w:rFonts w:ascii="Avenir Roman" w:hAnsi="Avenir Roman" w:cs="Calibri Light"/>
          <w:sz w:val="16"/>
          <w:szCs w:val="16"/>
        </w:rPr>
        <w:t xml:space="preserve">Committee on the Rights of the Child, Consideration of reports submitted by States parties under article 44 of the Convention, </w:t>
      </w:r>
      <w:hyperlink r:id="rId102" w:history="1">
        <w:r w:rsidRPr="000709B9">
          <w:rPr>
            <w:rStyle w:val="Hyperlink"/>
            <w:rFonts w:ascii="Avenir Roman" w:hAnsi="Avenir Roman" w:cs="Calibri Light"/>
            <w:sz w:val="16"/>
            <w:szCs w:val="16"/>
          </w:rPr>
          <w:t>Concluding observations: Australia</w:t>
        </w:r>
      </w:hyperlink>
      <w:r w:rsidRPr="000709B9">
        <w:rPr>
          <w:rFonts w:ascii="Avenir Roman" w:hAnsi="Avenir Roman" w:cs="Calibri Light"/>
          <w:sz w:val="16"/>
          <w:szCs w:val="16"/>
        </w:rPr>
        <w:t>, 1 November 2019, UN Doc. CRC/C/AUS/CO/5-6.</w:t>
      </w:r>
    </w:p>
  </w:footnote>
  <w:footnote w:id="195">
    <w:p w14:paraId="41890D90" w14:textId="5555C2E9" w:rsidR="00D368FC" w:rsidRPr="00D368FC" w:rsidRDefault="00D368FC" w:rsidP="00D25EB8">
      <w:pPr>
        <w:pStyle w:val="FootnoteText"/>
        <w:spacing w:after="0" w:line="240" w:lineRule="auto"/>
        <w:jc w:val="left"/>
        <w:rPr>
          <w:lang w:val="en-AU"/>
        </w:rPr>
      </w:pPr>
      <w:r>
        <w:rPr>
          <w:rStyle w:val="FootnoteReference"/>
        </w:rPr>
        <w:footnoteRef/>
      </w:r>
      <w:r>
        <w:t xml:space="preserve"> </w:t>
      </w:r>
      <w:r w:rsidRPr="00490D6D">
        <w:rPr>
          <w:rFonts w:ascii="Avenir Roman" w:hAnsi="Avenir Roman" w:cs="Calibri Light"/>
          <w:sz w:val="16"/>
          <w:szCs w:val="16"/>
        </w:rPr>
        <w:t xml:space="preserve">Committee on Economic, Social and Cultural Rights (2017) </w:t>
      </w:r>
      <w:hyperlink r:id="rId103" w:history="1">
        <w:r w:rsidRPr="00490D6D">
          <w:rPr>
            <w:rStyle w:val="Hyperlink"/>
            <w:rFonts w:ascii="Avenir Roman" w:hAnsi="Avenir Roman" w:cs="Calibri Light"/>
            <w:sz w:val="16"/>
            <w:szCs w:val="16"/>
          </w:rPr>
          <w:t>Concluding observations on the fifth periodic report of Australia</w:t>
        </w:r>
      </w:hyperlink>
      <w:r w:rsidRPr="00490D6D">
        <w:rPr>
          <w:rFonts w:ascii="Avenir Roman" w:hAnsi="Avenir Roman" w:cs="Calibri Light"/>
          <w:sz w:val="16"/>
          <w:szCs w:val="16"/>
        </w:rPr>
        <w:t>; 11 July 2017; UN Doc. E/C.12/AUS/CO/5.</w:t>
      </w:r>
    </w:p>
  </w:footnote>
  <w:footnote w:id="196">
    <w:p w14:paraId="52314C8F" w14:textId="2ED2A0E7" w:rsidR="00D368FC" w:rsidRPr="00D368FC" w:rsidRDefault="00D368FC" w:rsidP="00D25EB8">
      <w:pPr>
        <w:pStyle w:val="FootnoteText"/>
        <w:spacing w:after="0" w:line="240" w:lineRule="auto"/>
        <w:jc w:val="left"/>
        <w:rPr>
          <w:lang w:val="en-AU"/>
        </w:rPr>
      </w:pPr>
      <w:r>
        <w:rPr>
          <w:rStyle w:val="FootnoteReference"/>
        </w:rPr>
        <w:footnoteRef/>
      </w:r>
      <w:r>
        <w:t xml:space="preserve"> </w:t>
      </w:r>
      <w:r w:rsidRPr="000709B9">
        <w:rPr>
          <w:rFonts w:ascii="Avenir Roman" w:hAnsi="Avenir Roman" w:cs="Calibri Light"/>
          <w:sz w:val="16"/>
          <w:szCs w:val="16"/>
        </w:rPr>
        <w:t xml:space="preserve">Human Rights Committee, International Covenant on Civil and Political Rights, </w:t>
      </w:r>
      <w:hyperlink r:id="rId104" w:history="1">
        <w:r w:rsidRPr="000709B9">
          <w:rPr>
            <w:rStyle w:val="Hyperlink"/>
            <w:rFonts w:ascii="Avenir Roman" w:hAnsi="Avenir Roman" w:cs="Calibri Light"/>
            <w:sz w:val="16"/>
            <w:szCs w:val="16"/>
          </w:rPr>
          <w:t>Concluding observations on the sixth periodic report of Australia</w:t>
        </w:r>
      </w:hyperlink>
      <w:r w:rsidRPr="000709B9">
        <w:rPr>
          <w:rFonts w:ascii="Avenir Roman" w:hAnsi="Avenir Roman" w:cs="Calibri Light"/>
          <w:sz w:val="16"/>
          <w:szCs w:val="16"/>
        </w:rPr>
        <w:t>; 1 December 2017, UN Doc CCPR/C/AUS/CO/6.</w:t>
      </w:r>
    </w:p>
  </w:footnote>
  <w:footnote w:id="197">
    <w:p w14:paraId="725078B7" w14:textId="61D31A75" w:rsidR="00D1282E" w:rsidRPr="00D1282E" w:rsidRDefault="00D1282E" w:rsidP="00D25EB8">
      <w:pPr>
        <w:pStyle w:val="EndnoteText"/>
        <w:spacing w:after="0" w:line="240" w:lineRule="auto"/>
        <w:jc w:val="left"/>
        <w:rPr>
          <w:rFonts w:ascii="Avenir Roman" w:hAnsi="Avenir Roman" w:cstheme="majorHAnsi"/>
          <w:sz w:val="16"/>
          <w:szCs w:val="16"/>
        </w:rPr>
      </w:pPr>
      <w:r w:rsidRPr="00D1282E">
        <w:rPr>
          <w:rStyle w:val="FootnoteReference"/>
          <w:rFonts w:ascii="Avenir Roman" w:hAnsi="Avenir Roman"/>
          <w:sz w:val="16"/>
          <w:szCs w:val="16"/>
        </w:rPr>
        <w:footnoteRef/>
      </w:r>
      <w:r w:rsidRPr="00D1282E">
        <w:rPr>
          <w:rFonts w:ascii="Avenir Roman" w:hAnsi="Avenir Roman"/>
          <w:sz w:val="16"/>
          <w:szCs w:val="16"/>
        </w:rPr>
        <w:t xml:space="preserve"> </w:t>
      </w:r>
      <w:r w:rsidRPr="00D1282E">
        <w:rPr>
          <w:rFonts w:ascii="Avenir Roman" w:hAnsi="Avenir Roman" w:cstheme="majorHAnsi"/>
          <w:sz w:val="16"/>
          <w:szCs w:val="16"/>
        </w:rPr>
        <w:t xml:space="preserve">Committee on the Rights of Persons with Disabilities (2019) </w:t>
      </w:r>
      <w:hyperlink r:id="rId105" w:history="1">
        <w:r w:rsidRPr="00D1282E">
          <w:rPr>
            <w:rStyle w:val="Hyperlink"/>
            <w:rFonts w:ascii="Avenir Roman" w:hAnsi="Avenir Roman" w:cstheme="majorHAnsi"/>
            <w:sz w:val="16"/>
            <w:szCs w:val="16"/>
          </w:rPr>
          <w:t>Concluding observations on the combined second and third periodic reports of Australia</w:t>
        </w:r>
      </w:hyperlink>
      <w:r w:rsidRPr="00D1282E">
        <w:rPr>
          <w:rFonts w:ascii="Avenir Roman" w:hAnsi="Avenir Roman" w:cstheme="majorHAnsi"/>
          <w:sz w:val="16"/>
          <w:szCs w:val="16"/>
        </w:rPr>
        <w:t>, adopted by the Committee at its 511</w:t>
      </w:r>
      <w:r w:rsidRPr="00D1282E">
        <w:rPr>
          <w:rFonts w:ascii="Avenir Roman" w:hAnsi="Avenir Roman" w:cstheme="majorHAnsi"/>
          <w:sz w:val="16"/>
          <w:szCs w:val="16"/>
          <w:vertAlign w:val="superscript"/>
        </w:rPr>
        <w:t>th</w:t>
      </w:r>
      <w:r w:rsidRPr="00D1282E">
        <w:rPr>
          <w:rFonts w:ascii="Avenir Roman" w:hAnsi="Avenir Roman" w:cstheme="majorHAnsi"/>
          <w:sz w:val="16"/>
          <w:szCs w:val="16"/>
        </w:rPr>
        <w:t xml:space="preserve"> meeting (20 September 2019) of the 22</w:t>
      </w:r>
      <w:r w:rsidRPr="00D1282E">
        <w:rPr>
          <w:rFonts w:ascii="Avenir Roman" w:hAnsi="Avenir Roman" w:cstheme="majorHAnsi"/>
          <w:sz w:val="16"/>
          <w:szCs w:val="16"/>
          <w:vertAlign w:val="superscript"/>
        </w:rPr>
        <w:t>nd</w:t>
      </w:r>
      <w:r w:rsidRPr="00D1282E">
        <w:rPr>
          <w:rFonts w:ascii="Avenir Roman" w:hAnsi="Avenir Roman" w:cstheme="majorHAnsi"/>
          <w:sz w:val="16"/>
          <w:szCs w:val="16"/>
        </w:rPr>
        <w:t xml:space="preserve"> session; UN Doc. CRPD/C/AUS/CO/2-3.</w:t>
      </w:r>
    </w:p>
  </w:footnote>
  <w:footnote w:id="198">
    <w:p w14:paraId="2E15A955" w14:textId="28072448" w:rsidR="00D1282E" w:rsidRPr="00D1282E" w:rsidRDefault="00D1282E" w:rsidP="00D25EB8">
      <w:pPr>
        <w:pStyle w:val="FootnoteText"/>
        <w:spacing w:after="0" w:line="240" w:lineRule="auto"/>
        <w:jc w:val="left"/>
        <w:rPr>
          <w:rFonts w:ascii="Avenir Roman" w:hAnsi="Avenir Roman"/>
          <w:sz w:val="16"/>
          <w:szCs w:val="16"/>
          <w:lang w:val="en-AU"/>
        </w:rPr>
      </w:pPr>
      <w:r w:rsidRPr="00D1282E">
        <w:rPr>
          <w:rStyle w:val="FootnoteReference"/>
          <w:rFonts w:ascii="Avenir Roman" w:hAnsi="Avenir Roman"/>
          <w:sz w:val="16"/>
          <w:szCs w:val="16"/>
        </w:rPr>
        <w:footnoteRef/>
      </w:r>
      <w:r w:rsidRPr="00D1282E">
        <w:rPr>
          <w:rFonts w:ascii="Avenir Roman" w:hAnsi="Avenir Roman"/>
          <w:sz w:val="16"/>
          <w:szCs w:val="16"/>
        </w:rPr>
        <w:t xml:space="preserve"> </w:t>
      </w:r>
      <w:r w:rsidRPr="00D1282E">
        <w:rPr>
          <w:rFonts w:ascii="Avenir Roman" w:hAnsi="Avenir Roman" w:cs="Calibri Light"/>
          <w:sz w:val="16"/>
          <w:szCs w:val="16"/>
        </w:rPr>
        <w:t xml:space="preserve">Committee on the Elimination of Discrimination against Women </w:t>
      </w:r>
      <w:hyperlink r:id="rId106" w:history="1">
        <w:r w:rsidRPr="00D1282E">
          <w:rPr>
            <w:rStyle w:val="Hyperlink"/>
            <w:rFonts w:ascii="Avenir Roman" w:hAnsi="Avenir Roman" w:cs="Calibri Light"/>
            <w:sz w:val="16"/>
            <w:szCs w:val="16"/>
          </w:rPr>
          <w:t>Concluding observations on the eighth periodic report of Australia</w:t>
        </w:r>
      </w:hyperlink>
      <w:r w:rsidRPr="00D1282E">
        <w:rPr>
          <w:rFonts w:ascii="Avenir Roman" w:hAnsi="Avenir Roman" w:cs="Calibri Light"/>
          <w:sz w:val="16"/>
          <w:szCs w:val="16"/>
        </w:rPr>
        <w:t>, 25 July 2018, UN Doc. CEDAW/C/AUS/CO/8</w:t>
      </w:r>
    </w:p>
  </w:footnote>
  <w:footnote w:id="199">
    <w:p w14:paraId="12AB3F8C" w14:textId="1BDABA0D" w:rsidR="00D1282E" w:rsidRPr="00D25EB8" w:rsidRDefault="00D1282E" w:rsidP="00D25EB8">
      <w:pPr>
        <w:pStyle w:val="FootnoteText"/>
        <w:spacing w:after="0" w:line="240" w:lineRule="auto"/>
        <w:jc w:val="left"/>
        <w:rPr>
          <w:rFonts w:ascii="Avenir Roman" w:hAnsi="Avenir Roman"/>
          <w:sz w:val="16"/>
          <w:szCs w:val="16"/>
          <w:lang w:val="en-AU"/>
        </w:rPr>
      </w:pPr>
      <w:r w:rsidRPr="00D25EB8">
        <w:rPr>
          <w:rStyle w:val="FootnoteReference"/>
          <w:rFonts w:ascii="Avenir Roman" w:hAnsi="Avenir Roman"/>
          <w:sz w:val="16"/>
          <w:szCs w:val="16"/>
        </w:rPr>
        <w:footnoteRef/>
      </w:r>
      <w:r w:rsidRPr="00D25EB8">
        <w:rPr>
          <w:rFonts w:ascii="Avenir Roman" w:hAnsi="Avenir Roman"/>
          <w:sz w:val="16"/>
          <w:szCs w:val="16"/>
        </w:rPr>
        <w:t xml:space="preserve"> </w:t>
      </w:r>
      <w:r w:rsidRPr="00D25EB8">
        <w:rPr>
          <w:rFonts w:ascii="Avenir Roman" w:hAnsi="Avenir Roman" w:cs="Calibri Light"/>
          <w:sz w:val="16"/>
          <w:szCs w:val="16"/>
        </w:rPr>
        <w:t xml:space="preserve">Committee on the Rights of the Child, Consideration of reports submitted by States parties under article 44 of the Convention, </w:t>
      </w:r>
      <w:hyperlink r:id="rId107" w:history="1">
        <w:r w:rsidRPr="00D25EB8">
          <w:rPr>
            <w:rStyle w:val="Hyperlink"/>
            <w:rFonts w:ascii="Avenir Roman" w:hAnsi="Avenir Roman" w:cs="Calibri Light"/>
            <w:sz w:val="16"/>
            <w:szCs w:val="16"/>
          </w:rPr>
          <w:t>Concluding observations: Australia</w:t>
        </w:r>
      </w:hyperlink>
      <w:r w:rsidRPr="00D25EB8">
        <w:rPr>
          <w:rFonts w:ascii="Avenir Roman" w:hAnsi="Avenir Roman" w:cs="Calibri Light"/>
          <w:sz w:val="16"/>
          <w:szCs w:val="16"/>
        </w:rPr>
        <w:t>, 1 November 2019, UN Doc. CRC/C/AUS/CO/5-6.</w:t>
      </w:r>
    </w:p>
  </w:footnote>
  <w:footnote w:id="200">
    <w:p w14:paraId="2A063201" w14:textId="40A670E0" w:rsidR="00D368FC" w:rsidRPr="00D368FC" w:rsidRDefault="00D368FC" w:rsidP="00D25EB8">
      <w:pPr>
        <w:pStyle w:val="FootnoteText"/>
        <w:spacing w:after="0" w:line="240" w:lineRule="auto"/>
        <w:jc w:val="left"/>
        <w:rPr>
          <w:lang w:val="en-AU"/>
        </w:rPr>
      </w:pPr>
      <w:r w:rsidRPr="00D25EB8">
        <w:rPr>
          <w:rStyle w:val="FootnoteReference"/>
          <w:rFonts w:ascii="Avenir Roman" w:hAnsi="Avenir Roman"/>
          <w:sz w:val="16"/>
          <w:szCs w:val="16"/>
        </w:rPr>
        <w:footnoteRef/>
      </w:r>
      <w:r w:rsidRPr="00D25EB8">
        <w:rPr>
          <w:rFonts w:ascii="Avenir Roman" w:hAnsi="Avenir Roman"/>
          <w:sz w:val="16"/>
          <w:szCs w:val="16"/>
        </w:rPr>
        <w:t xml:space="preserve"> </w:t>
      </w:r>
      <w:r w:rsidRPr="00D25EB8">
        <w:rPr>
          <w:rFonts w:ascii="Avenir Roman" w:hAnsi="Avenir Roman" w:cstheme="majorHAnsi"/>
          <w:sz w:val="16"/>
          <w:szCs w:val="16"/>
        </w:rPr>
        <w:t xml:space="preserve">Committee on the Rights of Persons with Disabilities (2019) </w:t>
      </w:r>
      <w:hyperlink r:id="rId108" w:history="1">
        <w:r w:rsidRPr="00D25EB8">
          <w:rPr>
            <w:rStyle w:val="Hyperlink"/>
            <w:rFonts w:ascii="Avenir Roman" w:hAnsi="Avenir Roman" w:cstheme="majorHAnsi"/>
            <w:sz w:val="16"/>
            <w:szCs w:val="16"/>
          </w:rPr>
          <w:t>Concluding observations on the combined second and third periodic reports of Australia</w:t>
        </w:r>
      </w:hyperlink>
      <w:r w:rsidRPr="00D25EB8">
        <w:rPr>
          <w:rFonts w:ascii="Avenir Roman" w:hAnsi="Avenir Roman" w:cstheme="majorHAnsi"/>
          <w:sz w:val="16"/>
          <w:szCs w:val="16"/>
        </w:rPr>
        <w:t>, adopted by the Committee at its 511</w:t>
      </w:r>
      <w:r w:rsidRPr="00D25EB8">
        <w:rPr>
          <w:rFonts w:ascii="Avenir Roman" w:hAnsi="Avenir Roman" w:cstheme="majorHAnsi"/>
          <w:sz w:val="16"/>
          <w:szCs w:val="16"/>
          <w:vertAlign w:val="superscript"/>
        </w:rPr>
        <w:t>th</w:t>
      </w:r>
      <w:r w:rsidRPr="00D25EB8">
        <w:rPr>
          <w:rFonts w:ascii="Avenir Roman" w:hAnsi="Avenir Roman" w:cstheme="majorHAnsi"/>
          <w:sz w:val="16"/>
          <w:szCs w:val="16"/>
        </w:rPr>
        <w:t xml:space="preserve"> meeting (20 September 2019) of the 22</w:t>
      </w:r>
      <w:r w:rsidRPr="00D25EB8">
        <w:rPr>
          <w:rFonts w:ascii="Avenir Roman" w:hAnsi="Avenir Roman" w:cstheme="majorHAnsi"/>
          <w:sz w:val="16"/>
          <w:szCs w:val="16"/>
          <w:vertAlign w:val="superscript"/>
        </w:rPr>
        <w:t>nd</w:t>
      </w:r>
      <w:r w:rsidRPr="00D25EB8">
        <w:rPr>
          <w:rFonts w:ascii="Avenir Roman" w:hAnsi="Avenir Roman" w:cstheme="majorHAnsi"/>
          <w:sz w:val="16"/>
          <w:szCs w:val="16"/>
        </w:rPr>
        <w:t xml:space="preserve"> session; UN Doc. CRPD/C/AUS/CO/2-3.</w:t>
      </w:r>
    </w:p>
  </w:footnote>
  <w:footnote w:id="201">
    <w:p w14:paraId="7052C013" w14:textId="5E44CEFC" w:rsidR="00D368FC" w:rsidRPr="00D25EB8" w:rsidRDefault="00D368FC" w:rsidP="00D25EB8">
      <w:pPr>
        <w:pStyle w:val="FootnoteText"/>
        <w:spacing w:after="0" w:line="240" w:lineRule="auto"/>
        <w:jc w:val="left"/>
        <w:rPr>
          <w:rFonts w:ascii="Avenir Roman" w:hAnsi="Avenir Roman"/>
          <w:sz w:val="16"/>
          <w:szCs w:val="16"/>
          <w:lang w:val="en-AU"/>
        </w:rPr>
      </w:pPr>
      <w:r w:rsidRPr="00D25EB8">
        <w:rPr>
          <w:rStyle w:val="FootnoteReference"/>
          <w:rFonts w:ascii="Avenir Roman" w:hAnsi="Avenir Roman"/>
          <w:sz w:val="16"/>
          <w:szCs w:val="16"/>
        </w:rPr>
        <w:footnoteRef/>
      </w:r>
      <w:r w:rsidRPr="00D25EB8">
        <w:rPr>
          <w:rFonts w:ascii="Avenir Roman" w:hAnsi="Avenir Roman"/>
          <w:sz w:val="16"/>
          <w:szCs w:val="16"/>
        </w:rPr>
        <w:t xml:space="preserve"> </w:t>
      </w:r>
      <w:r w:rsidRPr="00D25EB8">
        <w:rPr>
          <w:rFonts w:ascii="Avenir Roman" w:hAnsi="Avenir Roman" w:cs="Calibri Light"/>
          <w:sz w:val="16"/>
          <w:szCs w:val="16"/>
        </w:rPr>
        <w:t xml:space="preserve">Committee on the Elimination of Discrimination against Women </w:t>
      </w:r>
      <w:hyperlink r:id="rId109" w:history="1">
        <w:r w:rsidRPr="00D25EB8">
          <w:rPr>
            <w:rStyle w:val="Hyperlink"/>
            <w:rFonts w:ascii="Avenir Roman" w:hAnsi="Avenir Roman" w:cs="Calibri Light"/>
            <w:sz w:val="16"/>
            <w:szCs w:val="16"/>
          </w:rPr>
          <w:t>Concluding observations on the eighth periodic report of Australia</w:t>
        </w:r>
      </w:hyperlink>
      <w:r w:rsidRPr="00D25EB8">
        <w:rPr>
          <w:rFonts w:ascii="Avenir Roman" w:hAnsi="Avenir Roman" w:cs="Calibri Light"/>
          <w:sz w:val="16"/>
          <w:szCs w:val="16"/>
        </w:rPr>
        <w:t>, 25 July 2018, UN Doc. CEDAW/C/AUS/CO/8.</w:t>
      </w:r>
    </w:p>
  </w:footnote>
  <w:footnote w:id="202">
    <w:p w14:paraId="72DA3CD7" w14:textId="1B169AD5" w:rsidR="00D368FC" w:rsidRPr="00D25EB8" w:rsidRDefault="00D368FC" w:rsidP="00D25EB8">
      <w:pPr>
        <w:pStyle w:val="FootnoteText"/>
        <w:spacing w:after="0" w:line="240" w:lineRule="auto"/>
        <w:jc w:val="left"/>
        <w:rPr>
          <w:rFonts w:ascii="Avenir Roman" w:hAnsi="Avenir Roman"/>
          <w:sz w:val="16"/>
          <w:szCs w:val="16"/>
          <w:lang w:val="en-AU"/>
        </w:rPr>
      </w:pPr>
      <w:r w:rsidRPr="00D25EB8">
        <w:rPr>
          <w:rStyle w:val="FootnoteReference"/>
          <w:rFonts w:ascii="Avenir Roman" w:hAnsi="Avenir Roman"/>
          <w:sz w:val="16"/>
          <w:szCs w:val="16"/>
        </w:rPr>
        <w:footnoteRef/>
      </w:r>
      <w:r w:rsidRPr="00D25EB8">
        <w:rPr>
          <w:rFonts w:ascii="Avenir Roman" w:hAnsi="Avenir Roman"/>
          <w:sz w:val="16"/>
          <w:szCs w:val="16"/>
        </w:rPr>
        <w:t xml:space="preserve"> </w:t>
      </w:r>
      <w:r w:rsidRPr="00D25EB8">
        <w:rPr>
          <w:rFonts w:ascii="Avenir Roman" w:hAnsi="Avenir Roman" w:cs="Calibri Light"/>
          <w:sz w:val="16"/>
          <w:szCs w:val="16"/>
        </w:rPr>
        <w:t xml:space="preserve">Committee on the Rights of the Child, Consideration of reports submitted by States parties under article 44 of the Convention, </w:t>
      </w:r>
      <w:hyperlink r:id="rId110" w:history="1">
        <w:r w:rsidRPr="00D25EB8">
          <w:rPr>
            <w:rStyle w:val="Hyperlink"/>
            <w:rFonts w:ascii="Avenir Roman" w:hAnsi="Avenir Roman" w:cs="Calibri Light"/>
            <w:sz w:val="16"/>
            <w:szCs w:val="16"/>
          </w:rPr>
          <w:t>Concluding observations: Australia</w:t>
        </w:r>
      </w:hyperlink>
      <w:r w:rsidRPr="00D25EB8">
        <w:rPr>
          <w:rFonts w:ascii="Avenir Roman" w:hAnsi="Avenir Roman" w:cs="Calibri Light"/>
          <w:sz w:val="16"/>
          <w:szCs w:val="16"/>
        </w:rPr>
        <w:t>, 1 November 2019, UN Doc. CRC/C/AUS/CO/5-6.</w:t>
      </w:r>
    </w:p>
  </w:footnote>
  <w:footnote w:id="203">
    <w:p w14:paraId="5234CED8" w14:textId="2E75F317" w:rsidR="00D368FC" w:rsidRPr="00D368FC" w:rsidRDefault="00D368FC" w:rsidP="00D25EB8">
      <w:pPr>
        <w:pStyle w:val="FootnoteText"/>
        <w:spacing w:after="0" w:line="240" w:lineRule="auto"/>
        <w:jc w:val="left"/>
        <w:rPr>
          <w:lang w:val="en-AU"/>
        </w:rPr>
      </w:pPr>
      <w:r w:rsidRPr="00D25EB8">
        <w:rPr>
          <w:rStyle w:val="FootnoteReference"/>
          <w:rFonts w:ascii="Avenir Roman" w:hAnsi="Avenir Roman"/>
          <w:sz w:val="16"/>
          <w:szCs w:val="16"/>
        </w:rPr>
        <w:footnoteRef/>
      </w:r>
      <w:r w:rsidRPr="00D25EB8">
        <w:rPr>
          <w:rFonts w:ascii="Avenir Roman" w:hAnsi="Avenir Roman"/>
          <w:sz w:val="16"/>
          <w:szCs w:val="16"/>
        </w:rPr>
        <w:t xml:space="preserve"> </w:t>
      </w:r>
      <w:r w:rsidRPr="00D25EB8">
        <w:rPr>
          <w:rFonts w:ascii="Avenir Roman" w:hAnsi="Avenir Roman" w:cs="Calibri Light"/>
          <w:sz w:val="16"/>
          <w:szCs w:val="16"/>
        </w:rPr>
        <w:t xml:space="preserve">Committee on Economic, Social and Cultural Rights (2017) </w:t>
      </w:r>
      <w:hyperlink r:id="rId111" w:history="1">
        <w:r w:rsidRPr="00D25EB8">
          <w:rPr>
            <w:rStyle w:val="Hyperlink"/>
            <w:rFonts w:ascii="Avenir Roman" w:hAnsi="Avenir Roman" w:cs="Calibri Light"/>
            <w:sz w:val="16"/>
            <w:szCs w:val="16"/>
          </w:rPr>
          <w:t>Concluding observations on the fifth periodic report of Australia</w:t>
        </w:r>
      </w:hyperlink>
      <w:r w:rsidRPr="00D25EB8">
        <w:rPr>
          <w:rFonts w:ascii="Avenir Roman" w:hAnsi="Avenir Roman" w:cs="Calibri Light"/>
          <w:sz w:val="16"/>
          <w:szCs w:val="16"/>
        </w:rPr>
        <w:t>; 11 July 2017; UN Doc. E/C.12/AUS/CO/5.</w:t>
      </w:r>
    </w:p>
  </w:footnote>
  <w:footnote w:id="204">
    <w:p w14:paraId="689B9970" w14:textId="68FCD57F" w:rsidR="00D1282E" w:rsidRPr="00822F9E" w:rsidRDefault="00D1282E" w:rsidP="00D25EB8">
      <w:pPr>
        <w:pStyle w:val="FootnoteText"/>
        <w:spacing w:after="0" w:line="240" w:lineRule="auto"/>
        <w:jc w:val="left"/>
        <w:rPr>
          <w:rFonts w:ascii="Avenir Roman" w:hAnsi="Avenir Roman" w:cstheme="minorHAnsi"/>
          <w:sz w:val="16"/>
          <w:szCs w:val="16"/>
          <w:lang w:val="en-AU"/>
        </w:rPr>
      </w:pPr>
      <w:r w:rsidRPr="00822F9E">
        <w:rPr>
          <w:rStyle w:val="FootnoteReference"/>
          <w:rFonts w:ascii="Avenir Roman" w:hAnsi="Avenir Roman" w:cstheme="minorHAnsi"/>
          <w:sz w:val="16"/>
          <w:szCs w:val="16"/>
        </w:rPr>
        <w:footnoteRef/>
      </w:r>
      <w:r w:rsidRPr="00822F9E">
        <w:rPr>
          <w:rFonts w:ascii="Avenir Roman" w:hAnsi="Avenir Roman" w:cstheme="minorHAnsi"/>
          <w:sz w:val="16"/>
          <w:szCs w:val="16"/>
        </w:rPr>
        <w:t xml:space="preserve"> Human Rights Committee, International Covenant on Civil and Political Rights, </w:t>
      </w:r>
      <w:hyperlink r:id="rId112" w:history="1">
        <w:r w:rsidRPr="00822F9E">
          <w:rPr>
            <w:rStyle w:val="Hyperlink"/>
            <w:rFonts w:ascii="Avenir Roman" w:hAnsi="Avenir Roman" w:cstheme="minorHAnsi"/>
            <w:sz w:val="16"/>
            <w:szCs w:val="16"/>
          </w:rPr>
          <w:t>Concluding observations on the sixth periodic report of Australia</w:t>
        </w:r>
      </w:hyperlink>
      <w:r w:rsidRPr="00822F9E">
        <w:rPr>
          <w:rFonts w:ascii="Avenir Roman" w:hAnsi="Avenir Roman" w:cstheme="minorHAnsi"/>
          <w:sz w:val="16"/>
          <w:szCs w:val="16"/>
        </w:rPr>
        <w:t>; 1 December 2017, UN Doc CCPR/C/AUS/CO/6</w:t>
      </w:r>
    </w:p>
  </w:footnote>
  <w:footnote w:id="205">
    <w:p w14:paraId="6EE6EF75" w14:textId="265EAAC5" w:rsidR="00D1282E" w:rsidRPr="000319BA" w:rsidRDefault="00D1282E" w:rsidP="00D25EB8">
      <w:pPr>
        <w:pStyle w:val="FootnoteText"/>
        <w:spacing w:after="0" w:line="240" w:lineRule="auto"/>
        <w:jc w:val="left"/>
        <w:rPr>
          <w:rFonts w:ascii="Avenir Book" w:hAnsi="Avenir Book"/>
          <w:sz w:val="16"/>
          <w:szCs w:val="16"/>
          <w:lang w:val="en-AU"/>
        </w:rPr>
      </w:pPr>
      <w:r w:rsidRPr="00822F9E">
        <w:rPr>
          <w:rStyle w:val="FootnoteReference"/>
          <w:rFonts w:ascii="Avenir Roman" w:hAnsi="Avenir Roman" w:cstheme="minorHAnsi"/>
          <w:sz w:val="16"/>
          <w:szCs w:val="16"/>
        </w:rPr>
        <w:footnoteRef/>
      </w:r>
      <w:r w:rsidRPr="00822F9E">
        <w:rPr>
          <w:rFonts w:ascii="Avenir Roman" w:hAnsi="Avenir Roman" w:cstheme="minorHAnsi"/>
          <w:sz w:val="16"/>
          <w:szCs w:val="16"/>
        </w:rPr>
        <w:t xml:space="preserve"> Committee against Torture, </w:t>
      </w:r>
      <w:hyperlink r:id="rId113" w:history="1">
        <w:r w:rsidRPr="00822F9E">
          <w:rPr>
            <w:rStyle w:val="Hyperlink"/>
            <w:rFonts w:ascii="Avenir Roman" w:hAnsi="Avenir Roman" w:cstheme="minorHAnsi"/>
            <w:sz w:val="16"/>
            <w:szCs w:val="16"/>
          </w:rPr>
          <w:t>Concluding observations on the combined fourth and fifth periodic reports of Australia</w:t>
        </w:r>
      </w:hyperlink>
      <w:r w:rsidRPr="00822F9E">
        <w:rPr>
          <w:rFonts w:ascii="Avenir Roman" w:hAnsi="Avenir Roman" w:cstheme="minorHAnsi"/>
          <w:sz w:val="16"/>
          <w:szCs w:val="16"/>
        </w:rPr>
        <w:t>; 23 December 2014; UN Doc. CAT/C/AUS/CO/4-5.</w:t>
      </w:r>
    </w:p>
  </w:footnote>
  <w:footnote w:id="206">
    <w:p w14:paraId="6CD5E759" w14:textId="451D2DE7" w:rsidR="00200A08" w:rsidRPr="00D25EB8" w:rsidRDefault="00200A08" w:rsidP="00D25EB8">
      <w:pPr>
        <w:pStyle w:val="FootnoteText"/>
        <w:spacing w:after="0" w:line="240" w:lineRule="auto"/>
        <w:jc w:val="left"/>
        <w:rPr>
          <w:rFonts w:ascii="Avenir Roman" w:hAnsi="Avenir Roman"/>
          <w:sz w:val="16"/>
          <w:szCs w:val="16"/>
          <w:lang w:val="en-AU"/>
        </w:rPr>
      </w:pPr>
      <w:r w:rsidRPr="00D25EB8">
        <w:rPr>
          <w:rStyle w:val="FootnoteReference"/>
          <w:rFonts w:ascii="Avenir Roman" w:hAnsi="Avenir Roman"/>
          <w:sz w:val="16"/>
          <w:szCs w:val="16"/>
        </w:rPr>
        <w:footnoteRef/>
      </w:r>
      <w:r w:rsidRPr="00D25EB8">
        <w:rPr>
          <w:rFonts w:ascii="Avenir Roman" w:hAnsi="Avenir Roman"/>
          <w:sz w:val="16"/>
          <w:szCs w:val="16"/>
        </w:rPr>
        <w:t xml:space="preserve"> </w:t>
      </w:r>
      <w:r w:rsidRPr="00D25EB8">
        <w:rPr>
          <w:rFonts w:ascii="Avenir Roman" w:hAnsi="Avenir Roman" w:cstheme="majorHAnsi"/>
          <w:sz w:val="16"/>
          <w:szCs w:val="16"/>
        </w:rPr>
        <w:t xml:space="preserve">Committee on the Rights of Persons with Disabilities (2019) </w:t>
      </w:r>
      <w:hyperlink r:id="rId114" w:history="1">
        <w:r w:rsidRPr="00D25EB8">
          <w:rPr>
            <w:rStyle w:val="Hyperlink"/>
            <w:rFonts w:ascii="Avenir Roman" w:hAnsi="Avenir Roman" w:cstheme="majorHAnsi"/>
            <w:sz w:val="16"/>
            <w:szCs w:val="16"/>
          </w:rPr>
          <w:t>Concluding observations on the combined second and third periodic reports of Australia</w:t>
        </w:r>
      </w:hyperlink>
      <w:r w:rsidRPr="00D25EB8">
        <w:rPr>
          <w:rFonts w:ascii="Avenir Roman" w:hAnsi="Avenir Roman" w:cstheme="majorHAnsi"/>
          <w:sz w:val="16"/>
          <w:szCs w:val="16"/>
        </w:rPr>
        <w:t>, adopted by the Committee at its 511</w:t>
      </w:r>
      <w:r w:rsidRPr="00D25EB8">
        <w:rPr>
          <w:rFonts w:ascii="Avenir Roman" w:hAnsi="Avenir Roman" w:cstheme="majorHAnsi"/>
          <w:sz w:val="16"/>
          <w:szCs w:val="16"/>
          <w:vertAlign w:val="superscript"/>
        </w:rPr>
        <w:t>th</w:t>
      </w:r>
      <w:r w:rsidRPr="00D25EB8">
        <w:rPr>
          <w:rFonts w:ascii="Avenir Roman" w:hAnsi="Avenir Roman" w:cstheme="majorHAnsi"/>
          <w:sz w:val="16"/>
          <w:szCs w:val="16"/>
        </w:rPr>
        <w:t xml:space="preserve"> meeting (20 September 2019) of the 22</w:t>
      </w:r>
      <w:r w:rsidRPr="00D25EB8">
        <w:rPr>
          <w:rFonts w:ascii="Avenir Roman" w:hAnsi="Avenir Roman" w:cstheme="majorHAnsi"/>
          <w:sz w:val="16"/>
          <w:szCs w:val="16"/>
          <w:vertAlign w:val="superscript"/>
        </w:rPr>
        <w:t>nd</w:t>
      </w:r>
      <w:r w:rsidRPr="00D25EB8">
        <w:rPr>
          <w:rFonts w:ascii="Avenir Roman" w:hAnsi="Avenir Roman" w:cstheme="majorHAnsi"/>
          <w:sz w:val="16"/>
          <w:szCs w:val="16"/>
        </w:rPr>
        <w:t xml:space="preserve"> session; UN Doc. CRPD/C/AUS/CO/2-3.</w:t>
      </w:r>
    </w:p>
  </w:footnote>
  <w:footnote w:id="207">
    <w:p w14:paraId="451A3E79" w14:textId="12B811FF" w:rsidR="00200A08" w:rsidRPr="00D25EB8" w:rsidRDefault="00200A08" w:rsidP="00D25EB8">
      <w:pPr>
        <w:pStyle w:val="FootnoteText"/>
        <w:spacing w:after="0" w:line="240" w:lineRule="auto"/>
        <w:jc w:val="left"/>
        <w:rPr>
          <w:rFonts w:ascii="Avenir Roman" w:hAnsi="Avenir Roman"/>
          <w:sz w:val="16"/>
          <w:szCs w:val="16"/>
          <w:lang w:val="en-AU"/>
        </w:rPr>
      </w:pPr>
      <w:r w:rsidRPr="00D25EB8">
        <w:rPr>
          <w:rStyle w:val="FootnoteReference"/>
          <w:rFonts w:ascii="Avenir Roman" w:hAnsi="Avenir Roman"/>
          <w:sz w:val="16"/>
          <w:szCs w:val="16"/>
        </w:rPr>
        <w:footnoteRef/>
      </w:r>
      <w:r w:rsidRPr="00D25EB8">
        <w:rPr>
          <w:rFonts w:ascii="Avenir Roman" w:hAnsi="Avenir Roman"/>
          <w:sz w:val="16"/>
          <w:szCs w:val="16"/>
        </w:rPr>
        <w:t xml:space="preserve"> </w:t>
      </w:r>
      <w:r w:rsidRPr="00D25EB8">
        <w:rPr>
          <w:rFonts w:ascii="Avenir Roman" w:hAnsi="Avenir Roman" w:cs="Calibri Light"/>
          <w:sz w:val="16"/>
          <w:szCs w:val="16"/>
        </w:rPr>
        <w:t xml:space="preserve">Committee on the Elimination of Discrimination against Women </w:t>
      </w:r>
      <w:hyperlink r:id="rId115" w:history="1">
        <w:r w:rsidRPr="00D25EB8">
          <w:rPr>
            <w:rStyle w:val="Hyperlink"/>
            <w:rFonts w:ascii="Avenir Roman" w:hAnsi="Avenir Roman" w:cs="Calibri Light"/>
            <w:sz w:val="16"/>
            <w:szCs w:val="16"/>
          </w:rPr>
          <w:t>Concluding observations on the eighth periodic report of Australia</w:t>
        </w:r>
      </w:hyperlink>
      <w:r w:rsidRPr="00D25EB8">
        <w:rPr>
          <w:rFonts w:ascii="Avenir Roman" w:hAnsi="Avenir Roman" w:cs="Calibri Light"/>
          <w:sz w:val="16"/>
          <w:szCs w:val="16"/>
        </w:rPr>
        <w:t>, 25 July 2018, UN Doc. CEDAW/C/AUS/CO/8.</w:t>
      </w:r>
    </w:p>
  </w:footnote>
  <w:footnote w:id="208">
    <w:p w14:paraId="6DDD831F" w14:textId="56CBA9FA" w:rsidR="00D368FC" w:rsidRPr="00D368FC" w:rsidRDefault="00D368FC" w:rsidP="00D25EB8">
      <w:pPr>
        <w:pStyle w:val="FootnoteText"/>
        <w:spacing w:after="0" w:line="240" w:lineRule="auto"/>
        <w:jc w:val="left"/>
        <w:rPr>
          <w:lang w:val="en-AU"/>
        </w:rPr>
      </w:pPr>
      <w:r w:rsidRPr="00D25EB8">
        <w:rPr>
          <w:rStyle w:val="FootnoteReference"/>
          <w:rFonts w:ascii="Avenir Roman" w:hAnsi="Avenir Roman"/>
          <w:sz w:val="16"/>
          <w:szCs w:val="16"/>
        </w:rPr>
        <w:footnoteRef/>
      </w:r>
      <w:r w:rsidRPr="00D25EB8">
        <w:rPr>
          <w:rFonts w:ascii="Avenir Roman" w:hAnsi="Avenir Roman"/>
          <w:sz w:val="16"/>
          <w:szCs w:val="16"/>
        </w:rPr>
        <w:t xml:space="preserve"> </w:t>
      </w:r>
      <w:r w:rsidRPr="00D25EB8">
        <w:rPr>
          <w:rFonts w:ascii="Avenir Roman" w:hAnsi="Avenir Roman" w:cs="Calibri Light"/>
          <w:sz w:val="16"/>
          <w:szCs w:val="16"/>
        </w:rPr>
        <w:t xml:space="preserve">Committee on the Rights of the Child, Consideration of reports submitted by States parties under article 44 of the Convention, </w:t>
      </w:r>
      <w:hyperlink r:id="rId116" w:history="1">
        <w:r w:rsidRPr="00D25EB8">
          <w:rPr>
            <w:rStyle w:val="Hyperlink"/>
            <w:rFonts w:ascii="Avenir Roman" w:hAnsi="Avenir Roman" w:cs="Calibri Light"/>
            <w:sz w:val="16"/>
            <w:szCs w:val="16"/>
          </w:rPr>
          <w:t>Concluding observations: Australia</w:t>
        </w:r>
      </w:hyperlink>
      <w:r w:rsidRPr="00D25EB8">
        <w:rPr>
          <w:rFonts w:ascii="Avenir Roman" w:hAnsi="Avenir Roman" w:cs="Calibri Light"/>
          <w:sz w:val="16"/>
          <w:szCs w:val="16"/>
        </w:rPr>
        <w:t>, 1 November 2019, UN Doc. CRC/C/AUS/CO/5-6.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070"/>
    <w:multiLevelType w:val="multilevel"/>
    <w:tmpl w:val="C7164C86"/>
    <w:lvl w:ilvl="0">
      <w:start w:val="2"/>
      <w:numFmt w:val="decimal"/>
      <w:lvlText w:val="%1"/>
      <w:lvlJc w:val="left"/>
      <w:pPr>
        <w:ind w:left="360" w:hanging="360"/>
      </w:pPr>
      <w:rPr>
        <w:rFonts w:cstheme="minorBidi" w:hint="default"/>
      </w:rPr>
    </w:lvl>
    <w:lvl w:ilvl="1">
      <w:start w:val="1"/>
      <w:numFmt w:val="decimal"/>
      <w:lvlText w:val="%1.%2"/>
      <w:lvlJc w:val="left"/>
      <w:pPr>
        <w:ind w:left="1353" w:hanging="360"/>
      </w:pPr>
      <w:rPr>
        <w:rFonts w:cstheme="minorBidi" w:hint="default"/>
      </w:rPr>
    </w:lvl>
    <w:lvl w:ilvl="2">
      <w:start w:val="1"/>
      <w:numFmt w:val="decimal"/>
      <w:lvlText w:val="%1.%2.%3"/>
      <w:lvlJc w:val="left"/>
      <w:pPr>
        <w:ind w:left="2706" w:hanging="720"/>
      </w:pPr>
      <w:rPr>
        <w:rFonts w:cstheme="minorBidi" w:hint="default"/>
      </w:rPr>
    </w:lvl>
    <w:lvl w:ilvl="3">
      <w:start w:val="1"/>
      <w:numFmt w:val="decimal"/>
      <w:lvlText w:val="%1.%2.%3.%4"/>
      <w:lvlJc w:val="left"/>
      <w:pPr>
        <w:ind w:left="3699" w:hanging="720"/>
      </w:pPr>
      <w:rPr>
        <w:rFonts w:cstheme="minorBidi" w:hint="default"/>
      </w:rPr>
    </w:lvl>
    <w:lvl w:ilvl="4">
      <w:start w:val="1"/>
      <w:numFmt w:val="decimal"/>
      <w:lvlText w:val="%1.%2.%3.%4.%5"/>
      <w:lvlJc w:val="left"/>
      <w:pPr>
        <w:ind w:left="5052" w:hanging="1080"/>
      </w:pPr>
      <w:rPr>
        <w:rFonts w:cstheme="minorBidi" w:hint="default"/>
      </w:rPr>
    </w:lvl>
    <w:lvl w:ilvl="5">
      <w:start w:val="1"/>
      <w:numFmt w:val="decimal"/>
      <w:lvlText w:val="%1.%2.%3.%4.%5.%6"/>
      <w:lvlJc w:val="left"/>
      <w:pPr>
        <w:ind w:left="6045" w:hanging="1080"/>
      </w:pPr>
      <w:rPr>
        <w:rFonts w:cstheme="minorBidi" w:hint="default"/>
      </w:rPr>
    </w:lvl>
    <w:lvl w:ilvl="6">
      <w:start w:val="1"/>
      <w:numFmt w:val="decimal"/>
      <w:lvlText w:val="%1.%2.%3.%4.%5.%6.%7"/>
      <w:lvlJc w:val="left"/>
      <w:pPr>
        <w:ind w:left="7398" w:hanging="1440"/>
      </w:pPr>
      <w:rPr>
        <w:rFonts w:cstheme="minorBidi" w:hint="default"/>
      </w:rPr>
    </w:lvl>
    <w:lvl w:ilvl="7">
      <w:start w:val="1"/>
      <w:numFmt w:val="decimal"/>
      <w:lvlText w:val="%1.%2.%3.%4.%5.%6.%7.%8"/>
      <w:lvlJc w:val="left"/>
      <w:pPr>
        <w:ind w:left="8391" w:hanging="1440"/>
      </w:pPr>
      <w:rPr>
        <w:rFonts w:cstheme="minorBidi" w:hint="default"/>
      </w:rPr>
    </w:lvl>
    <w:lvl w:ilvl="8">
      <w:start w:val="1"/>
      <w:numFmt w:val="decimal"/>
      <w:lvlText w:val="%1.%2.%3.%4.%5.%6.%7.%8.%9"/>
      <w:lvlJc w:val="left"/>
      <w:pPr>
        <w:ind w:left="9744" w:hanging="1800"/>
      </w:pPr>
      <w:rPr>
        <w:rFonts w:cstheme="minorBidi" w:hint="default"/>
      </w:rPr>
    </w:lvl>
  </w:abstractNum>
  <w:abstractNum w:abstractNumId="1" w15:restartNumberingAfterBreak="0">
    <w:nsid w:val="066C11E6"/>
    <w:multiLevelType w:val="hybridMultilevel"/>
    <w:tmpl w:val="A29A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C61C0"/>
    <w:multiLevelType w:val="hybridMultilevel"/>
    <w:tmpl w:val="BC4670E2"/>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D792B"/>
    <w:multiLevelType w:val="hybridMultilevel"/>
    <w:tmpl w:val="664288E6"/>
    <w:lvl w:ilvl="0" w:tplc="04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 w15:restartNumberingAfterBreak="0">
    <w:nsid w:val="14AB0E15"/>
    <w:multiLevelType w:val="hybridMultilevel"/>
    <w:tmpl w:val="D554779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161F6214"/>
    <w:multiLevelType w:val="multilevel"/>
    <w:tmpl w:val="B9D46F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21252E"/>
    <w:multiLevelType w:val="hybridMultilevel"/>
    <w:tmpl w:val="F912E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C402E"/>
    <w:multiLevelType w:val="multilevel"/>
    <w:tmpl w:val="89225A5E"/>
    <w:lvl w:ilvl="0">
      <w:start w:val="1"/>
      <w:numFmt w:val="decimal"/>
      <w:pStyle w:val="HRLCHeading1"/>
      <w:lvlText w:val="%1."/>
      <w:lvlJc w:val="left"/>
      <w:pPr>
        <w:tabs>
          <w:tab w:val="num" w:pos="2269"/>
        </w:tabs>
        <w:ind w:left="226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rPr>
        <w:b/>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8" w15:restartNumberingAfterBreak="0">
    <w:nsid w:val="19672B02"/>
    <w:multiLevelType w:val="hybridMultilevel"/>
    <w:tmpl w:val="2DAA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16D02"/>
    <w:multiLevelType w:val="multilevel"/>
    <w:tmpl w:val="7A1CFFC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D807610"/>
    <w:multiLevelType w:val="hybridMultilevel"/>
    <w:tmpl w:val="3250B0EA"/>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1E3347EE"/>
    <w:multiLevelType w:val="multilevel"/>
    <w:tmpl w:val="2FEE0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5A1458"/>
    <w:multiLevelType w:val="hybridMultilevel"/>
    <w:tmpl w:val="5A4C8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51634"/>
    <w:multiLevelType w:val="hybridMultilevel"/>
    <w:tmpl w:val="E40417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26A3D"/>
    <w:multiLevelType w:val="hybridMultilevel"/>
    <w:tmpl w:val="F6A8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A09C5"/>
    <w:multiLevelType w:val="hybridMultilevel"/>
    <w:tmpl w:val="F73C730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23B75C76"/>
    <w:multiLevelType w:val="hybridMultilevel"/>
    <w:tmpl w:val="083C2F40"/>
    <w:lvl w:ilvl="0" w:tplc="74487E3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26E736EE"/>
    <w:multiLevelType w:val="hybridMultilevel"/>
    <w:tmpl w:val="7DA6D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E0375"/>
    <w:multiLevelType w:val="hybridMultilevel"/>
    <w:tmpl w:val="937C78A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50B20"/>
    <w:multiLevelType w:val="multilevel"/>
    <w:tmpl w:val="113ED3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044DB0"/>
    <w:multiLevelType w:val="hybridMultilevel"/>
    <w:tmpl w:val="18283A5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1" w15:restartNumberingAfterBreak="0">
    <w:nsid w:val="3CBE02B1"/>
    <w:multiLevelType w:val="hybridMultilevel"/>
    <w:tmpl w:val="C7967E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52F91"/>
    <w:multiLevelType w:val="hybridMultilevel"/>
    <w:tmpl w:val="0772F496"/>
    <w:lvl w:ilvl="0" w:tplc="04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3" w15:restartNumberingAfterBreak="0">
    <w:nsid w:val="4B5B3231"/>
    <w:multiLevelType w:val="hybridMultilevel"/>
    <w:tmpl w:val="63646F32"/>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BFA013D"/>
    <w:multiLevelType w:val="hybridMultilevel"/>
    <w:tmpl w:val="1656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938CF"/>
    <w:multiLevelType w:val="multilevel"/>
    <w:tmpl w:val="7E60A46A"/>
    <w:lvl w:ilvl="0">
      <w:start w:val="1"/>
      <w:numFmt w:val="decimal"/>
      <w:lvlText w:val="%1."/>
      <w:lvlJc w:val="left"/>
      <w:pPr>
        <w:ind w:left="644"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943994"/>
    <w:multiLevelType w:val="hybridMultilevel"/>
    <w:tmpl w:val="FBAC8C16"/>
    <w:lvl w:ilvl="0" w:tplc="66044212">
      <w:start w:val="2"/>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617FE"/>
    <w:multiLevelType w:val="hybridMultilevel"/>
    <w:tmpl w:val="5AA4A820"/>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C9915DC"/>
    <w:multiLevelType w:val="hybridMultilevel"/>
    <w:tmpl w:val="933C00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77A63"/>
    <w:multiLevelType w:val="hybridMultilevel"/>
    <w:tmpl w:val="FFF26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F1D71"/>
    <w:multiLevelType w:val="hybridMultilevel"/>
    <w:tmpl w:val="7D967688"/>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15:restartNumberingAfterBreak="0">
    <w:nsid w:val="621B03F3"/>
    <w:multiLevelType w:val="hybridMultilevel"/>
    <w:tmpl w:val="3E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03195"/>
    <w:multiLevelType w:val="hybridMultilevel"/>
    <w:tmpl w:val="AE62649E"/>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8845997"/>
    <w:multiLevelType w:val="hybridMultilevel"/>
    <w:tmpl w:val="7DE668D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6A9938BA"/>
    <w:multiLevelType w:val="hybridMultilevel"/>
    <w:tmpl w:val="CA88495A"/>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6CE972EF"/>
    <w:multiLevelType w:val="multilevel"/>
    <w:tmpl w:val="35BA8D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A403E1"/>
    <w:multiLevelType w:val="hybridMultilevel"/>
    <w:tmpl w:val="FA26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717EE8"/>
    <w:multiLevelType w:val="hybridMultilevel"/>
    <w:tmpl w:val="E2DA5586"/>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6903993"/>
    <w:multiLevelType w:val="hybridMultilevel"/>
    <w:tmpl w:val="F16419BE"/>
    <w:lvl w:ilvl="0" w:tplc="04090005">
      <w:start w:val="1"/>
      <w:numFmt w:val="bullet"/>
      <w:lvlText w:val=""/>
      <w:lvlJc w:val="left"/>
      <w:pPr>
        <w:ind w:left="1761" w:hanging="360"/>
      </w:pPr>
      <w:rPr>
        <w:rFonts w:ascii="Wingdings" w:hAnsi="Wingdings"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15:restartNumberingAfterBreak="0">
    <w:nsid w:val="788C6BB3"/>
    <w:multiLevelType w:val="hybridMultilevel"/>
    <w:tmpl w:val="F3B0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E03D3"/>
    <w:multiLevelType w:val="hybridMultilevel"/>
    <w:tmpl w:val="17706C36"/>
    <w:lvl w:ilvl="0" w:tplc="04090001">
      <w:start w:val="1"/>
      <w:numFmt w:val="bullet"/>
      <w:lvlText w:val=""/>
      <w:lvlJc w:val="left"/>
      <w:pPr>
        <w:ind w:left="1761" w:hanging="360"/>
      </w:pPr>
      <w:rPr>
        <w:rFonts w:ascii="Symbol" w:hAnsi="Symbol" w:hint="default"/>
      </w:rPr>
    </w:lvl>
    <w:lvl w:ilvl="1" w:tplc="04090003" w:tentative="1">
      <w:start w:val="1"/>
      <w:numFmt w:val="bullet"/>
      <w:lvlText w:val="o"/>
      <w:lvlJc w:val="left"/>
      <w:pPr>
        <w:ind w:left="2481" w:hanging="360"/>
      </w:pPr>
      <w:rPr>
        <w:rFonts w:ascii="Courier New" w:hAnsi="Courier New" w:cs="Courier New" w:hint="default"/>
      </w:rPr>
    </w:lvl>
    <w:lvl w:ilvl="2" w:tplc="04090005" w:tentative="1">
      <w:start w:val="1"/>
      <w:numFmt w:val="bullet"/>
      <w:lvlText w:val=""/>
      <w:lvlJc w:val="left"/>
      <w:pPr>
        <w:ind w:left="3201" w:hanging="360"/>
      </w:pPr>
      <w:rPr>
        <w:rFonts w:ascii="Wingdings" w:hAnsi="Wingdings" w:hint="default"/>
      </w:rPr>
    </w:lvl>
    <w:lvl w:ilvl="3" w:tplc="04090001" w:tentative="1">
      <w:start w:val="1"/>
      <w:numFmt w:val="bullet"/>
      <w:lvlText w:val=""/>
      <w:lvlJc w:val="left"/>
      <w:pPr>
        <w:ind w:left="3921" w:hanging="360"/>
      </w:pPr>
      <w:rPr>
        <w:rFonts w:ascii="Symbol" w:hAnsi="Symbol" w:hint="default"/>
      </w:rPr>
    </w:lvl>
    <w:lvl w:ilvl="4" w:tplc="04090003" w:tentative="1">
      <w:start w:val="1"/>
      <w:numFmt w:val="bullet"/>
      <w:lvlText w:val="o"/>
      <w:lvlJc w:val="left"/>
      <w:pPr>
        <w:ind w:left="4641" w:hanging="360"/>
      </w:pPr>
      <w:rPr>
        <w:rFonts w:ascii="Courier New" w:hAnsi="Courier New" w:cs="Courier New" w:hint="default"/>
      </w:rPr>
    </w:lvl>
    <w:lvl w:ilvl="5" w:tplc="04090005" w:tentative="1">
      <w:start w:val="1"/>
      <w:numFmt w:val="bullet"/>
      <w:lvlText w:val=""/>
      <w:lvlJc w:val="left"/>
      <w:pPr>
        <w:ind w:left="5361" w:hanging="360"/>
      </w:pPr>
      <w:rPr>
        <w:rFonts w:ascii="Wingdings" w:hAnsi="Wingdings" w:hint="default"/>
      </w:rPr>
    </w:lvl>
    <w:lvl w:ilvl="6" w:tplc="04090001" w:tentative="1">
      <w:start w:val="1"/>
      <w:numFmt w:val="bullet"/>
      <w:lvlText w:val=""/>
      <w:lvlJc w:val="left"/>
      <w:pPr>
        <w:ind w:left="6081" w:hanging="360"/>
      </w:pPr>
      <w:rPr>
        <w:rFonts w:ascii="Symbol" w:hAnsi="Symbol" w:hint="default"/>
      </w:rPr>
    </w:lvl>
    <w:lvl w:ilvl="7" w:tplc="04090003" w:tentative="1">
      <w:start w:val="1"/>
      <w:numFmt w:val="bullet"/>
      <w:lvlText w:val="o"/>
      <w:lvlJc w:val="left"/>
      <w:pPr>
        <w:ind w:left="6801" w:hanging="360"/>
      </w:pPr>
      <w:rPr>
        <w:rFonts w:ascii="Courier New" w:hAnsi="Courier New" w:cs="Courier New" w:hint="default"/>
      </w:rPr>
    </w:lvl>
    <w:lvl w:ilvl="8" w:tplc="04090005" w:tentative="1">
      <w:start w:val="1"/>
      <w:numFmt w:val="bullet"/>
      <w:lvlText w:val=""/>
      <w:lvlJc w:val="left"/>
      <w:pPr>
        <w:ind w:left="7521" w:hanging="360"/>
      </w:pPr>
      <w:rPr>
        <w:rFonts w:ascii="Wingdings" w:hAnsi="Wingdings" w:hint="default"/>
      </w:rPr>
    </w:lvl>
  </w:abstractNum>
  <w:abstractNum w:abstractNumId="41" w15:restartNumberingAfterBreak="0">
    <w:nsid w:val="7DC41575"/>
    <w:multiLevelType w:val="hybridMultilevel"/>
    <w:tmpl w:val="DE5E61BE"/>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42" w15:restartNumberingAfterBreak="0">
    <w:nsid w:val="7E037B3F"/>
    <w:multiLevelType w:val="multilevel"/>
    <w:tmpl w:val="FF1C8E9E"/>
    <w:lvl w:ilvl="0">
      <w:start w:val="7"/>
      <w:numFmt w:val="decimal"/>
      <w:lvlText w:val="%1"/>
      <w:lvlJc w:val="left"/>
      <w:pPr>
        <w:ind w:left="360" w:hanging="360"/>
      </w:pPr>
      <w:rPr>
        <w:rFonts w:hint="default"/>
        <w:color w:val="191619"/>
      </w:rPr>
    </w:lvl>
    <w:lvl w:ilvl="1">
      <w:start w:val="1"/>
      <w:numFmt w:val="decimal"/>
      <w:lvlText w:val="%1.%2"/>
      <w:lvlJc w:val="left"/>
      <w:pPr>
        <w:ind w:left="360" w:hanging="360"/>
      </w:pPr>
      <w:rPr>
        <w:rFonts w:hint="default"/>
        <w:color w:val="191619"/>
      </w:rPr>
    </w:lvl>
    <w:lvl w:ilvl="2">
      <w:start w:val="1"/>
      <w:numFmt w:val="decimal"/>
      <w:lvlText w:val="%1.%2.%3"/>
      <w:lvlJc w:val="left"/>
      <w:pPr>
        <w:ind w:left="720" w:hanging="720"/>
      </w:pPr>
      <w:rPr>
        <w:rFonts w:hint="default"/>
        <w:color w:val="191619"/>
      </w:rPr>
    </w:lvl>
    <w:lvl w:ilvl="3">
      <w:start w:val="1"/>
      <w:numFmt w:val="decimal"/>
      <w:lvlText w:val="%1.%2.%3.%4"/>
      <w:lvlJc w:val="left"/>
      <w:pPr>
        <w:ind w:left="720" w:hanging="720"/>
      </w:pPr>
      <w:rPr>
        <w:rFonts w:hint="default"/>
        <w:color w:val="191619"/>
      </w:rPr>
    </w:lvl>
    <w:lvl w:ilvl="4">
      <w:start w:val="1"/>
      <w:numFmt w:val="decimal"/>
      <w:lvlText w:val="%1.%2.%3.%4.%5"/>
      <w:lvlJc w:val="left"/>
      <w:pPr>
        <w:ind w:left="1080" w:hanging="1080"/>
      </w:pPr>
      <w:rPr>
        <w:rFonts w:hint="default"/>
        <w:color w:val="191619"/>
      </w:rPr>
    </w:lvl>
    <w:lvl w:ilvl="5">
      <w:start w:val="1"/>
      <w:numFmt w:val="decimal"/>
      <w:lvlText w:val="%1.%2.%3.%4.%5.%6"/>
      <w:lvlJc w:val="left"/>
      <w:pPr>
        <w:ind w:left="1080" w:hanging="1080"/>
      </w:pPr>
      <w:rPr>
        <w:rFonts w:hint="default"/>
        <w:color w:val="191619"/>
      </w:rPr>
    </w:lvl>
    <w:lvl w:ilvl="6">
      <w:start w:val="1"/>
      <w:numFmt w:val="decimal"/>
      <w:lvlText w:val="%1.%2.%3.%4.%5.%6.%7"/>
      <w:lvlJc w:val="left"/>
      <w:pPr>
        <w:ind w:left="1440" w:hanging="1440"/>
      </w:pPr>
      <w:rPr>
        <w:rFonts w:hint="default"/>
        <w:color w:val="191619"/>
      </w:rPr>
    </w:lvl>
    <w:lvl w:ilvl="7">
      <w:start w:val="1"/>
      <w:numFmt w:val="decimal"/>
      <w:lvlText w:val="%1.%2.%3.%4.%5.%6.%7.%8"/>
      <w:lvlJc w:val="left"/>
      <w:pPr>
        <w:ind w:left="1440" w:hanging="1440"/>
      </w:pPr>
      <w:rPr>
        <w:rFonts w:hint="default"/>
        <w:color w:val="191619"/>
      </w:rPr>
    </w:lvl>
    <w:lvl w:ilvl="8">
      <w:start w:val="1"/>
      <w:numFmt w:val="decimal"/>
      <w:lvlText w:val="%1.%2.%3.%4.%5.%6.%7.%8.%9"/>
      <w:lvlJc w:val="left"/>
      <w:pPr>
        <w:ind w:left="1800" w:hanging="1800"/>
      </w:pPr>
      <w:rPr>
        <w:rFonts w:hint="default"/>
        <w:color w:val="191619"/>
      </w:rPr>
    </w:lvl>
  </w:abstractNum>
  <w:num w:numId="1">
    <w:abstractNumId w:val="7"/>
  </w:num>
  <w:num w:numId="2">
    <w:abstractNumId w:val="25"/>
  </w:num>
  <w:num w:numId="3">
    <w:abstractNumId w:val="1"/>
  </w:num>
  <w:num w:numId="4">
    <w:abstractNumId w:val="14"/>
  </w:num>
  <w:num w:numId="5">
    <w:abstractNumId w:val="41"/>
  </w:num>
  <w:num w:numId="6">
    <w:abstractNumId w:val="26"/>
  </w:num>
  <w:num w:numId="7">
    <w:abstractNumId w:val="0"/>
  </w:num>
  <w:num w:numId="8">
    <w:abstractNumId w:val="17"/>
  </w:num>
  <w:num w:numId="9">
    <w:abstractNumId w:val="30"/>
  </w:num>
  <w:num w:numId="10">
    <w:abstractNumId w:val="2"/>
  </w:num>
  <w:num w:numId="11">
    <w:abstractNumId w:val="38"/>
  </w:num>
  <w:num w:numId="12">
    <w:abstractNumId w:val="39"/>
  </w:num>
  <w:num w:numId="13">
    <w:abstractNumId w:val="24"/>
  </w:num>
  <w:num w:numId="14">
    <w:abstractNumId w:val="10"/>
  </w:num>
  <w:num w:numId="15">
    <w:abstractNumId w:val="35"/>
  </w:num>
  <w:num w:numId="16">
    <w:abstractNumId w:val="5"/>
  </w:num>
  <w:num w:numId="17">
    <w:abstractNumId w:val="16"/>
  </w:num>
  <w:num w:numId="18">
    <w:abstractNumId w:val="36"/>
  </w:num>
  <w:num w:numId="19">
    <w:abstractNumId w:val="20"/>
  </w:num>
  <w:num w:numId="20">
    <w:abstractNumId w:val="9"/>
  </w:num>
  <w:num w:numId="21">
    <w:abstractNumId w:val="4"/>
  </w:num>
  <w:num w:numId="22">
    <w:abstractNumId w:val="11"/>
  </w:num>
  <w:num w:numId="23">
    <w:abstractNumId w:val="42"/>
  </w:num>
  <w:num w:numId="24">
    <w:abstractNumId w:val="40"/>
  </w:num>
  <w:num w:numId="25">
    <w:abstractNumId w:val="12"/>
  </w:num>
  <w:num w:numId="26">
    <w:abstractNumId w:val="29"/>
  </w:num>
  <w:num w:numId="27">
    <w:abstractNumId w:val="6"/>
  </w:num>
  <w:num w:numId="28">
    <w:abstractNumId w:val="15"/>
  </w:num>
  <w:num w:numId="29">
    <w:abstractNumId w:val="33"/>
  </w:num>
  <w:num w:numId="30">
    <w:abstractNumId w:val="31"/>
  </w:num>
  <w:num w:numId="31">
    <w:abstractNumId w:val="19"/>
  </w:num>
  <w:num w:numId="32">
    <w:abstractNumId w:val="8"/>
  </w:num>
  <w:num w:numId="33">
    <w:abstractNumId w:val="23"/>
  </w:num>
  <w:num w:numId="34">
    <w:abstractNumId w:val="34"/>
  </w:num>
  <w:num w:numId="35">
    <w:abstractNumId w:val="32"/>
  </w:num>
  <w:num w:numId="36">
    <w:abstractNumId w:val="37"/>
  </w:num>
  <w:num w:numId="37">
    <w:abstractNumId w:val="27"/>
  </w:num>
  <w:num w:numId="38">
    <w:abstractNumId w:val="18"/>
  </w:num>
  <w:num w:numId="39">
    <w:abstractNumId w:val="3"/>
  </w:num>
  <w:num w:numId="40">
    <w:abstractNumId w:val="21"/>
  </w:num>
  <w:num w:numId="41">
    <w:abstractNumId w:val="22"/>
  </w:num>
  <w:num w:numId="42">
    <w:abstractNumId w:val="28"/>
  </w:num>
  <w:num w:numId="43">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97"/>
    <w:rsid w:val="00000627"/>
    <w:rsid w:val="0000131D"/>
    <w:rsid w:val="000026C8"/>
    <w:rsid w:val="000034E3"/>
    <w:rsid w:val="00003BD0"/>
    <w:rsid w:val="00005F9F"/>
    <w:rsid w:val="00011212"/>
    <w:rsid w:val="0001220E"/>
    <w:rsid w:val="00012237"/>
    <w:rsid w:val="00012AF4"/>
    <w:rsid w:val="0001309C"/>
    <w:rsid w:val="0001508F"/>
    <w:rsid w:val="0001598F"/>
    <w:rsid w:val="00016C02"/>
    <w:rsid w:val="000176A4"/>
    <w:rsid w:val="000176EC"/>
    <w:rsid w:val="000200A5"/>
    <w:rsid w:val="00020C84"/>
    <w:rsid w:val="00021290"/>
    <w:rsid w:val="00021936"/>
    <w:rsid w:val="000225DD"/>
    <w:rsid w:val="000233A0"/>
    <w:rsid w:val="00023850"/>
    <w:rsid w:val="00023F30"/>
    <w:rsid w:val="0002448D"/>
    <w:rsid w:val="00024C26"/>
    <w:rsid w:val="000252F1"/>
    <w:rsid w:val="00025CDD"/>
    <w:rsid w:val="00026695"/>
    <w:rsid w:val="0002695D"/>
    <w:rsid w:val="00027433"/>
    <w:rsid w:val="000275CB"/>
    <w:rsid w:val="00027C8F"/>
    <w:rsid w:val="000319BA"/>
    <w:rsid w:val="00031B89"/>
    <w:rsid w:val="000358C1"/>
    <w:rsid w:val="00035B57"/>
    <w:rsid w:val="00035DE0"/>
    <w:rsid w:val="00036515"/>
    <w:rsid w:val="000367C6"/>
    <w:rsid w:val="00036A5B"/>
    <w:rsid w:val="00036CC7"/>
    <w:rsid w:val="00036E7D"/>
    <w:rsid w:val="000372F7"/>
    <w:rsid w:val="00040453"/>
    <w:rsid w:val="00040891"/>
    <w:rsid w:val="000422E8"/>
    <w:rsid w:val="000436BC"/>
    <w:rsid w:val="000437DC"/>
    <w:rsid w:val="00046A85"/>
    <w:rsid w:val="000479F2"/>
    <w:rsid w:val="00047DA9"/>
    <w:rsid w:val="000505F4"/>
    <w:rsid w:val="0005151A"/>
    <w:rsid w:val="0005244C"/>
    <w:rsid w:val="0005254A"/>
    <w:rsid w:val="000526E1"/>
    <w:rsid w:val="00053695"/>
    <w:rsid w:val="00055F45"/>
    <w:rsid w:val="0005606B"/>
    <w:rsid w:val="00056E15"/>
    <w:rsid w:val="00060706"/>
    <w:rsid w:val="000609AD"/>
    <w:rsid w:val="00061494"/>
    <w:rsid w:val="00061CD8"/>
    <w:rsid w:val="000626F7"/>
    <w:rsid w:val="00062B74"/>
    <w:rsid w:val="00063010"/>
    <w:rsid w:val="00063AD4"/>
    <w:rsid w:val="00064D97"/>
    <w:rsid w:val="00066509"/>
    <w:rsid w:val="000709B9"/>
    <w:rsid w:val="00072C47"/>
    <w:rsid w:val="00073B1B"/>
    <w:rsid w:val="00073B51"/>
    <w:rsid w:val="00074692"/>
    <w:rsid w:val="00076046"/>
    <w:rsid w:val="000769F1"/>
    <w:rsid w:val="000770B6"/>
    <w:rsid w:val="00077F87"/>
    <w:rsid w:val="00082D97"/>
    <w:rsid w:val="000840B9"/>
    <w:rsid w:val="0008505B"/>
    <w:rsid w:val="0008511C"/>
    <w:rsid w:val="00085613"/>
    <w:rsid w:val="00087D92"/>
    <w:rsid w:val="00091E78"/>
    <w:rsid w:val="0009394D"/>
    <w:rsid w:val="000945FC"/>
    <w:rsid w:val="000A02AF"/>
    <w:rsid w:val="000A091F"/>
    <w:rsid w:val="000A1C53"/>
    <w:rsid w:val="000A43B0"/>
    <w:rsid w:val="000A6063"/>
    <w:rsid w:val="000A704A"/>
    <w:rsid w:val="000A729F"/>
    <w:rsid w:val="000A7510"/>
    <w:rsid w:val="000B14A3"/>
    <w:rsid w:val="000B2A36"/>
    <w:rsid w:val="000B33F6"/>
    <w:rsid w:val="000B385A"/>
    <w:rsid w:val="000B42B4"/>
    <w:rsid w:val="000B5643"/>
    <w:rsid w:val="000B58C7"/>
    <w:rsid w:val="000B5BD0"/>
    <w:rsid w:val="000B66F8"/>
    <w:rsid w:val="000B7AA3"/>
    <w:rsid w:val="000C04C8"/>
    <w:rsid w:val="000C2E24"/>
    <w:rsid w:val="000C349A"/>
    <w:rsid w:val="000C4F2E"/>
    <w:rsid w:val="000C6228"/>
    <w:rsid w:val="000C6712"/>
    <w:rsid w:val="000C6CCC"/>
    <w:rsid w:val="000D21F6"/>
    <w:rsid w:val="000D3698"/>
    <w:rsid w:val="000D3E55"/>
    <w:rsid w:val="000D5372"/>
    <w:rsid w:val="000D7C0F"/>
    <w:rsid w:val="000E0596"/>
    <w:rsid w:val="000E19F8"/>
    <w:rsid w:val="000E2276"/>
    <w:rsid w:val="000E27EB"/>
    <w:rsid w:val="000E2E5D"/>
    <w:rsid w:val="000E3188"/>
    <w:rsid w:val="000E3ED7"/>
    <w:rsid w:val="000E3F34"/>
    <w:rsid w:val="000E4092"/>
    <w:rsid w:val="000E657D"/>
    <w:rsid w:val="000E71C2"/>
    <w:rsid w:val="000E759A"/>
    <w:rsid w:val="000E7E95"/>
    <w:rsid w:val="000F024C"/>
    <w:rsid w:val="000F0464"/>
    <w:rsid w:val="000F10FA"/>
    <w:rsid w:val="000F3120"/>
    <w:rsid w:val="000F4812"/>
    <w:rsid w:val="000F69F6"/>
    <w:rsid w:val="00100579"/>
    <w:rsid w:val="00102EB7"/>
    <w:rsid w:val="00104231"/>
    <w:rsid w:val="00104730"/>
    <w:rsid w:val="001052B0"/>
    <w:rsid w:val="00105A58"/>
    <w:rsid w:val="00105EA2"/>
    <w:rsid w:val="00107010"/>
    <w:rsid w:val="00107208"/>
    <w:rsid w:val="00107C26"/>
    <w:rsid w:val="00110945"/>
    <w:rsid w:val="00111C1D"/>
    <w:rsid w:val="00111E2E"/>
    <w:rsid w:val="00112B39"/>
    <w:rsid w:val="00114D98"/>
    <w:rsid w:val="001156C5"/>
    <w:rsid w:val="001173A5"/>
    <w:rsid w:val="00121094"/>
    <w:rsid w:val="00121931"/>
    <w:rsid w:val="00121EE9"/>
    <w:rsid w:val="001226C4"/>
    <w:rsid w:val="00122837"/>
    <w:rsid w:val="00123D0A"/>
    <w:rsid w:val="001246AF"/>
    <w:rsid w:val="00125FA0"/>
    <w:rsid w:val="00126CB3"/>
    <w:rsid w:val="00127F70"/>
    <w:rsid w:val="00130F7A"/>
    <w:rsid w:val="001310B3"/>
    <w:rsid w:val="00132C55"/>
    <w:rsid w:val="00136548"/>
    <w:rsid w:val="00137856"/>
    <w:rsid w:val="00137A67"/>
    <w:rsid w:val="00140397"/>
    <w:rsid w:val="00140826"/>
    <w:rsid w:val="0014190E"/>
    <w:rsid w:val="00142E93"/>
    <w:rsid w:val="00145193"/>
    <w:rsid w:val="00146078"/>
    <w:rsid w:val="001460B8"/>
    <w:rsid w:val="00146969"/>
    <w:rsid w:val="00146FE7"/>
    <w:rsid w:val="00147701"/>
    <w:rsid w:val="00150498"/>
    <w:rsid w:val="00152DCF"/>
    <w:rsid w:val="001532C5"/>
    <w:rsid w:val="00153A71"/>
    <w:rsid w:val="001554F7"/>
    <w:rsid w:val="001557E8"/>
    <w:rsid w:val="001610E9"/>
    <w:rsid w:val="00161D94"/>
    <w:rsid w:val="0016288C"/>
    <w:rsid w:val="001639CF"/>
    <w:rsid w:val="00166B1C"/>
    <w:rsid w:val="001673B8"/>
    <w:rsid w:val="0017013F"/>
    <w:rsid w:val="00171113"/>
    <w:rsid w:val="00171121"/>
    <w:rsid w:val="001714C8"/>
    <w:rsid w:val="001717BC"/>
    <w:rsid w:val="00171E9D"/>
    <w:rsid w:val="00172C86"/>
    <w:rsid w:val="00173176"/>
    <w:rsid w:val="00173711"/>
    <w:rsid w:val="00175B37"/>
    <w:rsid w:val="00176AD3"/>
    <w:rsid w:val="00177B33"/>
    <w:rsid w:val="00180118"/>
    <w:rsid w:val="00181528"/>
    <w:rsid w:val="0018209D"/>
    <w:rsid w:val="00182534"/>
    <w:rsid w:val="001833CB"/>
    <w:rsid w:val="00184EFC"/>
    <w:rsid w:val="001869E2"/>
    <w:rsid w:val="00187D81"/>
    <w:rsid w:val="0019070A"/>
    <w:rsid w:val="0019115A"/>
    <w:rsid w:val="001914C0"/>
    <w:rsid w:val="0019181A"/>
    <w:rsid w:val="00192CF6"/>
    <w:rsid w:val="00194EF4"/>
    <w:rsid w:val="00195676"/>
    <w:rsid w:val="0019646C"/>
    <w:rsid w:val="001A014E"/>
    <w:rsid w:val="001A0BB4"/>
    <w:rsid w:val="001A1E85"/>
    <w:rsid w:val="001A1FE5"/>
    <w:rsid w:val="001A3FE8"/>
    <w:rsid w:val="001A47DA"/>
    <w:rsid w:val="001A5866"/>
    <w:rsid w:val="001A7898"/>
    <w:rsid w:val="001B0325"/>
    <w:rsid w:val="001B051F"/>
    <w:rsid w:val="001B2723"/>
    <w:rsid w:val="001B2732"/>
    <w:rsid w:val="001B2B76"/>
    <w:rsid w:val="001B4CE5"/>
    <w:rsid w:val="001B582C"/>
    <w:rsid w:val="001B5E85"/>
    <w:rsid w:val="001B64B2"/>
    <w:rsid w:val="001B6DE4"/>
    <w:rsid w:val="001B7180"/>
    <w:rsid w:val="001B7338"/>
    <w:rsid w:val="001B779F"/>
    <w:rsid w:val="001B78CC"/>
    <w:rsid w:val="001C1CAC"/>
    <w:rsid w:val="001C1DC2"/>
    <w:rsid w:val="001C4D75"/>
    <w:rsid w:val="001C5E14"/>
    <w:rsid w:val="001C7BF9"/>
    <w:rsid w:val="001C7FA4"/>
    <w:rsid w:val="001D07A5"/>
    <w:rsid w:val="001D62BE"/>
    <w:rsid w:val="001D7748"/>
    <w:rsid w:val="001D7C32"/>
    <w:rsid w:val="001E1573"/>
    <w:rsid w:val="001E2544"/>
    <w:rsid w:val="001E2D5D"/>
    <w:rsid w:val="001E40BB"/>
    <w:rsid w:val="001F0632"/>
    <w:rsid w:val="001F1440"/>
    <w:rsid w:val="001F15B5"/>
    <w:rsid w:val="001F3DBB"/>
    <w:rsid w:val="001F42B6"/>
    <w:rsid w:val="001F496B"/>
    <w:rsid w:val="001F667E"/>
    <w:rsid w:val="001F755A"/>
    <w:rsid w:val="00200746"/>
    <w:rsid w:val="00200A08"/>
    <w:rsid w:val="0020109B"/>
    <w:rsid w:val="00205798"/>
    <w:rsid w:val="0020650B"/>
    <w:rsid w:val="002065F4"/>
    <w:rsid w:val="0020725B"/>
    <w:rsid w:val="002109D3"/>
    <w:rsid w:val="00212E7D"/>
    <w:rsid w:val="00215809"/>
    <w:rsid w:val="002161FB"/>
    <w:rsid w:val="00216B3A"/>
    <w:rsid w:val="00216C4A"/>
    <w:rsid w:val="00217BD3"/>
    <w:rsid w:val="00220013"/>
    <w:rsid w:val="00221A8F"/>
    <w:rsid w:val="00221E70"/>
    <w:rsid w:val="00222352"/>
    <w:rsid w:val="00222599"/>
    <w:rsid w:val="00222A99"/>
    <w:rsid w:val="00222FCD"/>
    <w:rsid w:val="002236A5"/>
    <w:rsid w:val="002245C0"/>
    <w:rsid w:val="002256D2"/>
    <w:rsid w:val="00226282"/>
    <w:rsid w:val="002262A9"/>
    <w:rsid w:val="002262F7"/>
    <w:rsid w:val="00226B9B"/>
    <w:rsid w:val="00227497"/>
    <w:rsid w:val="00227B65"/>
    <w:rsid w:val="00230E51"/>
    <w:rsid w:val="00234364"/>
    <w:rsid w:val="00234AF2"/>
    <w:rsid w:val="00234E0F"/>
    <w:rsid w:val="002367F3"/>
    <w:rsid w:val="00237B03"/>
    <w:rsid w:val="00240A40"/>
    <w:rsid w:val="0024165F"/>
    <w:rsid w:val="002426BA"/>
    <w:rsid w:val="00242715"/>
    <w:rsid w:val="002431D3"/>
    <w:rsid w:val="00243373"/>
    <w:rsid w:val="00243870"/>
    <w:rsid w:val="00244478"/>
    <w:rsid w:val="00245075"/>
    <w:rsid w:val="002453C7"/>
    <w:rsid w:val="00245B43"/>
    <w:rsid w:val="0024787F"/>
    <w:rsid w:val="0025073B"/>
    <w:rsid w:val="00251406"/>
    <w:rsid w:val="0025174D"/>
    <w:rsid w:val="00254A4A"/>
    <w:rsid w:val="00256D2E"/>
    <w:rsid w:val="0026048E"/>
    <w:rsid w:val="00263664"/>
    <w:rsid w:val="0026484E"/>
    <w:rsid w:val="00265309"/>
    <w:rsid w:val="00266627"/>
    <w:rsid w:val="00266B67"/>
    <w:rsid w:val="00267F85"/>
    <w:rsid w:val="00273745"/>
    <w:rsid w:val="00274153"/>
    <w:rsid w:val="00275320"/>
    <w:rsid w:val="00275A3E"/>
    <w:rsid w:val="0027735C"/>
    <w:rsid w:val="00280056"/>
    <w:rsid w:val="00282D2B"/>
    <w:rsid w:val="00283616"/>
    <w:rsid w:val="00285722"/>
    <w:rsid w:val="00285FF2"/>
    <w:rsid w:val="002906C7"/>
    <w:rsid w:val="00292579"/>
    <w:rsid w:val="00293C78"/>
    <w:rsid w:val="00293CAF"/>
    <w:rsid w:val="002956C9"/>
    <w:rsid w:val="00295947"/>
    <w:rsid w:val="00295DA3"/>
    <w:rsid w:val="0029690A"/>
    <w:rsid w:val="00297BC1"/>
    <w:rsid w:val="002A036F"/>
    <w:rsid w:val="002A0FEA"/>
    <w:rsid w:val="002A2413"/>
    <w:rsid w:val="002A38A7"/>
    <w:rsid w:val="002A3E6E"/>
    <w:rsid w:val="002A4BC9"/>
    <w:rsid w:val="002A662F"/>
    <w:rsid w:val="002B114C"/>
    <w:rsid w:val="002B1E38"/>
    <w:rsid w:val="002B2347"/>
    <w:rsid w:val="002B29E2"/>
    <w:rsid w:val="002B4049"/>
    <w:rsid w:val="002B5934"/>
    <w:rsid w:val="002C04F3"/>
    <w:rsid w:val="002C05C3"/>
    <w:rsid w:val="002C07B4"/>
    <w:rsid w:val="002C0C13"/>
    <w:rsid w:val="002C113C"/>
    <w:rsid w:val="002C1605"/>
    <w:rsid w:val="002C17C5"/>
    <w:rsid w:val="002C27AC"/>
    <w:rsid w:val="002C2938"/>
    <w:rsid w:val="002C37CE"/>
    <w:rsid w:val="002C3E98"/>
    <w:rsid w:val="002C62A4"/>
    <w:rsid w:val="002C711A"/>
    <w:rsid w:val="002C7886"/>
    <w:rsid w:val="002D138D"/>
    <w:rsid w:val="002D2086"/>
    <w:rsid w:val="002D33B4"/>
    <w:rsid w:val="002D35CA"/>
    <w:rsid w:val="002D3F5D"/>
    <w:rsid w:val="002D55E7"/>
    <w:rsid w:val="002D76CF"/>
    <w:rsid w:val="002E1F6D"/>
    <w:rsid w:val="002E2D5D"/>
    <w:rsid w:val="002E3B48"/>
    <w:rsid w:val="002E53F3"/>
    <w:rsid w:val="002E5601"/>
    <w:rsid w:val="002E5DB1"/>
    <w:rsid w:val="002E5FB8"/>
    <w:rsid w:val="002E65DF"/>
    <w:rsid w:val="002E684E"/>
    <w:rsid w:val="002E6D61"/>
    <w:rsid w:val="002E702C"/>
    <w:rsid w:val="002E7BB9"/>
    <w:rsid w:val="002E7C88"/>
    <w:rsid w:val="002F029B"/>
    <w:rsid w:val="002F05E6"/>
    <w:rsid w:val="002F0B6D"/>
    <w:rsid w:val="002F184E"/>
    <w:rsid w:val="002F2ECC"/>
    <w:rsid w:val="002F440E"/>
    <w:rsid w:val="002F477B"/>
    <w:rsid w:val="002F4C4C"/>
    <w:rsid w:val="002F5171"/>
    <w:rsid w:val="002F6FD7"/>
    <w:rsid w:val="00301526"/>
    <w:rsid w:val="00301CFF"/>
    <w:rsid w:val="00302554"/>
    <w:rsid w:val="00302F6C"/>
    <w:rsid w:val="003033F3"/>
    <w:rsid w:val="00304D73"/>
    <w:rsid w:val="00304F29"/>
    <w:rsid w:val="00306877"/>
    <w:rsid w:val="0030694C"/>
    <w:rsid w:val="003073C2"/>
    <w:rsid w:val="00310AC4"/>
    <w:rsid w:val="00311DC1"/>
    <w:rsid w:val="00312551"/>
    <w:rsid w:val="003139C3"/>
    <w:rsid w:val="00313AF3"/>
    <w:rsid w:val="00313DEA"/>
    <w:rsid w:val="00314FBA"/>
    <w:rsid w:val="003154CE"/>
    <w:rsid w:val="003156BD"/>
    <w:rsid w:val="00315AF2"/>
    <w:rsid w:val="00315CC5"/>
    <w:rsid w:val="00315F0E"/>
    <w:rsid w:val="00316C00"/>
    <w:rsid w:val="00316E32"/>
    <w:rsid w:val="00321528"/>
    <w:rsid w:val="0032547C"/>
    <w:rsid w:val="00325849"/>
    <w:rsid w:val="0032598F"/>
    <w:rsid w:val="0032633E"/>
    <w:rsid w:val="003266F4"/>
    <w:rsid w:val="00327654"/>
    <w:rsid w:val="00330B02"/>
    <w:rsid w:val="003326AF"/>
    <w:rsid w:val="0033434D"/>
    <w:rsid w:val="00335597"/>
    <w:rsid w:val="00335B68"/>
    <w:rsid w:val="00335C5F"/>
    <w:rsid w:val="00335CAF"/>
    <w:rsid w:val="00336109"/>
    <w:rsid w:val="00336F3E"/>
    <w:rsid w:val="003379DA"/>
    <w:rsid w:val="003417C5"/>
    <w:rsid w:val="0034226D"/>
    <w:rsid w:val="0034232F"/>
    <w:rsid w:val="00343795"/>
    <w:rsid w:val="003449E6"/>
    <w:rsid w:val="00344D80"/>
    <w:rsid w:val="00347A03"/>
    <w:rsid w:val="00347AF6"/>
    <w:rsid w:val="00352908"/>
    <w:rsid w:val="00353614"/>
    <w:rsid w:val="0035490A"/>
    <w:rsid w:val="00361D54"/>
    <w:rsid w:val="00362D7F"/>
    <w:rsid w:val="003632BD"/>
    <w:rsid w:val="00363830"/>
    <w:rsid w:val="00365871"/>
    <w:rsid w:val="00366944"/>
    <w:rsid w:val="00366D4A"/>
    <w:rsid w:val="003714A6"/>
    <w:rsid w:val="00372631"/>
    <w:rsid w:val="00372C38"/>
    <w:rsid w:val="00373B9C"/>
    <w:rsid w:val="00376048"/>
    <w:rsid w:val="003761FF"/>
    <w:rsid w:val="00376BA3"/>
    <w:rsid w:val="003803D1"/>
    <w:rsid w:val="00380E09"/>
    <w:rsid w:val="003811AF"/>
    <w:rsid w:val="003827D8"/>
    <w:rsid w:val="00382F87"/>
    <w:rsid w:val="00383CBC"/>
    <w:rsid w:val="00384638"/>
    <w:rsid w:val="00384EB5"/>
    <w:rsid w:val="00387466"/>
    <w:rsid w:val="003876EE"/>
    <w:rsid w:val="00387713"/>
    <w:rsid w:val="0039023B"/>
    <w:rsid w:val="00391AE3"/>
    <w:rsid w:val="003960BE"/>
    <w:rsid w:val="003974E8"/>
    <w:rsid w:val="003978DA"/>
    <w:rsid w:val="003A0E67"/>
    <w:rsid w:val="003A2891"/>
    <w:rsid w:val="003A37E7"/>
    <w:rsid w:val="003A5795"/>
    <w:rsid w:val="003A762F"/>
    <w:rsid w:val="003A7A88"/>
    <w:rsid w:val="003B049D"/>
    <w:rsid w:val="003B1AFE"/>
    <w:rsid w:val="003B1B38"/>
    <w:rsid w:val="003B34E4"/>
    <w:rsid w:val="003B4B6E"/>
    <w:rsid w:val="003B6044"/>
    <w:rsid w:val="003B6EA3"/>
    <w:rsid w:val="003B718B"/>
    <w:rsid w:val="003B7BB1"/>
    <w:rsid w:val="003C120F"/>
    <w:rsid w:val="003C1FF1"/>
    <w:rsid w:val="003C26E3"/>
    <w:rsid w:val="003C2DAA"/>
    <w:rsid w:val="003C344B"/>
    <w:rsid w:val="003C3D00"/>
    <w:rsid w:val="003C49E9"/>
    <w:rsid w:val="003D1953"/>
    <w:rsid w:val="003D2B68"/>
    <w:rsid w:val="003D4D3E"/>
    <w:rsid w:val="003D4E2D"/>
    <w:rsid w:val="003D526F"/>
    <w:rsid w:val="003D5317"/>
    <w:rsid w:val="003D597B"/>
    <w:rsid w:val="003D5A48"/>
    <w:rsid w:val="003E0B7B"/>
    <w:rsid w:val="003E0BF4"/>
    <w:rsid w:val="003E1526"/>
    <w:rsid w:val="003E4B05"/>
    <w:rsid w:val="003E5226"/>
    <w:rsid w:val="003E6633"/>
    <w:rsid w:val="003E6FA0"/>
    <w:rsid w:val="003F0223"/>
    <w:rsid w:val="003F14E1"/>
    <w:rsid w:val="003F2680"/>
    <w:rsid w:val="003F2BD6"/>
    <w:rsid w:val="003F4532"/>
    <w:rsid w:val="003F515E"/>
    <w:rsid w:val="003F5E41"/>
    <w:rsid w:val="003F6002"/>
    <w:rsid w:val="003F6CBF"/>
    <w:rsid w:val="003F72D8"/>
    <w:rsid w:val="004006C1"/>
    <w:rsid w:val="00400CDB"/>
    <w:rsid w:val="004023AE"/>
    <w:rsid w:val="0040289D"/>
    <w:rsid w:val="00403E8B"/>
    <w:rsid w:val="00404A98"/>
    <w:rsid w:val="00404C6B"/>
    <w:rsid w:val="00404E8D"/>
    <w:rsid w:val="004050F7"/>
    <w:rsid w:val="00405BA5"/>
    <w:rsid w:val="004071B2"/>
    <w:rsid w:val="00407C69"/>
    <w:rsid w:val="00407FA1"/>
    <w:rsid w:val="00410FD1"/>
    <w:rsid w:val="00411C1D"/>
    <w:rsid w:val="0041284C"/>
    <w:rsid w:val="00412C21"/>
    <w:rsid w:val="00413003"/>
    <w:rsid w:val="004130BB"/>
    <w:rsid w:val="00415C95"/>
    <w:rsid w:val="004162EB"/>
    <w:rsid w:val="0041700F"/>
    <w:rsid w:val="004172CE"/>
    <w:rsid w:val="004205EF"/>
    <w:rsid w:val="0042139D"/>
    <w:rsid w:val="00421F31"/>
    <w:rsid w:val="0042259D"/>
    <w:rsid w:val="004226FF"/>
    <w:rsid w:val="00422FB8"/>
    <w:rsid w:val="004265FE"/>
    <w:rsid w:val="0042710A"/>
    <w:rsid w:val="00430D9C"/>
    <w:rsid w:val="004321A7"/>
    <w:rsid w:val="00436167"/>
    <w:rsid w:val="0043620C"/>
    <w:rsid w:val="00436AC9"/>
    <w:rsid w:val="00437FD0"/>
    <w:rsid w:val="00440913"/>
    <w:rsid w:val="00440C98"/>
    <w:rsid w:val="00440E1F"/>
    <w:rsid w:val="00440E2B"/>
    <w:rsid w:val="00442133"/>
    <w:rsid w:val="00442937"/>
    <w:rsid w:val="004451D0"/>
    <w:rsid w:val="0044571F"/>
    <w:rsid w:val="00445AF9"/>
    <w:rsid w:val="00445CCB"/>
    <w:rsid w:val="00446AAB"/>
    <w:rsid w:val="00447B5D"/>
    <w:rsid w:val="00450AEE"/>
    <w:rsid w:val="00451851"/>
    <w:rsid w:val="00452414"/>
    <w:rsid w:val="00452C04"/>
    <w:rsid w:val="00452CA2"/>
    <w:rsid w:val="00452EEE"/>
    <w:rsid w:val="00454256"/>
    <w:rsid w:val="00455D6D"/>
    <w:rsid w:val="004575F2"/>
    <w:rsid w:val="00457ADB"/>
    <w:rsid w:val="00457B70"/>
    <w:rsid w:val="00460F4F"/>
    <w:rsid w:val="00462228"/>
    <w:rsid w:val="004630E7"/>
    <w:rsid w:val="00463F03"/>
    <w:rsid w:val="00464B8C"/>
    <w:rsid w:val="00464C82"/>
    <w:rsid w:val="00465768"/>
    <w:rsid w:val="0046610E"/>
    <w:rsid w:val="00466FDC"/>
    <w:rsid w:val="004676EF"/>
    <w:rsid w:val="00471BE7"/>
    <w:rsid w:val="00471E94"/>
    <w:rsid w:val="004723F8"/>
    <w:rsid w:val="00472D3B"/>
    <w:rsid w:val="0047401F"/>
    <w:rsid w:val="00474DCD"/>
    <w:rsid w:val="00475256"/>
    <w:rsid w:val="00475FDD"/>
    <w:rsid w:val="004760CD"/>
    <w:rsid w:val="00477638"/>
    <w:rsid w:val="0047772A"/>
    <w:rsid w:val="004777C1"/>
    <w:rsid w:val="0048565C"/>
    <w:rsid w:val="00487504"/>
    <w:rsid w:val="004879CE"/>
    <w:rsid w:val="00490D6D"/>
    <w:rsid w:val="0049150C"/>
    <w:rsid w:val="00492BDE"/>
    <w:rsid w:val="004957C6"/>
    <w:rsid w:val="004958DD"/>
    <w:rsid w:val="00496A35"/>
    <w:rsid w:val="004974DE"/>
    <w:rsid w:val="00497DEA"/>
    <w:rsid w:val="00497E4A"/>
    <w:rsid w:val="004A1C21"/>
    <w:rsid w:val="004A2693"/>
    <w:rsid w:val="004A5D47"/>
    <w:rsid w:val="004A79C4"/>
    <w:rsid w:val="004A7CD2"/>
    <w:rsid w:val="004B1328"/>
    <w:rsid w:val="004B2F4E"/>
    <w:rsid w:val="004B3748"/>
    <w:rsid w:val="004B3A34"/>
    <w:rsid w:val="004B42B7"/>
    <w:rsid w:val="004B49E2"/>
    <w:rsid w:val="004C095C"/>
    <w:rsid w:val="004C198B"/>
    <w:rsid w:val="004C32CD"/>
    <w:rsid w:val="004C4470"/>
    <w:rsid w:val="004C667E"/>
    <w:rsid w:val="004C69B3"/>
    <w:rsid w:val="004C6DC5"/>
    <w:rsid w:val="004D0637"/>
    <w:rsid w:val="004D09DC"/>
    <w:rsid w:val="004D0E80"/>
    <w:rsid w:val="004D1673"/>
    <w:rsid w:val="004D2D03"/>
    <w:rsid w:val="004D3333"/>
    <w:rsid w:val="004D4AEB"/>
    <w:rsid w:val="004D4C65"/>
    <w:rsid w:val="004D5992"/>
    <w:rsid w:val="004D5E13"/>
    <w:rsid w:val="004D662B"/>
    <w:rsid w:val="004D72EF"/>
    <w:rsid w:val="004D7543"/>
    <w:rsid w:val="004E0FD2"/>
    <w:rsid w:val="004E1C57"/>
    <w:rsid w:val="004E1ED9"/>
    <w:rsid w:val="004E25B1"/>
    <w:rsid w:val="004E26B9"/>
    <w:rsid w:val="004E2A5A"/>
    <w:rsid w:val="004E3BF9"/>
    <w:rsid w:val="004E693F"/>
    <w:rsid w:val="004E7079"/>
    <w:rsid w:val="004F1353"/>
    <w:rsid w:val="004F2070"/>
    <w:rsid w:val="004F2F38"/>
    <w:rsid w:val="004F32BF"/>
    <w:rsid w:val="004F3521"/>
    <w:rsid w:val="004F3750"/>
    <w:rsid w:val="004F3941"/>
    <w:rsid w:val="004F3C12"/>
    <w:rsid w:val="004F561C"/>
    <w:rsid w:val="004F6674"/>
    <w:rsid w:val="004F6DC4"/>
    <w:rsid w:val="00500182"/>
    <w:rsid w:val="00500250"/>
    <w:rsid w:val="00500F1A"/>
    <w:rsid w:val="00501882"/>
    <w:rsid w:val="005025C4"/>
    <w:rsid w:val="00504205"/>
    <w:rsid w:val="0051259C"/>
    <w:rsid w:val="00512C81"/>
    <w:rsid w:val="0051341F"/>
    <w:rsid w:val="00513567"/>
    <w:rsid w:val="00513769"/>
    <w:rsid w:val="00514A42"/>
    <w:rsid w:val="00514A6D"/>
    <w:rsid w:val="0051535C"/>
    <w:rsid w:val="00517760"/>
    <w:rsid w:val="00520124"/>
    <w:rsid w:val="0052310F"/>
    <w:rsid w:val="00523F8B"/>
    <w:rsid w:val="005248CC"/>
    <w:rsid w:val="00525140"/>
    <w:rsid w:val="0052788E"/>
    <w:rsid w:val="00527C03"/>
    <w:rsid w:val="005305A1"/>
    <w:rsid w:val="00531053"/>
    <w:rsid w:val="0053227A"/>
    <w:rsid w:val="00534AE7"/>
    <w:rsid w:val="00534B2C"/>
    <w:rsid w:val="00536DCA"/>
    <w:rsid w:val="005401C8"/>
    <w:rsid w:val="00541540"/>
    <w:rsid w:val="0054164F"/>
    <w:rsid w:val="0054343C"/>
    <w:rsid w:val="0054397D"/>
    <w:rsid w:val="00545D5E"/>
    <w:rsid w:val="00547FE4"/>
    <w:rsid w:val="00550493"/>
    <w:rsid w:val="005508E0"/>
    <w:rsid w:val="00551A43"/>
    <w:rsid w:val="00553B8C"/>
    <w:rsid w:val="005557F9"/>
    <w:rsid w:val="005573E0"/>
    <w:rsid w:val="00557537"/>
    <w:rsid w:val="005576AD"/>
    <w:rsid w:val="00561700"/>
    <w:rsid w:val="00561B85"/>
    <w:rsid w:val="00562D83"/>
    <w:rsid w:val="00564172"/>
    <w:rsid w:val="0056457F"/>
    <w:rsid w:val="005659B0"/>
    <w:rsid w:val="00566043"/>
    <w:rsid w:val="00566BD5"/>
    <w:rsid w:val="00567EF6"/>
    <w:rsid w:val="00570345"/>
    <w:rsid w:val="005706D1"/>
    <w:rsid w:val="00570B11"/>
    <w:rsid w:val="005716FA"/>
    <w:rsid w:val="0057217D"/>
    <w:rsid w:val="00572973"/>
    <w:rsid w:val="00573123"/>
    <w:rsid w:val="005731EB"/>
    <w:rsid w:val="00573FB4"/>
    <w:rsid w:val="005745BD"/>
    <w:rsid w:val="00574EC0"/>
    <w:rsid w:val="005751CF"/>
    <w:rsid w:val="00577E46"/>
    <w:rsid w:val="00581568"/>
    <w:rsid w:val="005821C8"/>
    <w:rsid w:val="00583848"/>
    <w:rsid w:val="00584B4F"/>
    <w:rsid w:val="005860CF"/>
    <w:rsid w:val="005866EC"/>
    <w:rsid w:val="00587556"/>
    <w:rsid w:val="005908D9"/>
    <w:rsid w:val="0059129C"/>
    <w:rsid w:val="00591FF2"/>
    <w:rsid w:val="005921A2"/>
    <w:rsid w:val="005939BB"/>
    <w:rsid w:val="00595DED"/>
    <w:rsid w:val="005A3DB0"/>
    <w:rsid w:val="005A4506"/>
    <w:rsid w:val="005A47B4"/>
    <w:rsid w:val="005A76A8"/>
    <w:rsid w:val="005A7FD4"/>
    <w:rsid w:val="005B124A"/>
    <w:rsid w:val="005B184F"/>
    <w:rsid w:val="005B3098"/>
    <w:rsid w:val="005B43A3"/>
    <w:rsid w:val="005C0393"/>
    <w:rsid w:val="005C0EC8"/>
    <w:rsid w:val="005C1175"/>
    <w:rsid w:val="005C1EE0"/>
    <w:rsid w:val="005C1F8B"/>
    <w:rsid w:val="005C3925"/>
    <w:rsid w:val="005C47C7"/>
    <w:rsid w:val="005C534C"/>
    <w:rsid w:val="005C59EB"/>
    <w:rsid w:val="005C73B1"/>
    <w:rsid w:val="005D02BD"/>
    <w:rsid w:val="005D0DFE"/>
    <w:rsid w:val="005D3F1E"/>
    <w:rsid w:val="005D3FA4"/>
    <w:rsid w:val="005D730C"/>
    <w:rsid w:val="005E0673"/>
    <w:rsid w:val="005E2001"/>
    <w:rsid w:val="005E2989"/>
    <w:rsid w:val="005E3FFC"/>
    <w:rsid w:val="005E4745"/>
    <w:rsid w:val="005E4A0F"/>
    <w:rsid w:val="005E62CA"/>
    <w:rsid w:val="005F1843"/>
    <w:rsid w:val="005F231F"/>
    <w:rsid w:val="005F24AC"/>
    <w:rsid w:val="005F339F"/>
    <w:rsid w:val="005F4458"/>
    <w:rsid w:val="005F4637"/>
    <w:rsid w:val="005F48EE"/>
    <w:rsid w:val="005F5BBB"/>
    <w:rsid w:val="005F6994"/>
    <w:rsid w:val="005F6D89"/>
    <w:rsid w:val="00600359"/>
    <w:rsid w:val="00601748"/>
    <w:rsid w:val="00601C50"/>
    <w:rsid w:val="00602227"/>
    <w:rsid w:val="006028C6"/>
    <w:rsid w:val="00602D8C"/>
    <w:rsid w:val="00603275"/>
    <w:rsid w:val="00605052"/>
    <w:rsid w:val="00607E4D"/>
    <w:rsid w:val="00610B2C"/>
    <w:rsid w:val="00611447"/>
    <w:rsid w:val="00611F5B"/>
    <w:rsid w:val="00612BFF"/>
    <w:rsid w:val="00614D05"/>
    <w:rsid w:val="00617CB3"/>
    <w:rsid w:val="006212E2"/>
    <w:rsid w:val="00622694"/>
    <w:rsid w:val="0062275D"/>
    <w:rsid w:val="00623AC2"/>
    <w:rsid w:val="00623D05"/>
    <w:rsid w:val="00624C5C"/>
    <w:rsid w:val="006268DF"/>
    <w:rsid w:val="00626C01"/>
    <w:rsid w:val="006271FB"/>
    <w:rsid w:val="00627FD3"/>
    <w:rsid w:val="0063037A"/>
    <w:rsid w:val="00630383"/>
    <w:rsid w:val="0063051A"/>
    <w:rsid w:val="00630946"/>
    <w:rsid w:val="00633CDA"/>
    <w:rsid w:val="00634205"/>
    <w:rsid w:val="006360E4"/>
    <w:rsid w:val="00636955"/>
    <w:rsid w:val="00640BE6"/>
    <w:rsid w:val="00642277"/>
    <w:rsid w:val="00642ECB"/>
    <w:rsid w:val="00643014"/>
    <w:rsid w:val="0064398D"/>
    <w:rsid w:val="00644DFF"/>
    <w:rsid w:val="006457AB"/>
    <w:rsid w:val="00645ACA"/>
    <w:rsid w:val="00645F67"/>
    <w:rsid w:val="00646524"/>
    <w:rsid w:val="00647728"/>
    <w:rsid w:val="00647BE8"/>
    <w:rsid w:val="0065265F"/>
    <w:rsid w:val="00652E67"/>
    <w:rsid w:val="00654CC9"/>
    <w:rsid w:val="006551F2"/>
    <w:rsid w:val="00655DD7"/>
    <w:rsid w:val="00655EF1"/>
    <w:rsid w:val="006575D7"/>
    <w:rsid w:val="0065794B"/>
    <w:rsid w:val="00657F1D"/>
    <w:rsid w:val="00661240"/>
    <w:rsid w:val="006617AA"/>
    <w:rsid w:val="00662211"/>
    <w:rsid w:val="00662461"/>
    <w:rsid w:val="006647DB"/>
    <w:rsid w:val="00664E07"/>
    <w:rsid w:val="00667077"/>
    <w:rsid w:val="0067317A"/>
    <w:rsid w:val="006737D3"/>
    <w:rsid w:val="00674E68"/>
    <w:rsid w:val="00676FB1"/>
    <w:rsid w:val="0068032E"/>
    <w:rsid w:val="006805E5"/>
    <w:rsid w:val="00680822"/>
    <w:rsid w:val="00680C38"/>
    <w:rsid w:val="006811B8"/>
    <w:rsid w:val="00681A20"/>
    <w:rsid w:val="00681FAE"/>
    <w:rsid w:val="006825B4"/>
    <w:rsid w:val="00682F72"/>
    <w:rsid w:val="006866E1"/>
    <w:rsid w:val="00687382"/>
    <w:rsid w:val="006901C2"/>
    <w:rsid w:val="00692C45"/>
    <w:rsid w:val="006941AE"/>
    <w:rsid w:val="00694DA3"/>
    <w:rsid w:val="00696CDE"/>
    <w:rsid w:val="00697A3B"/>
    <w:rsid w:val="006A09BC"/>
    <w:rsid w:val="006A1D7A"/>
    <w:rsid w:val="006A224F"/>
    <w:rsid w:val="006A36AE"/>
    <w:rsid w:val="006A40F9"/>
    <w:rsid w:val="006A441B"/>
    <w:rsid w:val="006A4559"/>
    <w:rsid w:val="006A4F62"/>
    <w:rsid w:val="006A56DF"/>
    <w:rsid w:val="006A6007"/>
    <w:rsid w:val="006A7C04"/>
    <w:rsid w:val="006B059E"/>
    <w:rsid w:val="006B1585"/>
    <w:rsid w:val="006B41AA"/>
    <w:rsid w:val="006B5A19"/>
    <w:rsid w:val="006B6572"/>
    <w:rsid w:val="006B71D9"/>
    <w:rsid w:val="006B7203"/>
    <w:rsid w:val="006B7756"/>
    <w:rsid w:val="006C0968"/>
    <w:rsid w:val="006C146B"/>
    <w:rsid w:val="006C18B0"/>
    <w:rsid w:val="006C2B6B"/>
    <w:rsid w:val="006C2EDF"/>
    <w:rsid w:val="006C4E74"/>
    <w:rsid w:val="006C70C8"/>
    <w:rsid w:val="006C7F6C"/>
    <w:rsid w:val="006D06E3"/>
    <w:rsid w:val="006D22F9"/>
    <w:rsid w:val="006D42CD"/>
    <w:rsid w:val="006D44D6"/>
    <w:rsid w:val="006D4A0F"/>
    <w:rsid w:val="006D755C"/>
    <w:rsid w:val="006D7583"/>
    <w:rsid w:val="006D7937"/>
    <w:rsid w:val="006E01AC"/>
    <w:rsid w:val="006E0621"/>
    <w:rsid w:val="006E1308"/>
    <w:rsid w:val="006E2B5C"/>
    <w:rsid w:val="006E2EC7"/>
    <w:rsid w:val="006E3051"/>
    <w:rsid w:val="006E35B7"/>
    <w:rsid w:val="006E6286"/>
    <w:rsid w:val="006E6D78"/>
    <w:rsid w:val="006E72D1"/>
    <w:rsid w:val="006E73AC"/>
    <w:rsid w:val="006F06FB"/>
    <w:rsid w:val="006F0745"/>
    <w:rsid w:val="006F09D2"/>
    <w:rsid w:val="006F2385"/>
    <w:rsid w:val="006F2A8E"/>
    <w:rsid w:val="006F3307"/>
    <w:rsid w:val="006F38DA"/>
    <w:rsid w:val="006F3ABE"/>
    <w:rsid w:val="006F472C"/>
    <w:rsid w:val="006F4C8A"/>
    <w:rsid w:val="006F4E82"/>
    <w:rsid w:val="006F5241"/>
    <w:rsid w:val="006F7D71"/>
    <w:rsid w:val="006F7FE1"/>
    <w:rsid w:val="007006DC"/>
    <w:rsid w:val="007015FE"/>
    <w:rsid w:val="00701A51"/>
    <w:rsid w:val="007022C5"/>
    <w:rsid w:val="00703A28"/>
    <w:rsid w:val="00705142"/>
    <w:rsid w:val="00705448"/>
    <w:rsid w:val="00705692"/>
    <w:rsid w:val="0070601E"/>
    <w:rsid w:val="00706CF4"/>
    <w:rsid w:val="00707AD2"/>
    <w:rsid w:val="00707DEE"/>
    <w:rsid w:val="00710FC4"/>
    <w:rsid w:val="0071331C"/>
    <w:rsid w:val="00713A6C"/>
    <w:rsid w:val="00713D35"/>
    <w:rsid w:val="00714090"/>
    <w:rsid w:val="00714147"/>
    <w:rsid w:val="00714C70"/>
    <w:rsid w:val="00716A06"/>
    <w:rsid w:val="0071777D"/>
    <w:rsid w:val="00722764"/>
    <w:rsid w:val="00722EAA"/>
    <w:rsid w:val="00726007"/>
    <w:rsid w:val="00726279"/>
    <w:rsid w:val="00726CD2"/>
    <w:rsid w:val="00726FA0"/>
    <w:rsid w:val="00727C4C"/>
    <w:rsid w:val="00731159"/>
    <w:rsid w:val="00731C65"/>
    <w:rsid w:val="00732693"/>
    <w:rsid w:val="007332A1"/>
    <w:rsid w:val="0073347D"/>
    <w:rsid w:val="00733F5A"/>
    <w:rsid w:val="007350E9"/>
    <w:rsid w:val="00736A76"/>
    <w:rsid w:val="00736E59"/>
    <w:rsid w:val="0074083D"/>
    <w:rsid w:val="00741557"/>
    <w:rsid w:val="00741852"/>
    <w:rsid w:val="00741C00"/>
    <w:rsid w:val="0074200B"/>
    <w:rsid w:val="00746B75"/>
    <w:rsid w:val="00750326"/>
    <w:rsid w:val="0075043C"/>
    <w:rsid w:val="00754D62"/>
    <w:rsid w:val="00754EDA"/>
    <w:rsid w:val="00755A42"/>
    <w:rsid w:val="00756055"/>
    <w:rsid w:val="00757558"/>
    <w:rsid w:val="007616C9"/>
    <w:rsid w:val="00761F08"/>
    <w:rsid w:val="00763D71"/>
    <w:rsid w:val="007641B1"/>
    <w:rsid w:val="0076489B"/>
    <w:rsid w:val="00764B51"/>
    <w:rsid w:val="00764C27"/>
    <w:rsid w:val="00764E0B"/>
    <w:rsid w:val="00765BF2"/>
    <w:rsid w:val="00765EC4"/>
    <w:rsid w:val="00766139"/>
    <w:rsid w:val="0076777E"/>
    <w:rsid w:val="00767AA8"/>
    <w:rsid w:val="0077087E"/>
    <w:rsid w:val="00770A33"/>
    <w:rsid w:val="007713E1"/>
    <w:rsid w:val="007730EC"/>
    <w:rsid w:val="007738CA"/>
    <w:rsid w:val="00774952"/>
    <w:rsid w:val="00774B82"/>
    <w:rsid w:val="007750E6"/>
    <w:rsid w:val="00775B11"/>
    <w:rsid w:val="00775EE7"/>
    <w:rsid w:val="00775F6C"/>
    <w:rsid w:val="00780312"/>
    <w:rsid w:val="00781F95"/>
    <w:rsid w:val="007820A6"/>
    <w:rsid w:val="00782412"/>
    <w:rsid w:val="0078471A"/>
    <w:rsid w:val="00784E20"/>
    <w:rsid w:val="00787F38"/>
    <w:rsid w:val="00787F67"/>
    <w:rsid w:val="007919F5"/>
    <w:rsid w:val="0079258E"/>
    <w:rsid w:val="00792CAC"/>
    <w:rsid w:val="00792DD9"/>
    <w:rsid w:val="00794390"/>
    <w:rsid w:val="00794998"/>
    <w:rsid w:val="007957C5"/>
    <w:rsid w:val="00796656"/>
    <w:rsid w:val="00796C6F"/>
    <w:rsid w:val="00797098"/>
    <w:rsid w:val="007A053E"/>
    <w:rsid w:val="007A212B"/>
    <w:rsid w:val="007A2584"/>
    <w:rsid w:val="007A27CF"/>
    <w:rsid w:val="007A4A8D"/>
    <w:rsid w:val="007A577C"/>
    <w:rsid w:val="007A59EC"/>
    <w:rsid w:val="007A663F"/>
    <w:rsid w:val="007A7BD8"/>
    <w:rsid w:val="007B1830"/>
    <w:rsid w:val="007B1968"/>
    <w:rsid w:val="007B21D9"/>
    <w:rsid w:val="007B29CA"/>
    <w:rsid w:val="007B4BE5"/>
    <w:rsid w:val="007B4D10"/>
    <w:rsid w:val="007B5662"/>
    <w:rsid w:val="007B5DE5"/>
    <w:rsid w:val="007B646B"/>
    <w:rsid w:val="007B6F69"/>
    <w:rsid w:val="007C1023"/>
    <w:rsid w:val="007C185E"/>
    <w:rsid w:val="007C1CEF"/>
    <w:rsid w:val="007C204A"/>
    <w:rsid w:val="007C2497"/>
    <w:rsid w:val="007C3B26"/>
    <w:rsid w:val="007C3DAF"/>
    <w:rsid w:val="007C48E4"/>
    <w:rsid w:val="007C5A48"/>
    <w:rsid w:val="007C6D3E"/>
    <w:rsid w:val="007C73F3"/>
    <w:rsid w:val="007C7638"/>
    <w:rsid w:val="007C7AB9"/>
    <w:rsid w:val="007C7C0D"/>
    <w:rsid w:val="007D3506"/>
    <w:rsid w:val="007D39A1"/>
    <w:rsid w:val="007D5B3F"/>
    <w:rsid w:val="007D6332"/>
    <w:rsid w:val="007E0C2E"/>
    <w:rsid w:val="007E1580"/>
    <w:rsid w:val="007E5854"/>
    <w:rsid w:val="007F0C50"/>
    <w:rsid w:val="007F173B"/>
    <w:rsid w:val="007F2418"/>
    <w:rsid w:val="007F2E2E"/>
    <w:rsid w:val="007F2E80"/>
    <w:rsid w:val="007F3E76"/>
    <w:rsid w:val="007F50B1"/>
    <w:rsid w:val="007F5A6D"/>
    <w:rsid w:val="007F750C"/>
    <w:rsid w:val="008117E8"/>
    <w:rsid w:val="00811C57"/>
    <w:rsid w:val="0081269F"/>
    <w:rsid w:val="00813281"/>
    <w:rsid w:val="0081374B"/>
    <w:rsid w:val="00813E8D"/>
    <w:rsid w:val="0081537A"/>
    <w:rsid w:val="00816928"/>
    <w:rsid w:val="00820829"/>
    <w:rsid w:val="00822EE0"/>
    <w:rsid w:val="00822F9E"/>
    <w:rsid w:val="0082408E"/>
    <w:rsid w:val="00824538"/>
    <w:rsid w:val="00826072"/>
    <w:rsid w:val="00831D21"/>
    <w:rsid w:val="0083287C"/>
    <w:rsid w:val="00835B4A"/>
    <w:rsid w:val="0083635D"/>
    <w:rsid w:val="00836ACA"/>
    <w:rsid w:val="00837597"/>
    <w:rsid w:val="00840508"/>
    <w:rsid w:val="0084413B"/>
    <w:rsid w:val="008442CB"/>
    <w:rsid w:val="00846C35"/>
    <w:rsid w:val="00847BCB"/>
    <w:rsid w:val="00850036"/>
    <w:rsid w:val="0085069E"/>
    <w:rsid w:val="0085254E"/>
    <w:rsid w:val="0085376E"/>
    <w:rsid w:val="008552FD"/>
    <w:rsid w:val="00856BED"/>
    <w:rsid w:val="008627B5"/>
    <w:rsid w:val="008641D5"/>
    <w:rsid w:val="0086436F"/>
    <w:rsid w:val="008648D9"/>
    <w:rsid w:val="00866DCB"/>
    <w:rsid w:val="00867C3B"/>
    <w:rsid w:val="00867DCC"/>
    <w:rsid w:val="00867F71"/>
    <w:rsid w:val="008707D7"/>
    <w:rsid w:val="00871B48"/>
    <w:rsid w:val="00872C56"/>
    <w:rsid w:val="00874940"/>
    <w:rsid w:val="00874AD6"/>
    <w:rsid w:val="00874D5D"/>
    <w:rsid w:val="008756BC"/>
    <w:rsid w:val="0087629B"/>
    <w:rsid w:val="008768EA"/>
    <w:rsid w:val="008802B0"/>
    <w:rsid w:val="00881555"/>
    <w:rsid w:val="00884046"/>
    <w:rsid w:val="00884AAE"/>
    <w:rsid w:val="00886E0E"/>
    <w:rsid w:val="00886EBB"/>
    <w:rsid w:val="0089001B"/>
    <w:rsid w:val="00890B33"/>
    <w:rsid w:val="00890D72"/>
    <w:rsid w:val="00890DE2"/>
    <w:rsid w:val="008933AB"/>
    <w:rsid w:val="008934C0"/>
    <w:rsid w:val="00894A14"/>
    <w:rsid w:val="0089558B"/>
    <w:rsid w:val="008961F9"/>
    <w:rsid w:val="00896999"/>
    <w:rsid w:val="008975A9"/>
    <w:rsid w:val="00897D8F"/>
    <w:rsid w:val="008A2736"/>
    <w:rsid w:val="008A3059"/>
    <w:rsid w:val="008A47FA"/>
    <w:rsid w:val="008A4894"/>
    <w:rsid w:val="008A4971"/>
    <w:rsid w:val="008A6565"/>
    <w:rsid w:val="008B1C96"/>
    <w:rsid w:val="008B1CDB"/>
    <w:rsid w:val="008B3055"/>
    <w:rsid w:val="008B34EB"/>
    <w:rsid w:val="008B4EE4"/>
    <w:rsid w:val="008B5D8E"/>
    <w:rsid w:val="008C0734"/>
    <w:rsid w:val="008C1A5C"/>
    <w:rsid w:val="008C4139"/>
    <w:rsid w:val="008C6D0E"/>
    <w:rsid w:val="008D1499"/>
    <w:rsid w:val="008D2D93"/>
    <w:rsid w:val="008D4287"/>
    <w:rsid w:val="008D4734"/>
    <w:rsid w:val="008D4757"/>
    <w:rsid w:val="008D4C8C"/>
    <w:rsid w:val="008D7681"/>
    <w:rsid w:val="008E4E5C"/>
    <w:rsid w:val="008E5EB1"/>
    <w:rsid w:val="008E687E"/>
    <w:rsid w:val="008E6DE1"/>
    <w:rsid w:val="008F1102"/>
    <w:rsid w:val="008F2D5E"/>
    <w:rsid w:val="008F2F21"/>
    <w:rsid w:val="008F32EA"/>
    <w:rsid w:val="008F445E"/>
    <w:rsid w:val="008F538A"/>
    <w:rsid w:val="008F6236"/>
    <w:rsid w:val="008F73AC"/>
    <w:rsid w:val="008F7F5D"/>
    <w:rsid w:val="009005AC"/>
    <w:rsid w:val="0090109C"/>
    <w:rsid w:val="0090137E"/>
    <w:rsid w:val="00901D71"/>
    <w:rsid w:val="00905296"/>
    <w:rsid w:val="009058DB"/>
    <w:rsid w:val="009122D1"/>
    <w:rsid w:val="009122FA"/>
    <w:rsid w:val="00912AC0"/>
    <w:rsid w:val="0091389D"/>
    <w:rsid w:val="00913901"/>
    <w:rsid w:val="009141B1"/>
    <w:rsid w:val="00914AD4"/>
    <w:rsid w:val="009151E2"/>
    <w:rsid w:val="009162A5"/>
    <w:rsid w:val="009178DE"/>
    <w:rsid w:val="00917C08"/>
    <w:rsid w:val="00917FF1"/>
    <w:rsid w:val="00920F69"/>
    <w:rsid w:val="00922315"/>
    <w:rsid w:val="0092248C"/>
    <w:rsid w:val="00922E33"/>
    <w:rsid w:val="00922F5F"/>
    <w:rsid w:val="00923DD9"/>
    <w:rsid w:val="00923DFB"/>
    <w:rsid w:val="00924A28"/>
    <w:rsid w:val="00924A4A"/>
    <w:rsid w:val="00925835"/>
    <w:rsid w:val="00926BD5"/>
    <w:rsid w:val="00926C97"/>
    <w:rsid w:val="009277C2"/>
    <w:rsid w:val="00930F62"/>
    <w:rsid w:val="009326D1"/>
    <w:rsid w:val="00932B11"/>
    <w:rsid w:val="0093373D"/>
    <w:rsid w:val="00933FFC"/>
    <w:rsid w:val="00935AB4"/>
    <w:rsid w:val="00935B4A"/>
    <w:rsid w:val="00935E4C"/>
    <w:rsid w:val="009364BA"/>
    <w:rsid w:val="0093659F"/>
    <w:rsid w:val="009370FB"/>
    <w:rsid w:val="00937B33"/>
    <w:rsid w:val="00940EFA"/>
    <w:rsid w:val="00942BCE"/>
    <w:rsid w:val="00942DBD"/>
    <w:rsid w:val="0094348B"/>
    <w:rsid w:val="009434AB"/>
    <w:rsid w:val="0094397F"/>
    <w:rsid w:val="00944977"/>
    <w:rsid w:val="00944D70"/>
    <w:rsid w:val="00945241"/>
    <w:rsid w:val="00945773"/>
    <w:rsid w:val="0094725A"/>
    <w:rsid w:val="009507E9"/>
    <w:rsid w:val="00950EB8"/>
    <w:rsid w:val="00951DC3"/>
    <w:rsid w:val="00952491"/>
    <w:rsid w:val="00952D5D"/>
    <w:rsid w:val="00953F58"/>
    <w:rsid w:val="00954843"/>
    <w:rsid w:val="00954A2B"/>
    <w:rsid w:val="009550A2"/>
    <w:rsid w:val="009560AD"/>
    <w:rsid w:val="00956334"/>
    <w:rsid w:val="00957804"/>
    <w:rsid w:val="00957C3B"/>
    <w:rsid w:val="0096187F"/>
    <w:rsid w:val="00962832"/>
    <w:rsid w:val="0096362B"/>
    <w:rsid w:val="00970A05"/>
    <w:rsid w:val="00970A62"/>
    <w:rsid w:val="00971D19"/>
    <w:rsid w:val="00972F3E"/>
    <w:rsid w:val="0097351B"/>
    <w:rsid w:val="009749A0"/>
    <w:rsid w:val="0097669C"/>
    <w:rsid w:val="00976CCB"/>
    <w:rsid w:val="0097723A"/>
    <w:rsid w:val="009776D0"/>
    <w:rsid w:val="009802D8"/>
    <w:rsid w:val="009804B1"/>
    <w:rsid w:val="00980B82"/>
    <w:rsid w:val="00982527"/>
    <w:rsid w:val="00982A3D"/>
    <w:rsid w:val="00983960"/>
    <w:rsid w:val="00984DD0"/>
    <w:rsid w:val="009854B6"/>
    <w:rsid w:val="00985C70"/>
    <w:rsid w:val="009863C4"/>
    <w:rsid w:val="00987736"/>
    <w:rsid w:val="00994877"/>
    <w:rsid w:val="00995043"/>
    <w:rsid w:val="00996498"/>
    <w:rsid w:val="00997E61"/>
    <w:rsid w:val="009A1632"/>
    <w:rsid w:val="009A3A16"/>
    <w:rsid w:val="009A5115"/>
    <w:rsid w:val="009B0622"/>
    <w:rsid w:val="009B23AD"/>
    <w:rsid w:val="009B2D2D"/>
    <w:rsid w:val="009B4FF3"/>
    <w:rsid w:val="009B584C"/>
    <w:rsid w:val="009B770B"/>
    <w:rsid w:val="009C22AE"/>
    <w:rsid w:val="009C25A6"/>
    <w:rsid w:val="009C2F6D"/>
    <w:rsid w:val="009C338A"/>
    <w:rsid w:val="009C4752"/>
    <w:rsid w:val="009C52ED"/>
    <w:rsid w:val="009C5B2D"/>
    <w:rsid w:val="009C64AE"/>
    <w:rsid w:val="009C70FA"/>
    <w:rsid w:val="009C75A5"/>
    <w:rsid w:val="009D07DA"/>
    <w:rsid w:val="009D2DCA"/>
    <w:rsid w:val="009D4C30"/>
    <w:rsid w:val="009D4D6F"/>
    <w:rsid w:val="009D5820"/>
    <w:rsid w:val="009D665A"/>
    <w:rsid w:val="009D666C"/>
    <w:rsid w:val="009D6B01"/>
    <w:rsid w:val="009D6CF7"/>
    <w:rsid w:val="009D72BD"/>
    <w:rsid w:val="009D79BF"/>
    <w:rsid w:val="009E136D"/>
    <w:rsid w:val="009E199B"/>
    <w:rsid w:val="009E1E7B"/>
    <w:rsid w:val="009E2175"/>
    <w:rsid w:val="009E4823"/>
    <w:rsid w:val="009E5256"/>
    <w:rsid w:val="009E6450"/>
    <w:rsid w:val="009F107E"/>
    <w:rsid w:val="009F1943"/>
    <w:rsid w:val="009F1D4E"/>
    <w:rsid w:val="009F1F03"/>
    <w:rsid w:val="009F20E0"/>
    <w:rsid w:val="009F2F56"/>
    <w:rsid w:val="009F6483"/>
    <w:rsid w:val="009F69DC"/>
    <w:rsid w:val="00A009D2"/>
    <w:rsid w:val="00A01A83"/>
    <w:rsid w:val="00A02BC8"/>
    <w:rsid w:val="00A04351"/>
    <w:rsid w:val="00A065D1"/>
    <w:rsid w:val="00A0732C"/>
    <w:rsid w:val="00A10EAF"/>
    <w:rsid w:val="00A11AB9"/>
    <w:rsid w:val="00A1296B"/>
    <w:rsid w:val="00A131E4"/>
    <w:rsid w:val="00A1453E"/>
    <w:rsid w:val="00A16838"/>
    <w:rsid w:val="00A16A73"/>
    <w:rsid w:val="00A17149"/>
    <w:rsid w:val="00A17D33"/>
    <w:rsid w:val="00A17F46"/>
    <w:rsid w:val="00A212F3"/>
    <w:rsid w:val="00A2267C"/>
    <w:rsid w:val="00A22968"/>
    <w:rsid w:val="00A22C66"/>
    <w:rsid w:val="00A24069"/>
    <w:rsid w:val="00A244D6"/>
    <w:rsid w:val="00A25B90"/>
    <w:rsid w:val="00A26192"/>
    <w:rsid w:val="00A30CE2"/>
    <w:rsid w:val="00A31690"/>
    <w:rsid w:val="00A316DD"/>
    <w:rsid w:val="00A31E32"/>
    <w:rsid w:val="00A3321D"/>
    <w:rsid w:val="00A3358C"/>
    <w:rsid w:val="00A342F0"/>
    <w:rsid w:val="00A352CE"/>
    <w:rsid w:val="00A35DAA"/>
    <w:rsid w:val="00A36198"/>
    <w:rsid w:val="00A378D0"/>
    <w:rsid w:val="00A42839"/>
    <w:rsid w:val="00A44366"/>
    <w:rsid w:val="00A446DD"/>
    <w:rsid w:val="00A4498B"/>
    <w:rsid w:val="00A44DD2"/>
    <w:rsid w:val="00A45454"/>
    <w:rsid w:val="00A46158"/>
    <w:rsid w:val="00A46C08"/>
    <w:rsid w:val="00A50A8B"/>
    <w:rsid w:val="00A5184F"/>
    <w:rsid w:val="00A55592"/>
    <w:rsid w:val="00A565CD"/>
    <w:rsid w:val="00A56DB8"/>
    <w:rsid w:val="00A605B7"/>
    <w:rsid w:val="00A6091C"/>
    <w:rsid w:val="00A60961"/>
    <w:rsid w:val="00A60EAE"/>
    <w:rsid w:val="00A620BC"/>
    <w:rsid w:val="00A6219D"/>
    <w:rsid w:val="00A64791"/>
    <w:rsid w:val="00A67758"/>
    <w:rsid w:val="00A67B0A"/>
    <w:rsid w:val="00A67E42"/>
    <w:rsid w:val="00A704D9"/>
    <w:rsid w:val="00A72C4B"/>
    <w:rsid w:val="00A76C84"/>
    <w:rsid w:val="00A775C4"/>
    <w:rsid w:val="00A77A7C"/>
    <w:rsid w:val="00A77A9D"/>
    <w:rsid w:val="00A8147B"/>
    <w:rsid w:val="00A840EC"/>
    <w:rsid w:val="00A86322"/>
    <w:rsid w:val="00A87580"/>
    <w:rsid w:val="00A878EA"/>
    <w:rsid w:val="00A923B1"/>
    <w:rsid w:val="00A92899"/>
    <w:rsid w:val="00A929F4"/>
    <w:rsid w:val="00A94287"/>
    <w:rsid w:val="00A947A5"/>
    <w:rsid w:val="00A94BC4"/>
    <w:rsid w:val="00A95C60"/>
    <w:rsid w:val="00A96034"/>
    <w:rsid w:val="00A970B6"/>
    <w:rsid w:val="00A972BC"/>
    <w:rsid w:val="00AA0656"/>
    <w:rsid w:val="00AA12E5"/>
    <w:rsid w:val="00AA1759"/>
    <w:rsid w:val="00AA1BAA"/>
    <w:rsid w:val="00AA3219"/>
    <w:rsid w:val="00AB2499"/>
    <w:rsid w:val="00AB278C"/>
    <w:rsid w:val="00AB51D0"/>
    <w:rsid w:val="00AB721A"/>
    <w:rsid w:val="00AB7610"/>
    <w:rsid w:val="00AB78A7"/>
    <w:rsid w:val="00AB7BB8"/>
    <w:rsid w:val="00AC05F6"/>
    <w:rsid w:val="00AC3A5E"/>
    <w:rsid w:val="00AC525E"/>
    <w:rsid w:val="00AD0358"/>
    <w:rsid w:val="00AD0689"/>
    <w:rsid w:val="00AD1409"/>
    <w:rsid w:val="00AD23D1"/>
    <w:rsid w:val="00AD319C"/>
    <w:rsid w:val="00AD47A5"/>
    <w:rsid w:val="00AD5778"/>
    <w:rsid w:val="00AD70CF"/>
    <w:rsid w:val="00AE05DA"/>
    <w:rsid w:val="00AE066F"/>
    <w:rsid w:val="00AE502C"/>
    <w:rsid w:val="00AE6B87"/>
    <w:rsid w:val="00AE6C07"/>
    <w:rsid w:val="00AF1F70"/>
    <w:rsid w:val="00AF208A"/>
    <w:rsid w:val="00AF3C03"/>
    <w:rsid w:val="00AF4DA0"/>
    <w:rsid w:val="00AF563C"/>
    <w:rsid w:val="00AF7EC9"/>
    <w:rsid w:val="00B0055D"/>
    <w:rsid w:val="00B016E2"/>
    <w:rsid w:val="00B02E79"/>
    <w:rsid w:val="00B035FD"/>
    <w:rsid w:val="00B03F01"/>
    <w:rsid w:val="00B057A4"/>
    <w:rsid w:val="00B0725C"/>
    <w:rsid w:val="00B1059E"/>
    <w:rsid w:val="00B11287"/>
    <w:rsid w:val="00B11E65"/>
    <w:rsid w:val="00B12463"/>
    <w:rsid w:val="00B13C6E"/>
    <w:rsid w:val="00B15721"/>
    <w:rsid w:val="00B158E3"/>
    <w:rsid w:val="00B16172"/>
    <w:rsid w:val="00B16397"/>
    <w:rsid w:val="00B16667"/>
    <w:rsid w:val="00B16CAE"/>
    <w:rsid w:val="00B229CF"/>
    <w:rsid w:val="00B2411F"/>
    <w:rsid w:val="00B24832"/>
    <w:rsid w:val="00B250A3"/>
    <w:rsid w:val="00B2581B"/>
    <w:rsid w:val="00B2616D"/>
    <w:rsid w:val="00B30361"/>
    <w:rsid w:val="00B306CE"/>
    <w:rsid w:val="00B336B1"/>
    <w:rsid w:val="00B35330"/>
    <w:rsid w:val="00B36181"/>
    <w:rsid w:val="00B3637E"/>
    <w:rsid w:val="00B374BE"/>
    <w:rsid w:val="00B37D27"/>
    <w:rsid w:val="00B403A5"/>
    <w:rsid w:val="00B42158"/>
    <w:rsid w:val="00B4279F"/>
    <w:rsid w:val="00B428B6"/>
    <w:rsid w:val="00B4391C"/>
    <w:rsid w:val="00B44532"/>
    <w:rsid w:val="00B45430"/>
    <w:rsid w:val="00B46AB3"/>
    <w:rsid w:val="00B506E0"/>
    <w:rsid w:val="00B534BC"/>
    <w:rsid w:val="00B53CEC"/>
    <w:rsid w:val="00B54E85"/>
    <w:rsid w:val="00B55BD4"/>
    <w:rsid w:val="00B55C85"/>
    <w:rsid w:val="00B56547"/>
    <w:rsid w:val="00B567CD"/>
    <w:rsid w:val="00B56846"/>
    <w:rsid w:val="00B57706"/>
    <w:rsid w:val="00B60A9C"/>
    <w:rsid w:val="00B625E0"/>
    <w:rsid w:val="00B628B7"/>
    <w:rsid w:val="00B63281"/>
    <w:rsid w:val="00B63F45"/>
    <w:rsid w:val="00B6548B"/>
    <w:rsid w:val="00B654E5"/>
    <w:rsid w:val="00B65BEA"/>
    <w:rsid w:val="00B67ABA"/>
    <w:rsid w:val="00B701C8"/>
    <w:rsid w:val="00B7091B"/>
    <w:rsid w:val="00B710BE"/>
    <w:rsid w:val="00B7139F"/>
    <w:rsid w:val="00B71C58"/>
    <w:rsid w:val="00B73C8A"/>
    <w:rsid w:val="00B743FF"/>
    <w:rsid w:val="00B747FC"/>
    <w:rsid w:val="00B76A5A"/>
    <w:rsid w:val="00B77152"/>
    <w:rsid w:val="00B77382"/>
    <w:rsid w:val="00B81402"/>
    <w:rsid w:val="00B8185A"/>
    <w:rsid w:val="00B8455B"/>
    <w:rsid w:val="00B848A8"/>
    <w:rsid w:val="00B853E2"/>
    <w:rsid w:val="00B85885"/>
    <w:rsid w:val="00B8699C"/>
    <w:rsid w:val="00B86D97"/>
    <w:rsid w:val="00B87FAA"/>
    <w:rsid w:val="00B92A1F"/>
    <w:rsid w:val="00B92B03"/>
    <w:rsid w:val="00B92DA4"/>
    <w:rsid w:val="00B95E4C"/>
    <w:rsid w:val="00B96473"/>
    <w:rsid w:val="00B97B9B"/>
    <w:rsid w:val="00BA2D24"/>
    <w:rsid w:val="00BA356F"/>
    <w:rsid w:val="00BA3CE4"/>
    <w:rsid w:val="00BA44A1"/>
    <w:rsid w:val="00BA4DB8"/>
    <w:rsid w:val="00BA6098"/>
    <w:rsid w:val="00BB113E"/>
    <w:rsid w:val="00BB26EC"/>
    <w:rsid w:val="00BB34C8"/>
    <w:rsid w:val="00BB3D0A"/>
    <w:rsid w:val="00BB4A8F"/>
    <w:rsid w:val="00BB7140"/>
    <w:rsid w:val="00BB737B"/>
    <w:rsid w:val="00BB7781"/>
    <w:rsid w:val="00BB7A87"/>
    <w:rsid w:val="00BC15E9"/>
    <w:rsid w:val="00BC1CFF"/>
    <w:rsid w:val="00BC1F0D"/>
    <w:rsid w:val="00BC3416"/>
    <w:rsid w:val="00BC54E2"/>
    <w:rsid w:val="00BC5F65"/>
    <w:rsid w:val="00BC5FE4"/>
    <w:rsid w:val="00BC75F8"/>
    <w:rsid w:val="00BD106E"/>
    <w:rsid w:val="00BD1AD0"/>
    <w:rsid w:val="00BD2B7B"/>
    <w:rsid w:val="00BD2EA1"/>
    <w:rsid w:val="00BD37D3"/>
    <w:rsid w:val="00BD5627"/>
    <w:rsid w:val="00BD66C5"/>
    <w:rsid w:val="00BD6F40"/>
    <w:rsid w:val="00BE00DA"/>
    <w:rsid w:val="00BE01FB"/>
    <w:rsid w:val="00BE053D"/>
    <w:rsid w:val="00BE0BB7"/>
    <w:rsid w:val="00BE125A"/>
    <w:rsid w:val="00BE174F"/>
    <w:rsid w:val="00BE2DCF"/>
    <w:rsid w:val="00BE30A8"/>
    <w:rsid w:val="00BE3470"/>
    <w:rsid w:val="00BE39FC"/>
    <w:rsid w:val="00BE7753"/>
    <w:rsid w:val="00BE7F62"/>
    <w:rsid w:val="00BF024B"/>
    <w:rsid w:val="00BF1474"/>
    <w:rsid w:val="00BF4A0F"/>
    <w:rsid w:val="00BF51F1"/>
    <w:rsid w:val="00BF58C8"/>
    <w:rsid w:val="00BF5FE9"/>
    <w:rsid w:val="00BF6403"/>
    <w:rsid w:val="00C009A1"/>
    <w:rsid w:val="00C01A38"/>
    <w:rsid w:val="00C01FF1"/>
    <w:rsid w:val="00C03DB0"/>
    <w:rsid w:val="00C04DEE"/>
    <w:rsid w:val="00C05512"/>
    <w:rsid w:val="00C05DA2"/>
    <w:rsid w:val="00C1162E"/>
    <w:rsid w:val="00C11DA0"/>
    <w:rsid w:val="00C12246"/>
    <w:rsid w:val="00C128F7"/>
    <w:rsid w:val="00C13387"/>
    <w:rsid w:val="00C13735"/>
    <w:rsid w:val="00C1400E"/>
    <w:rsid w:val="00C17550"/>
    <w:rsid w:val="00C179F3"/>
    <w:rsid w:val="00C22513"/>
    <w:rsid w:val="00C2313E"/>
    <w:rsid w:val="00C25AD3"/>
    <w:rsid w:val="00C2625F"/>
    <w:rsid w:val="00C26A66"/>
    <w:rsid w:val="00C30E3F"/>
    <w:rsid w:val="00C319E3"/>
    <w:rsid w:val="00C32C2D"/>
    <w:rsid w:val="00C35EBD"/>
    <w:rsid w:val="00C36529"/>
    <w:rsid w:val="00C36FEC"/>
    <w:rsid w:val="00C40369"/>
    <w:rsid w:val="00C408AF"/>
    <w:rsid w:val="00C40F45"/>
    <w:rsid w:val="00C4148C"/>
    <w:rsid w:val="00C420FC"/>
    <w:rsid w:val="00C422E3"/>
    <w:rsid w:val="00C427CF"/>
    <w:rsid w:val="00C434B4"/>
    <w:rsid w:val="00C449B1"/>
    <w:rsid w:val="00C4522B"/>
    <w:rsid w:val="00C4607F"/>
    <w:rsid w:val="00C464EA"/>
    <w:rsid w:val="00C5023B"/>
    <w:rsid w:val="00C502D1"/>
    <w:rsid w:val="00C50499"/>
    <w:rsid w:val="00C51D8F"/>
    <w:rsid w:val="00C522EB"/>
    <w:rsid w:val="00C5437B"/>
    <w:rsid w:val="00C5587E"/>
    <w:rsid w:val="00C56BEF"/>
    <w:rsid w:val="00C57C4D"/>
    <w:rsid w:val="00C61568"/>
    <w:rsid w:val="00C623C5"/>
    <w:rsid w:val="00C6299A"/>
    <w:rsid w:val="00C62AC3"/>
    <w:rsid w:val="00C632F9"/>
    <w:rsid w:val="00C63A80"/>
    <w:rsid w:val="00C6430D"/>
    <w:rsid w:val="00C6545A"/>
    <w:rsid w:val="00C65693"/>
    <w:rsid w:val="00C67082"/>
    <w:rsid w:val="00C70D96"/>
    <w:rsid w:val="00C70FFC"/>
    <w:rsid w:val="00C71757"/>
    <w:rsid w:val="00C7299E"/>
    <w:rsid w:val="00C754F2"/>
    <w:rsid w:val="00C76D57"/>
    <w:rsid w:val="00C77F5F"/>
    <w:rsid w:val="00C80754"/>
    <w:rsid w:val="00C80F53"/>
    <w:rsid w:val="00C8106F"/>
    <w:rsid w:val="00C824C5"/>
    <w:rsid w:val="00C827C1"/>
    <w:rsid w:val="00C82A25"/>
    <w:rsid w:val="00C8338C"/>
    <w:rsid w:val="00C84B9B"/>
    <w:rsid w:val="00C85FEC"/>
    <w:rsid w:val="00C8636E"/>
    <w:rsid w:val="00C8651B"/>
    <w:rsid w:val="00C87628"/>
    <w:rsid w:val="00C87712"/>
    <w:rsid w:val="00C904A7"/>
    <w:rsid w:val="00C90DC5"/>
    <w:rsid w:val="00C9105E"/>
    <w:rsid w:val="00C915D1"/>
    <w:rsid w:val="00C9187C"/>
    <w:rsid w:val="00C9238A"/>
    <w:rsid w:val="00C92D21"/>
    <w:rsid w:val="00C935E1"/>
    <w:rsid w:val="00C942E7"/>
    <w:rsid w:val="00C951B7"/>
    <w:rsid w:val="00C96A93"/>
    <w:rsid w:val="00C972E9"/>
    <w:rsid w:val="00CA4172"/>
    <w:rsid w:val="00CA4FF0"/>
    <w:rsid w:val="00CA5488"/>
    <w:rsid w:val="00CA6908"/>
    <w:rsid w:val="00CA77D1"/>
    <w:rsid w:val="00CB00DD"/>
    <w:rsid w:val="00CB23C2"/>
    <w:rsid w:val="00CB272F"/>
    <w:rsid w:val="00CB5364"/>
    <w:rsid w:val="00CB5774"/>
    <w:rsid w:val="00CB585C"/>
    <w:rsid w:val="00CB6643"/>
    <w:rsid w:val="00CB6694"/>
    <w:rsid w:val="00CC1B29"/>
    <w:rsid w:val="00CC21AD"/>
    <w:rsid w:val="00CC2A3E"/>
    <w:rsid w:val="00CC2A44"/>
    <w:rsid w:val="00CC2C63"/>
    <w:rsid w:val="00CC2EDB"/>
    <w:rsid w:val="00CC41A6"/>
    <w:rsid w:val="00CC4603"/>
    <w:rsid w:val="00CC513E"/>
    <w:rsid w:val="00CC7358"/>
    <w:rsid w:val="00CC74E7"/>
    <w:rsid w:val="00CD124B"/>
    <w:rsid w:val="00CD1FF0"/>
    <w:rsid w:val="00CD43B6"/>
    <w:rsid w:val="00CD5241"/>
    <w:rsid w:val="00CD6641"/>
    <w:rsid w:val="00CE13FB"/>
    <w:rsid w:val="00CE2157"/>
    <w:rsid w:val="00CE236E"/>
    <w:rsid w:val="00CE23E1"/>
    <w:rsid w:val="00CE255D"/>
    <w:rsid w:val="00CE42AE"/>
    <w:rsid w:val="00CE4420"/>
    <w:rsid w:val="00CE4E92"/>
    <w:rsid w:val="00CE5814"/>
    <w:rsid w:val="00CE5FCD"/>
    <w:rsid w:val="00CE67B9"/>
    <w:rsid w:val="00CF1469"/>
    <w:rsid w:val="00CF17D4"/>
    <w:rsid w:val="00CF1F1D"/>
    <w:rsid w:val="00CF2AB6"/>
    <w:rsid w:val="00CF2EA7"/>
    <w:rsid w:val="00CF35F8"/>
    <w:rsid w:val="00CF3CED"/>
    <w:rsid w:val="00CF430C"/>
    <w:rsid w:val="00CF4EA6"/>
    <w:rsid w:val="00CF6A14"/>
    <w:rsid w:val="00CF7200"/>
    <w:rsid w:val="00D0023D"/>
    <w:rsid w:val="00D0260F"/>
    <w:rsid w:val="00D03365"/>
    <w:rsid w:val="00D0534A"/>
    <w:rsid w:val="00D06DDB"/>
    <w:rsid w:val="00D06F42"/>
    <w:rsid w:val="00D07018"/>
    <w:rsid w:val="00D07F68"/>
    <w:rsid w:val="00D1106F"/>
    <w:rsid w:val="00D11091"/>
    <w:rsid w:val="00D1282E"/>
    <w:rsid w:val="00D155A0"/>
    <w:rsid w:val="00D15DAE"/>
    <w:rsid w:val="00D15DCE"/>
    <w:rsid w:val="00D16871"/>
    <w:rsid w:val="00D16ED5"/>
    <w:rsid w:val="00D16F37"/>
    <w:rsid w:val="00D16FF8"/>
    <w:rsid w:val="00D17230"/>
    <w:rsid w:val="00D20CB6"/>
    <w:rsid w:val="00D233ED"/>
    <w:rsid w:val="00D24F9C"/>
    <w:rsid w:val="00D254B6"/>
    <w:rsid w:val="00D25543"/>
    <w:rsid w:val="00D25EB8"/>
    <w:rsid w:val="00D26433"/>
    <w:rsid w:val="00D30507"/>
    <w:rsid w:val="00D31AD8"/>
    <w:rsid w:val="00D32B41"/>
    <w:rsid w:val="00D349F1"/>
    <w:rsid w:val="00D35246"/>
    <w:rsid w:val="00D368FC"/>
    <w:rsid w:val="00D37C2A"/>
    <w:rsid w:val="00D40202"/>
    <w:rsid w:val="00D40248"/>
    <w:rsid w:val="00D43462"/>
    <w:rsid w:val="00D444F8"/>
    <w:rsid w:val="00D44BCD"/>
    <w:rsid w:val="00D45702"/>
    <w:rsid w:val="00D45893"/>
    <w:rsid w:val="00D46B54"/>
    <w:rsid w:val="00D47ABE"/>
    <w:rsid w:val="00D50724"/>
    <w:rsid w:val="00D5179A"/>
    <w:rsid w:val="00D5386F"/>
    <w:rsid w:val="00D5442E"/>
    <w:rsid w:val="00D55076"/>
    <w:rsid w:val="00D55714"/>
    <w:rsid w:val="00D55985"/>
    <w:rsid w:val="00D56040"/>
    <w:rsid w:val="00D56760"/>
    <w:rsid w:val="00D62F37"/>
    <w:rsid w:val="00D64EE0"/>
    <w:rsid w:val="00D655A2"/>
    <w:rsid w:val="00D65996"/>
    <w:rsid w:val="00D66380"/>
    <w:rsid w:val="00D7106F"/>
    <w:rsid w:val="00D71C5D"/>
    <w:rsid w:val="00D72E4E"/>
    <w:rsid w:val="00D75B2C"/>
    <w:rsid w:val="00D76372"/>
    <w:rsid w:val="00D77B1D"/>
    <w:rsid w:val="00D77FB5"/>
    <w:rsid w:val="00D813CA"/>
    <w:rsid w:val="00D81525"/>
    <w:rsid w:val="00D81D43"/>
    <w:rsid w:val="00D828D2"/>
    <w:rsid w:val="00D832F5"/>
    <w:rsid w:val="00D83944"/>
    <w:rsid w:val="00D84B88"/>
    <w:rsid w:val="00D9080D"/>
    <w:rsid w:val="00D9261B"/>
    <w:rsid w:val="00D9276F"/>
    <w:rsid w:val="00D92B6E"/>
    <w:rsid w:val="00D93CC0"/>
    <w:rsid w:val="00D961BA"/>
    <w:rsid w:val="00DA053E"/>
    <w:rsid w:val="00DA0CE3"/>
    <w:rsid w:val="00DA1A2C"/>
    <w:rsid w:val="00DA1D50"/>
    <w:rsid w:val="00DA4323"/>
    <w:rsid w:val="00DA453A"/>
    <w:rsid w:val="00DA49FE"/>
    <w:rsid w:val="00DA60BF"/>
    <w:rsid w:val="00DA74F1"/>
    <w:rsid w:val="00DA770A"/>
    <w:rsid w:val="00DB0B0D"/>
    <w:rsid w:val="00DB1ACB"/>
    <w:rsid w:val="00DB23CE"/>
    <w:rsid w:val="00DB2C44"/>
    <w:rsid w:val="00DB340C"/>
    <w:rsid w:val="00DB3F90"/>
    <w:rsid w:val="00DB3FDA"/>
    <w:rsid w:val="00DB7054"/>
    <w:rsid w:val="00DC1041"/>
    <w:rsid w:val="00DC2EAF"/>
    <w:rsid w:val="00DC3DE7"/>
    <w:rsid w:val="00DC4427"/>
    <w:rsid w:val="00DC58DC"/>
    <w:rsid w:val="00DC6EBE"/>
    <w:rsid w:val="00DC7DCF"/>
    <w:rsid w:val="00DD030E"/>
    <w:rsid w:val="00DD0C82"/>
    <w:rsid w:val="00DD1AD7"/>
    <w:rsid w:val="00DD1C30"/>
    <w:rsid w:val="00DD248F"/>
    <w:rsid w:val="00DD3050"/>
    <w:rsid w:val="00DD3F99"/>
    <w:rsid w:val="00DD5203"/>
    <w:rsid w:val="00DD523D"/>
    <w:rsid w:val="00DD5A39"/>
    <w:rsid w:val="00DD5EB5"/>
    <w:rsid w:val="00DD69A7"/>
    <w:rsid w:val="00DD7427"/>
    <w:rsid w:val="00DD7448"/>
    <w:rsid w:val="00DE081B"/>
    <w:rsid w:val="00DE08CD"/>
    <w:rsid w:val="00DE1925"/>
    <w:rsid w:val="00DE4E8F"/>
    <w:rsid w:val="00DE5343"/>
    <w:rsid w:val="00DE5F7C"/>
    <w:rsid w:val="00DE677A"/>
    <w:rsid w:val="00DE771E"/>
    <w:rsid w:val="00DF108E"/>
    <w:rsid w:val="00DF1E87"/>
    <w:rsid w:val="00DF2861"/>
    <w:rsid w:val="00DF2E01"/>
    <w:rsid w:val="00DF2E16"/>
    <w:rsid w:val="00DF45D8"/>
    <w:rsid w:val="00DF4BAC"/>
    <w:rsid w:val="00DF507B"/>
    <w:rsid w:val="00DF53C9"/>
    <w:rsid w:val="00E014D1"/>
    <w:rsid w:val="00E02478"/>
    <w:rsid w:val="00E0266E"/>
    <w:rsid w:val="00E0322A"/>
    <w:rsid w:val="00E042BC"/>
    <w:rsid w:val="00E05752"/>
    <w:rsid w:val="00E060CF"/>
    <w:rsid w:val="00E066A6"/>
    <w:rsid w:val="00E1031E"/>
    <w:rsid w:val="00E10FB8"/>
    <w:rsid w:val="00E11582"/>
    <w:rsid w:val="00E1406B"/>
    <w:rsid w:val="00E1424D"/>
    <w:rsid w:val="00E15142"/>
    <w:rsid w:val="00E21CFB"/>
    <w:rsid w:val="00E26382"/>
    <w:rsid w:val="00E30FC1"/>
    <w:rsid w:val="00E31873"/>
    <w:rsid w:val="00E31F5C"/>
    <w:rsid w:val="00E320C0"/>
    <w:rsid w:val="00E32407"/>
    <w:rsid w:val="00E33627"/>
    <w:rsid w:val="00E353EB"/>
    <w:rsid w:val="00E35892"/>
    <w:rsid w:val="00E35B5C"/>
    <w:rsid w:val="00E35D3F"/>
    <w:rsid w:val="00E36D9B"/>
    <w:rsid w:val="00E373A5"/>
    <w:rsid w:val="00E40A1B"/>
    <w:rsid w:val="00E40E64"/>
    <w:rsid w:val="00E414C2"/>
    <w:rsid w:val="00E42153"/>
    <w:rsid w:val="00E436D6"/>
    <w:rsid w:val="00E43DAB"/>
    <w:rsid w:val="00E4408F"/>
    <w:rsid w:val="00E44D73"/>
    <w:rsid w:val="00E475FD"/>
    <w:rsid w:val="00E47D9E"/>
    <w:rsid w:val="00E5046E"/>
    <w:rsid w:val="00E50CD5"/>
    <w:rsid w:val="00E51DF6"/>
    <w:rsid w:val="00E52044"/>
    <w:rsid w:val="00E528DD"/>
    <w:rsid w:val="00E52A97"/>
    <w:rsid w:val="00E52C27"/>
    <w:rsid w:val="00E541C8"/>
    <w:rsid w:val="00E54226"/>
    <w:rsid w:val="00E5686F"/>
    <w:rsid w:val="00E5691A"/>
    <w:rsid w:val="00E5747A"/>
    <w:rsid w:val="00E578CB"/>
    <w:rsid w:val="00E6001F"/>
    <w:rsid w:val="00E60206"/>
    <w:rsid w:val="00E60E71"/>
    <w:rsid w:val="00E61E6E"/>
    <w:rsid w:val="00E62B17"/>
    <w:rsid w:val="00E65EF3"/>
    <w:rsid w:val="00E67640"/>
    <w:rsid w:val="00E6765F"/>
    <w:rsid w:val="00E70429"/>
    <w:rsid w:val="00E70586"/>
    <w:rsid w:val="00E712F0"/>
    <w:rsid w:val="00E73533"/>
    <w:rsid w:val="00E74B3D"/>
    <w:rsid w:val="00E76145"/>
    <w:rsid w:val="00E767E7"/>
    <w:rsid w:val="00E76DA6"/>
    <w:rsid w:val="00E778E9"/>
    <w:rsid w:val="00E80A21"/>
    <w:rsid w:val="00E829D4"/>
    <w:rsid w:val="00E83C54"/>
    <w:rsid w:val="00E849E0"/>
    <w:rsid w:val="00E84BC7"/>
    <w:rsid w:val="00E902AE"/>
    <w:rsid w:val="00E9283F"/>
    <w:rsid w:val="00E949D7"/>
    <w:rsid w:val="00E95F88"/>
    <w:rsid w:val="00E96603"/>
    <w:rsid w:val="00E977B3"/>
    <w:rsid w:val="00E97BF8"/>
    <w:rsid w:val="00EA0169"/>
    <w:rsid w:val="00EA0177"/>
    <w:rsid w:val="00EA1364"/>
    <w:rsid w:val="00EA25AB"/>
    <w:rsid w:val="00EA2ECE"/>
    <w:rsid w:val="00EA36D5"/>
    <w:rsid w:val="00EA3787"/>
    <w:rsid w:val="00EA4753"/>
    <w:rsid w:val="00EA5017"/>
    <w:rsid w:val="00EA524F"/>
    <w:rsid w:val="00EA59BA"/>
    <w:rsid w:val="00EB0266"/>
    <w:rsid w:val="00EB254C"/>
    <w:rsid w:val="00EB50FA"/>
    <w:rsid w:val="00EB5DF7"/>
    <w:rsid w:val="00EB604E"/>
    <w:rsid w:val="00EB6CC9"/>
    <w:rsid w:val="00EC074E"/>
    <w:rsid w:val="00EC1BD8"/>
    <w:rsid w:val="00EC6B51"/>
    <w:rsid w:val="00ED1483"/>
    <w:rsid w:val="00ED1874"/>
    <w:rsid w:val="00ED2708"/>
    <w:rsid w:val="00ED2AF6"/>
    <w:rsid w:val="00ED5334"/>
    <w:rsid w:val="00ED6FE0"/>
    <w:rsid w:val="00ED7072"/>
    <w:rsid w:val="00EE0328"/>
    <w:rsid w:val="00EE1C4B"/>
    <w:rsid w:val="00EE265D"/>
    <w:rsid w:val="00EE4A01"/>
    <w:rsid w:val="00EE549A"/>
    <w:rsid w:val="00EE5521"/>
    <w:rsid w:val="00EE5793"/>
    <w:rsid w:val="00EE7B8A"/>
    <w:rsid w:val="00EE7E51"/>
    <w:rsid w:val="00EF04E9"/>
    <w:rsid w:val="00EF2896"/>
    <w:rsid w:val="00EF2A2D"/>
    <w:rsid w:val="00EF2CDA"/>
    <w:rsid w:val="00EF3B9D"/>
    <w:rsid w:val="00EF3D50"/>
    <w:rsid w:val="00EF5411"/>
    <w:rsid w:val="00EF7535"/>
    <w:rsid w:val="00F00AE0"/>
    <w:rsid w:val="00F015D4"/>
    <w:rsid w:val="00F026D6"/>
    <w:rsid w:val="00F02FAB"/>
    <w:rsid w:val="00F03B50"/>
    <w:rsid w:val="00F048A2"/>
    <w:rsid w:val="00F062BC"/>
    <w:rsid w:val="00F079A7"/>
    <w:rsid w:val="00F105EB"/>
    <w:rsid w:val="00F10A2E"/>
    <w:rsid w:val="00F1141A"/>
    <w:rsid w:val="00F11D91"/>
    <w:rsid w:val="00F12461"/>
    <w:rsid w:val="00F12E80"/>
    <w:rsid w:val="00F137B0"/>
    <w:rsid w:val="00F144E4"/>
    <w:rsid w:val="00F1551A"/>
    <w:rsid w:val="00F155A4"/>
    <w:rsid w:val="00F174D2"/>
    <w:rsid w:val="00F17FBD"/>
    <w:rsid w:val="00F229DA"/>
    <w:rsid w:val="00F22E4B"/>
    <w:rsid w:val="00F237A4"/>
    <w:rsid w:val="00F24EB6"/>
    <w:rsid w:val="00F25472"/>
    <w:rsid w:val="00F3084E"/>
    <w:rsid w:val="00F30962"/>
    <w:rsid w:val="00F30DD2"/>
    <w:rsid w:val="00F30FC3"/>
    <w:rsid w:val="00F33526"/>
    <w:rsid w:val="00F343F7"/>
    <w:rsid w:val="00F35FC9"/>
    <w:rsid w:val="00F375E7"/>
    <w:rsid w:val="00F406FA"/>
    <w:rsid w:val="00F417D4"/>
    <w:rsid w:val="00F42993"/>
    <w:rsid w:val="00F4403B"/>
    <w:rsid w:val="00F45966"/>
    <w:rsid w:val="00F45D71"/>
    <w:rsid w:val="00F45EAC"/>
    <w:rsid w:val="00F462F3"/>
    <w:rsid w:val="00F46324"/>
    <w:rsid w:val="00F5046E"/>
    <w:rsid w:val="00F50AA0"/>
    <w:rsid w:val="00F539EF"/>
    <w:rsid w:val="00F55A3A"/>
    <w:rsid w:val="00F55A92"/>
    <w:rsid w:val="00F55F44"/>
    <w:rsid w:val="00F57741"/>
    <w:rsid w:val="00F578E6"/>
    <w:rsid w:val="00F60C09"/>
    <w:rsid w:val="00F616A5"/>
    <w:rsid w:val="00F61D8E"/>
    <w:rsid w:val="00F623C6"/>
    <w:rsid w:val="00F6277C"/>
    <w:rsid w:val="00F62A45"/>
    <w:rsid w:val="00F62AF3"/>
    <w:rsid w:val="00F63F8B"/>
    <w:rsid w:val="00F64937"/>
    <w:rsid w:val="00F64C9E"/>
    <w:rsid w:val="00F65525"/>
    <w:rsid w:val="00F67A6C"/>
    <w:rsid w:val="00F7022A"/>
    <w:rsid w:val="00F70B41"/>
    <w:rsid w:val="00F73EE5"/>
    <w:rsid w:val="00F73FA4"/>
    <w:rsid w:val="00F743CA"/>
    <w:rsid w:val="00F763BA"/>
    <w:rsid w:val="00F772D0"/>
    <w:rsid w:val="00F803B8"/>
    <w:rsid w:val="00F8088F"/>
    <w:rsid w:val="00F82630"/>
    <w:rsid w:val="00F83177"/>
    <w:rsid w:val="00F83D18"/>
    <w:rsid w:val="00F84807"/>
    <w:rsid w:val="00F850F4"/>
    <w:rsid w:val="00F854D2"/>
    <w:rsid w:val="00F856CA"/>
    <w:rsid w:val="00F8653B"/>
    <w:rsid w:val="00F8686A"/>
    <w:rsid w:val="00F87724"/>
    <w:rsid w:val="00F8775B"/>
    <w:rsid w:val="00F91124"/>
    <w:rsid w:val="00F91153"/>
    <w:rsid w:val="00F91254"/>
    <w:rsid w:val="00F917AD"/>
    <w:rsid w:val="00F934F3"/>
    <w:rsid w:val="00F93503"/>
    <w:rsid w:val="00F94125"/>
    <w:rsid w:val="00F94690"/>
    <w:rsid w:val="00F95FFF"/>
    <w:rsid w:val="00F9633C"/>
    <w:rsid w:val="00F96F35"/>
    <w:rsid w:val="00F97088"/>
    <w:rsid w:val="00FA1247"/>
    <w:rsid w:val="00FA45C1"/>
    <w:rsid w:val="00FA5FD6"/>
    <w:rsid w:val="00FA761D"/>
    <w:rsid w:val="00FA77DE"/>
    <w:rsid w:val="00FA7A4A"/>
    <w:rsid w:val="00FB0D0B"/>
    <w:rsid w:val="00FB28F9"/>
    <w:rsid w:val="00FB35AD"/>
    <w:rsid w:val="00FB37C7"/>
    <w:rsid w:val="00FB466A"/>
    <w:rsid w:val="00FB52D1"/>
    <w:rsid w:val="00FB7068"/>
    <w:rsid w:val="00FC4BD0"/>
    <w:rsid w:val="00FC5206"/>
    <w:rsid w:val="00FC561C"/>
    <w:rsid w:val="00FC5C68"/>
    <w:rsid w:val="00FC5CED"/>
    <w:rsid w:val="00FC61DF"/>
    <w:rsid w:val="00FC6B94"/>
    <w:rsid w:val="00FC70C3"/>
    <w:rsid w:val="00FC760C"/>
    <w:rsid w:val="00FC7FCA"/>
    <w:rsid w:val="00FD0899"/>
    <w:rsid w:val="00FD0DEF"/>
    <w:rsid w:val="00FD1365"/>
    <w:rsid w:val="00FD18F6"/>
    <w:rsid w:val="00FD248A"/>
    <w:rsid w:val="00FD2BD5"/>
    <w:rsid w:val="00FD31FF"/>
    <w:rsid w:val="00FD5178"/>
    <w:rsid w:val="00FD5BA0"/>
    <w:rsid w:val="00FD6769"/>
    <w:rsid w:val="00FD775A"/>
    <w:rsid w:val="00FD7842"/>
    <w:rsid w:val="00FE03F6"/>
    <w:rsid w:val="00FE09EF"/>
    <w:rsid w:val="00FE2278"/>
    <w:rsid w:val="00FE28BA"/>
    <w:rsid w:val="00FE2FC4"/>
    <w:rsid w:val="00FE3D34"/>
    <w:rsid w:val="00FE4A92"/>
    <w:rsid w:val="00FE5445"/>
    <w:rsid w:val="00FE7940"/>
    <w:rsid w:val="00FF07CF"/>
    <w:rsid w:val="00FF0F90"/>
    <w:rsid w:val="00FF58B4"/>
    <w:rsid w:val="00FF5C5F"/>
    <w:rsid w:val="00FF677B"/>
    <w:rsid w:val="00FF6BE3"/>
    <w:rsid w:val="00FF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D5CCD"/>
  <w14:defaultImageDpi w14:val="32767"/>
  <w15:chartTrackingRefBased/>
  <w15:docId w15:val="{5065723C-6036-7C4C-B667-193D848D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709B9"/>
  </w:style>
  <w:style w:type="paragraph" w:styleId="Heading1">
    <w:name w:val="heading 1"/>
    <w:basedOn w:val="Normal"/>
    <w:next w:val="Normal"/>
    <w:link w:val="Heading1Char"/>
    <w:uiPriority w:val="9"/>
    <w:qFormat/>
    <w:rsid w:val="000709B9"/>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0709B9"/>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0709B9"/>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0709B9"/>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0709B9"/>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0709B9"/>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0709B9"/>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0709B9"/>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0709B9"/>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B9"/>
    <w:rPr>
      <w:smallCaps/>
      <w:spacing w:val="5"/>
      <w:sz w:val="32"/>
      <w:szCs w:val="32"/>
    </w:rPr>
  </w:style>
  <w:style w:type="character" w:customStyle="1" w:styleId="Heading2Char">
    <w:name w:val="Heading 2 Char"/>
    <w:basedOn w:val="DefaultParagraphFont"/>
    <w:link w:val="Heading2"/>
    <w:uiPriority w:val="9"/>
    <w:rsid w:val="000709B9"/>
    <w:rPr>
      <w:smallCaps/>
      <w:spacing w:val="5"/>
      <w:sz w:val="28"/>
      <w:szCs w:val="28"/>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0709B9"/>
    <w:pPr>
      <w:ind w:left="720"/>
      <w:contextualSpacing/>
    </w:pPr>
  </w:style>
  <w:style w:type="paragraph" w:styleId="NormalWeb">
    <w:name w:val="Normal (Web)"/>
    <w:basedOn w:val="Normal"/>
    <w:uiPriority w:val="99"/>
    <w:unhideWhenUsed/>
    <w:rsid w:val="00E26382"/>
    <w:pPr>
      <w:spacing w:before="100" w:beforeAutospacing="1" w:after="100" w:afterAutospacing="1"/>
    </w:pPr>
    <w:rPr>
      <w:lang w:eastAsia="en-AU"/>
    </w:rPr>
  </w:style>
  <w:style w:type="character" w:styleId="Hyperlink">
    <w:name w:val="Hyperlink"/>
    <w:basedOn w:val="DefaultParagraphFont"/>
    <w:uiPriority w:val="99"/>
    <w:unhideWhenUsed/>
    <w:rsid w:val="00E26382"/>
    <w:rPr>
      <w:color w:val="0000FF"/>
      <w:u w:val="single"/>
    </w:rPr>
  </w:style>
  <w:style w:type="character" w:styleId="UnresolvedMention">
    <w:name w:val="Unresolved Mention"/>
    <w:basedOn w:val="DefaultParagraphFont"/>
    <w:uiPriority w:val="99"/>
    <w:rsid w:val="006B7203"/>
    <w:rPr>
      <w:color w:val="808080"/>
      <w:shd w:val="clear" w:color="auto" w:fill="E6E6E6"/>
    </w:rPr>
  </w:style>
  <w:style w:type="character" w:customStyle="1" w:styleId="Heading3Char">
    <w:name w:val="Heading 3 Char"/>
    <w:basedOn w:val="DefaultParagraphFont"/>
    <w:link w:val="Heading3"/>
    <w:uiPriority w:val="9"/>
    <w:rsid w:val="000709B9"/>
    <w:rPr>
      <w:smallCaps/>
      <w:spacing w:val="5"/>
      <w:sz w:val="24"/>
      <w:szCs w:val="24"/>
    </w:rPr>
  </w:style>
  <w:style w:type="paragraph" w:styleId="Header">
    <w:name w:val="header"/>
    <w:basedOn w:val="Normal"/>
    <w:link w:val="HeaderChar"/>
    <w:uiPriority w:val="99"/>
    <w:unhideWhenUsed/>
    <w:rsid w:val="006811B8"/>
    <w:pPr>
      <w:tabs>
        <w:tab w:val="center" w:pos="4513"/>
        <w:tab w:val="right" w:pos="9026"/>
      </w:tabs>
    </w:pPr>
    <w:rPr>
      <w:rFonts w:eastAsiaTheme="minorHAnsi"/>
    </w:rPr>
  </w:style>
  <w:style w:type="character" w:customStyle="1" w:styleId="HeaderChar">
    <w:name w:val="Header Char"/>
    <w:basedOn w:val="DefaultParagraphFont"/>
    <w:link w:val="Header"/>
    <w:uiPriority w:val="99"/>
    <w:rsid w:val="006811B8"/>
  </w:style>
  <w:style w:type="paragraph" w:styleId="Footer">
    <w:name w:val="footer"/>
    <w:basedOn w:val="Normal"/>
    <w:link w:val="FooterChar"/>
    <w:uiPriority w:val="99"/>
    <w:unhideWhenUsed/>
    <w:rsid w:val="006811B8"/>
    <w:pPr>
      <w:tabs>
        <w:tab w:val="center" w:pos="4513"/>
        <w:tab w:val="right" w:pos="9026"/>
      </w:tabs>
    </w:pPr>
    <w:rPr>
      <w:rFonts w:eastAsiaTheme="minorHAnsi"/>
    </w:rPr>
  </w:style>
  <w:style w:type="character" w:customStyle="1" w:styleId="FooterChar">
    <w:name w:val="Footer Char"/>
    <w:basedOn w:val="DefaultParagraphFont"/>
    <w:link w:val="Footer"/>
    <w:uiPriority w:val="99"/>
    <w:rsid w:val="006811B8"/>
  </w:style>
  <w:style w:type="paragraph" w:styleId="TOCHeading">
    <w:name w:val="TOC Heading"/>
    <w:basedOn w:val="Heading1"/>
    <w:next w:val="Normal"/>
    <w:uiPriority w:val="39"/>
    <w:unhideWhenUsed/>
    <w:qFormat/>
    <w:rsid w:val="000709B9"/>
    <w:pPr>
      <w:outlineLvl w:val="9"/>
    </w:pPr>
  </w:style>
  <w:style w:type="paragraph" w:styleId="TOC2">
    <w:name w:val="toc 2"/>
    <w:basedOn w:val="Normal"/>
    <w:next w:val="Normal"/>
    <w:autoRedefine/>
    <w:uiPriority w:val="39"/>
    <w:unhideWhenUsed/>
    <w:rsid w:val="00A64791"/>
    <w:pPr>
      <w:tabs>
        <w:tab w:val="right" w:leader="dot" w:pos="9010"/>
      </w:tabs>
      <w:spacing w:after="100"/>
      <w:ind w:left="240" w:hanging="284"/>
    </w:pPr>
    <w:rPr>
      <w:rFonts w:eastAsiaTheme="minorHAnsi"/>
    </w:rPr>
  </w:style>
  <w:style w:type="paragraph" w:styleId="TOC3">
    <w:name w:val="toc 3"/>
    <w:basedOn w:val="Normal"/>
    <w:next w:val="Normal"/>
    <w:autoRedefine/>
    <w:uiPriority w:val="39"/>
    <w:unhideWhenUsed/>
    <w:rsid w:val="0040289D"/>
    <w:pPr>
      <w:spacing w:after="100"/>
      <w:ind w:left="480"/>
    </w:pPr>
    <w:rPr>
      <w:rFonts w:eastAsiaTheme="minorHAnsi"/>
    </w:rPr>
  </w:style>
  <w:style w:type="character" w:customStyle="1" w:styleId="Heading4Char">
    <w:name w:val="Heading 4 Char"/>
    <w:basedOn w:val="DefaultParagraphFont"/>
    <w:link w:val="Heading4"/>
    <w:uiPriority w:val="9"/>
    <w:semiHidden/>
    <w:rsid w:val="000709B9"/>
    <w:rPr>
      <w:smallCaps/>
      <w:spacing w:val="10"/>
      <w:sz w:val="22"/>
      <w:szCs w:val="22"/>
    </w:rPr>
  </w:style>
  <w:style w:type="character" w:styleId="Emphasis">
    <w:name w:val="Emphasis"/>
    <w:uiPriority w:val="20"/>
    <w:qFormat/>
    <w:rsid w:val="000709B9"/>
    <w:rPr>
      <w:b/>
      <w:i/>
      <w:spacing w:val="10"/>
    </w:rPr>
  </w:style>
  <w:style w:type="character" w:styleId="Strong">
    <w:name w:val="Strong"/>
    <w:uiPriority w:val="22"/>
    <w:qFormat/>
    <w:rsid w:val="000709B9"/>
    <w:rPr>
      <w:b/>
      <w:color w:val="ED7D31" w:themeColor="accent2"/>
    </w:rPr>
  </w:style>
  <w:style w:type="character" w:styleId="FollowedHyperlink">
    <w:name w:val="FollowedHyperlink"/>
    <w:basedOn w:val="DefaultParagraphFont"/>
    <w:uiPriority w:val="99"/>
    <w:semiHidden/>
    <w:unhideWhenUsed/>
    <w:rsid w:val="009D2DCA"/>
    <w:rPr>
      <w:color w:val="954F72" w:themeColor="followedHyperlink"/>
      <w:u w:val="single"/>
    </w:rPr>
  </w:style>
  <w:style w:type="paragraph" w:styleId="NoSpacing">
    <w:name w:val="No Spacing"/>
    <w:basedOn w:val="Normal"/>
    <w:link w:val="NoSpacingChar"/>
    <w:uiPriority w:val="1"/>
    <w:qFormat/>
    <w:rsid w:val="000709B9"/>
    <w:pPr>
      <w:spacing w:after="0" w:line="240" w:lineRule="auto"/>
    </w:pPr>
  </w:style>
  <w:style w:type="character" w:styleId="PageNumber">
    <w:name w:val="page number"/>
    <w:basedOn w:val="DefaultParagraphFont"/>
    <w:uiPriority w:val="99"/>
    <w:semiHidden/>
    <w:unhideWhenUsed/>
    <w:rsid w:val="000233A0"/>
  </w:style>
  <w:style w:type="paragraph" w:styleId="TOC1">
    <w:name w:val="toc 1"/>
    <w:basedOn w:val="Normal"/>
    <w:next w:val="Normal"/>
    <w:autoRedefine/>
    <w:uiPriority w:val="39"/>
    <w:unhideWhenUsed/>
    <w:rsid w:val="00971D19"/>
    <w:pPr>
      <w:spacing w:after="100"/>
    </w:pPr>
    <w:rPr>
      <w:rFonts w:eastAsiaTheme="minorHAnsi"/>
    </w:rPr>
  </w:style>
  <w:style w:type="character" w:styleId="CommentReference">
    <w:name w:val="annotation reference"/>
    <w:basedOn w:val="DefaultParagraphFont"/>
    <w:uiPriority w:val="99"/>
    <w:semiHidden/>
    <w:unhideWhenUsed/>
    <w:rsid w:val="0081537A"/>
    <w:rPr>
      <w:sz w:val="16"/>
      <w:szCs w:val="16"/>
    </w:rPr>
  </w:style>
  <w:style w:type="paragraph" w:styleId="CommentText">
    <w:name w:val="annotation text"/>
    <w:basedOn w:val="Normal"/>
    <w:link w:val="CommentTextChar"/>
    <w:uiPriority w:val="99"/>
    <w:semiHidden/>
    <w:unhideWhenUsed/>
    <w:rsid w:val="0081537A"/>
  </w:style>
  <w:style w:type="character" w:customStyle="1" w:styleId="CommentTextChar">
    <w:name w:val="Comment Text Char"/>
    <w:basedOn w:val="DefaultParagraphFont"/>
    <w:link w:val="CommentText"/>
    <w:uiPriority w:val="99"/>
    <w:semiHidden/>
    <w:rsid w:val="0081537A"/>
    <w:rPr>
      <w:sz w:val="20"/>
      <w:szCs w:val="20"/>
    </w:rPr>
  </w:style>
  <w:style w:type="paragraph" w:styleId="CommentSubject">
    <w:name w:val="annotation subject"/>
    <w:basedOn w:val="CommentText"/>
    <w:next w:val="CommentText"/>
    <w:link w:val="CommentSubjectChar"/>
    <w:uiPriority w:val="99"/>
    <w:semiHidden/>
    <w:unhideWhenUsed/>
    <w:rsid w:val="0081537A"/>
    <w:rPr>
      <w:b/>
      <w:bCs/>
    </w:rPr>
  </w:style>
  <w:style w:type="character" w:customStyle="1" w:styleId="CommentSubjectChar">
    <w:name w:val="Comment Subject Char"/>
    <w:basedOn w:val="CommentTextChar"/>
    <w:link w:val="CommentSubject"/>
    <w:uiPriority w:val="99"/>
    <w:semiHidden/>
    <w:rsid w:val="0081537A"/>
    <w:rPr>
      <w:b/>
      <w:bCs/>
      <w:sz w:val="20"/>
      <w:szCs w:val="20"/>
    </w:rPr>
  </w:style>
  <w:style w:type="paragraph" w:styleId="BalloonText">
    <w:name w:val="Balloon Text"/>
    <w:basedOn w:val="Normal"/>
    <w:link w:val="BalloonTextChar"/>
    <w:uiPriority w:val="99"/>
    <w:semiHidden/>
    <w:unhideWhenUsed/>
    <w:rsid w:val="0081537A"/>
    <w:rPr>
      <w:sz w:val="18"/>
      <w:szCs w:val="18"/>
    </w:rPr>
  </w:style>
  <w:style w:type="character" w:customStyle="1" w:styleId="BalloonTextChar">
    <w:name w:val="Balloon Text Char"/>
    <w:basedOn w:val="DefaultParagraphFont"/>
    <w:link w:val="BalloonText"/>
    <w:uiPriority w:val="99"/>
    <w:semiHidden/>
    <w:rsid w:val="0081537A"/>
    <w:rPr>
      <w:rFonts w:ascii="Times New Roman" w:hAnsi="Times New Roman" w:cs="Times New Roman"/>
      <w:sz w:val="18"/>
      <w:szCs w:val="18"/>
    </w:rPr>
  </w:style>
  <w:style w:type="paragraph" w:customStyle="1" w:styleId="H23">
    <w:name w:val="_ H_2/3"/>
    <w:basedOn w:val="Normal"/>
    <w:next w:val="SingleTxt"/>
    <w:rsid w:val="0081537A"/>
    <w:pPr>
      <w:suppressAutoHyphens/>
      <w:spacing w:line="240" w:lineRule="exact"/>
      <w:outlineLvl w:val="1"/>
    </w:pPr>
    <w:rPr>
      <w:rFonts w:eastAsiaTheme="minorHAnsi"/>
      <w:b/>
      <w:spacing w:val="4"/>
      <w:w w:val="103"/>
      <w:kern w:val="14"/>
      <w:lang w:val="en-US"/>
    </w:rPr>
  </w:style>
  <w:style w:type="paragraph" w:customStyle="1" w:styleId="SingleTxt">
    <w:name w:val="__Single Txt"/>
    <w:basedOn w:val="Normal"/>
    <w:rsid w:val="0081537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pPr>
    <w:rPr>
      <w:rFonts w:eastAsiaTheme="minorHAnsi"/>
      <w:spacing w:val="4"/>
      <w:w w:val="103"/>
      <w:kern w:val="14"/>
    </w:rPr>
  </w:style>
  <w:style w:type="paragraph" w:customStyle="1" w:styleId="Distribution">
    <w:name w:val="Distribution"/>
    <w:next w:val="Normal"/>
    <w:rsid w:val="0081537A"/>
    <w:pPr>
      <w:spacing w:before="240"/>
    </w:pPr>
    <w:rPr>
      <w:rFonts w:ascii="Times New Roman" w:hAnsi="Times New Roman" w:cs="Times New Roman"/>
      <w:spacing w:val="4"/>
      <w:w w:val="103"/>
      <w:kern w:val="14"/>
    </w:rPr>
  </w:style>
  <w:style w:type="paragraph" w:styleId="EndnoteText">
    <w:name w:val="endnote text"/>
    <w:basedOn w:val="Normal"/>
    <w:link w:val="EndnoteTextChar"/>
    <w:uiPriority w:val="99"/>
    <w:unhideWhenUsed/>
    <w:rsid w:val="00023F30"/>
    <w:rPr>
      <w:rFonts w:eastAsiaTheme="minorHAnsi"/>
    </w:rPr>
  </w:style>
  <w:style w:type="character" w:customStyle="1" w:styleId="EndnoteTextChar">
    <w:name w:val="Endnote Text Char"/>
    <w:basedOn w:val="DefaultParagraphFont"/>
    <w:link w:val="EndnoteText"/>
    <w:uiPriority w:val="99"/>
    <w:rsid w:val="00023F30"/>
    <w:rPr>
      <w:sz w:val="20"/>
      <w:szCs w:val="20"/>
    </w:rPr>
  </w:style>
  <w:style w:type="character" w:styleId="EndnoteReference">
    <w:name w:val="endnote reference"/>
    <w:basedOn w:val="DefaultParagraphFont"/>
    <w:uiPriority w:val="99"/>
    <w:unhideWhenUsed/>
    <w:rsid w:val="00023F30"/>
    <w:rPr>
      <w:vertAlign w:val="superscript"/>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nhideWhenUsed/>
    <w:qFormat/>
    <w:rsid w:val="00F343F7"/>
    <w:rPr>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uiPriority w:val="99"/>
    <w:rsid w:val="00F343F7"/>
    <w:rPr>
      <w:sz w:val="20"/>
      <w:szCs w:val="20"/>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iPriority w:val="99"/>
    <w:unhideWhenUsed/>
    <w:qFormat/>
    <w:rsid w:val="00F343F7"/>
    <w:rPr>
      <w:rFonts w:eastAsiaTheme="minorHAnsi"/>
    </w:rPr>
  </w:style>
  <w:style w:type="character" w:customStyle="1" w:styleId="FootnoteTextChar1">
    <w:name w:val="Footnote Text Char1"/>
    <w:basedOn w:val="DefaultParagraphFont"/>
    <w:uiPriority w:val="99"/>
    <w:semiHidden/>
    <w:rsid w:val="00F343F7"/>
    <w:rPr>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343F7"/>
    <w:pPr>
      <w:spacing w:before="120" w:after="120" w:line="240" w:lineRule="exact"/>
    </w:pPr>
    <w:rPr>
      <w:rFonts w:eastAsiaTheme="minorHAnsi"/>
      <w:vertAlign w:val="superscript"/>
    </w:rPr>
  </w:style>
  <w:style w:type="paragraph" w:customStyle="1" w:styleId="default">
    <w:name w:val="default"/>
    <w:basedOn w:val="Normal"/>
    <w:rsid w:val="00F343F7"/>
    <w:pPr>
      <w:spacing w:before="100" w:beforeAutospacing="1" w:after="100" w:afterAutospacing="1"/>
    </w:pPr>
    <w:rPr>
      <w:lang w:eastAsia="en-GB"/>
    </w:rPr>
  </w:style>
  <w:style w:type="character" w:customStyle="1" w:styleId="NoSpacingChar">
    <w:name w:val="No Spacing Char"/>
    <w:basedOn w:val="DefaultParagraphFont"/>
    <w:link w:val="NoSpacing"/>
    <w:uiPriority w:val="1"/>
    <w:rsid w:val="000709B9"/>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415C95"/>
  </w:style>
  <w:style w:type="paragraph" w:customStyle="1" w:styleId="textbox">
    <w:name w:val="textbox"/>
    <w:basedOn w:val="Normal"/>
    <w:rsid w:val="00A56DB8"/>
    <w:pPr>
      <w:spacing w:before="100" w:beforeAutospacing="1" w:after="100" w:afterAutospacing="1"/>
    </w:pPr>
    <w:rPr>
      <w:rFonts w:eastAsiaTheme="minorHAnsi"/>
      <w:lang w:eastAsia="en-GB"/>
    </w:rPr>
  </w:style>
  <w:style w:type="paragraph" w:customStyle="1" w:styleId="Default0">
    <w:name w:val="Default"/>
    <w:rsid w:val="00A16838"/>
    <w:pPr>
      <w:autoSpaceDE w:val="0"/>
      <w:autoSpaceDN w:val="0"/>
      <w:adjustRightInd w:val="0"/>
    </w:pPr>
    <w:rPr>
      <w:rFonts w:ascii="Times New Roman" w:hAnsi="Times New Roman" w:cs="Times New Roman"/>
      <w:color w:val="000000"/>
      <w:lang w:val="en-US"/>
    </w:rPr>
  </w:style>
  <w:style w:type="character" w:customStyle="1" w:styleId="apple-converted-space">
    <w:name w:val="apple-converted-space"/>
    <w:basedOn w:val="DefaultParagraphFont"/>
    <w:rsid w:val="00A16838"/>
  </w:style>
  <w:style w:type="character" w:customStyle="1" w:styleId="A9">
    <w:name w:val="A9"/>
    <w:uiPriority w:val="99"/>
    <w:rsid w:val="00A16838"/>
    <w:rPr>
      <w:rFonts w:cs="DINOT-Regular"/>
      <w:color w:val="000000"/>
      <w:sz w:val="21"/>
      <w:szCs w:val="21"/>
    </w:rPr>
  </w:style>
  <w:style w:type="character" w:customStyle="1" w:styleId="A7">
    <w:name w:val="A7"/>
    <w:uiPriority w:val="99"/>
    <w:rsid w:val="00A16838"/>
    <w:rPr>
      <w:rFonts w:cs="DINOT-Regular"/>
      <w:color w:val="000000"/>
      <w:sz w:val="19"/>
      <w:szCs w:val="19"/>
    </w:rPr>
  </w:style>
  <w:style w:type="paragraph" w:customStyle="1" w:styleId="Body">
    <w:name w:val="Body"/>
    <w:rsid w:val="00A16838"/>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paragraph" w:customStyle="1" w:styleId="HRLCHeading1">
    <w:name w:val="HRLC Heading 1"/>
    <w:basedOn w:val="Normal"/>
    <w:next w:val="AARHeading2"/>
    <w:rsid w:val="00A16838"/>
    <w:pPr>
      <w:keepNext/>
      <w:numPr>
        <w:numId w:val="1"/>
      </w:numPr>
      <w:pBdr>
        <w:bottom w:val="single" w:sz="4" w:space="3" w:color="auto"/>
      </w:pBdr>
      <w:spacing w:before="360" w:line="312" w:lineRule="auto"/>
    </w:pPr>
    <w:rPr>
      <w:rFonts w:ascii="Caecilia LT Pro 55 Roman" w:hAnsi="Caecilia LT Pro 55 Roman"/>
      <w:sz w:val="36"/>
    </w:rPr>
  </w:style>
  <w:style w:type="paragraph" w:customStyle="1" w:styleId="AARHeading2">
    <w:name w:val="AAR Heading 2"/>
    <w:basedOn w:val="Normal"/>
    <w:next w:val="Normal"/>
    <w:rsid w:val="00A16838"/>
    <w:pPr>
      <w:keepNext/>
      <w:numPr>
        <w:ilvl w:val="1"/>
        <w:numId w:val="1"/>
      </w:numPr>
      <w:tabs>
        <w:tab w:val="clear" w:pos="709"/>
        <w:tab w:val="num" w:pos="1789"/>
      </w:tabs>
      <w:spacing w:before="200" w:line="312" w:lineRule="auto"/>
      <w:ind w:left="1789"/>
    </w:pPr>
    <w:rPr>
      <w:rFonts w:ascii="Arial" w:hAnsi="Arial"/>
      <w:b/>
    </w:rPr>
  </w:style>
  <w:style w:type="paragraph" w:customStyle="1" w:styleId="AARHeading3">
    <w:name w:val="AAR Heading 3"/>
    <w:basedOn w:val="Normal"/>
    <w:rsid w:val="00A16838"/>
    <w:pPr>
      <w:numPr>
        <w:ilvl w:val="2"/>
        <w:numId w:val="1"/>
      </w:numPr>
      <w:spacing w:before="100" w:line="312" w:lineRule="auto"/>
      <w:outlineLvl w:val="2"/>
    </w:pPr>
    <w:rPr>
      <w:rFonts w:ascii="Arial" w:hAnsi="Arial"/>
      <w:b/>
      <w:i/>
    </w:rPr>
  </w:style>
  <w:style w:type="paragraph" w:customStyle="1" w:styleId="AARHeading4">
    <w:name w:val="AAR Heading 4"/>
    <w:basedOn w:val="Normal"/>
    <w:rsid w:val="00A16838"/>
    <w:pPr>
      <w:numPr>
        <w:ilvl w:val="3"/>
        <w:numId w:val="1"/>
      </w:numPr>
      <w:spacing w:before="100" w:line="312" w:lineRule="auto"/>
      <w:outlineLvl w:val="3"/>
    </w:pPr>
    <w:rPr>
      <w:rFonts w:ascii="Arial" w:hAnsi="Arial"/>
      <w:b/>
    </w:rPr>
  </w:style>
  <w:style w:type="paragraph" w:customStyle="1" w:styleId="AARHeading5">
    <w:name w:val="AAR Heading 5"/>
    <w:basedOn w:val="Normal"/>
    <w:rsid w:val="00A16838"/>
    <w:pPr>
      <w:numPr>
        <w:ilvl w:val="4"/>
        <w:numId w:val="1"/>
      </w:numPr>
      <w:spacing w:before="100" w:line="312" w:lineRule="auto"/>
      <w:outlineLvl w:val="4"/>
    </w:pPr>
    <w:rPr>
      <w:rFonts w:ascii="Arial" w:hAnsi="Arial"/>
      <w:i/>
    </w:rPr>
  </w:style>
  <w:style w:type="paragraph" w:customStyle="1" w:styleId="AARHeading6">
    <w:name w:val="AAR Heading 6"/>
    <w:basedOn w:val="Normal"/>
    <w:rsid w:val="00A16838"/>
    <w:pPr>
      <w:numPr>
        <w:ilvl w:val="5"/>
        <w:numId w:val="1"/>
      </w:numPr>
      <w:spacing w:before="100" w:line="312" w:lineRule="auto"/>
      <w:outlineLvl w:val="5"/>
    </w:pPr>
    <w:rPr>
      <w:rFonts w:ascii="Arial" w:hAnsi="Arial"/>
    </w:rPr>
  </w:style>
  <w:style w:type="paragraph" w:customStyle="1" w:styleId="HRLCHeading2">
    <w:name w:val="HRLC Heading 2"/>
    <w:basedOn w:val="AARHeading2"/>
    <w:rsid w:val="00A16838"/>
    <w:pPr>
      <w:spacing w:after="60" w:line="360" w:lineRule="auto"/>
    </w:pPr>
    <w:rPr>
      <w:rFonts w:ascii="Caecilia LT Pro 55 Roman" w:hAnsi="Caecilia LT Pro 55 Roman"/>
      <w:b w:val="0"/>
      <w:bCs/>
      <w:sz w:val="24"/>
    </w:rPr>
  </w:style>
  <w:style w:type="paragraph" w:styleId="Quote">
    <w:name w:val="Quote"/>
    <w:aliases w:val="Quote 2"/>
    <w:basedOn w:val="Normal"/>
    <w:next w:val="Normal"/>
    <w:link w:val="QuoteChar"/>
    <w:uiPriority w:val="29"/>
    <w:qFormat/>
    <w:rsid w:val="000709B9"/>
    <w:rPr>
      <w:i/>
    </w:rPr>
  </w:style>
  <w:style w:type="character" w:customStyle="1" w:styleId="QuoteChar">
    <w:name w:val="Quote Char"/>
    <w:aliases w:val="Quote 2 Char"/>
    <w:basedOn w:val="DefaultParagraphFont"/>
    <w:link w:val="Quote"/>
    <w:uiPriority w:val="29"/>
    <w:rsid w:val="000709B9"/>
    <w:rPr>
      <w:i/>
    </w:rPr>
  </w:style>
  <w:style w:type="table" w:styleId="TableGrid">
    <w:name w:val="Table Grid"/>
    <w:basedOn w:val="TableNormal"/>
    <w:uiPriority w:val="39"/>
    <w:rsid w:val="0064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5C59EB"/>
    <w:pPr>
      <w:spacing w:after="240" w:line="288" w:lineRule="auto"/>
    </w:pPr>
    <w:rPr>
      <w:rFonts w:ascii="Arial" w:eastAsia="MetaPlusNormal-Roman" w:hAnsi="Arial" w:cs="Arial"/>
      <w:color w:val="000000"/>
      <w:sz w:val="22"/>
      <w:szCs w:val="22"/>
      <w:lang w:val="en-AU"/>
    </w:rPr>
  </w:style>
  <w:style w:type="character" w:customStyle="1" w:styleId="BodyTextChar">
    <w:name w:val="Body Text Char"/>
    <w:basedOn w:val="DefaultParagraphFont"/>
    <w:link w:val="BodyText"/>
    <w:rsid w:val="005C59EB"/>
    <w:rPr>
      <w:rFonts w:ascii="Arial" w:eastAsia="MetaPlusNormal-Roman" w:hAnsi="Arial" w:cs="Arial"/>
      <w:color w:val="000000"/>
      <w:sz w:val="22"/>
      <w:szCs w:val="22"/>
      <w:lang w:val="en-AU"/>
    </w:rPr>
  </w:style>
  <w:style w:type="character" w:customStyle="1" w:styleId="normaltextrun1">
    <w:name w:val="normaltextrun1"/>
    <w:basedOn w:val="DefaultParagraphFont"/>
    <w:rsid w:val="0073347D"/>
  </w:style>
  <w:style w:type="character" w:customStyle="1" w:styleId="normaltextrun">
    <w:name w:val="normaltextrun"/>
    <w:basedOn w:val="DefaultParagraphFont"/>
    <w:rsid w:val="0073347D"/>
  </w:style>
  <w:style w:type="character" w:customStyle="1" w:styleId="Heading5Char">
    <w:name w:val="Heading 5 Char"/>
    <w:basedOn w:val="DefaultParagraphFont"/>
    <w:link w:val="Heading5"/>
    <w:uiPriority w:val="9"/>
    <w:semiHidden/>
    <w:rsid w:val="000709B9"/>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0709B9"/>
    <w:rPr>
      <w:smallCaps/>
      <w:color w:val="ED7D31" w:themeColor="accent2"/>
      <w:spacing w:val="5"/>
      <w:sz w:val="22"/>
    </w:rPr>
  </w:style>
  <w:style w:type="character" w:customStyle="1" w:styleId="Heading7Char">
    <w:name w:val="Heading 7 Char"/>
    <w:basedOn w:val="DefaultParagraphFont"/>
    <w:link w:val="Heading7"/>
    <w:uiPriority w:val="9"/>
    <w:semiHidden/>
    <w:rsid w:val="000709B9"/>
    <w:rPr>
      <w:b/>
      <w:smallCaps/>
      <w:color w:val="ED7D31" w:themeColor="accent2"/>
      <w:spacing w:val="10"/>
    </w:rPr>
  </w:style>
  <w:style w:type="character" w:customStyle="1" w:styleId="Heading8Char">
    <w:name w:val="Heading 8 Char"/>
    <w:basedOn w:val="DefaultParagraphFont"/>
    <w:link w:val="Heading8"/>
    <w:uiPriority w:val="9"/>
    <w:semiHidden/>
    <w:rsid w:val="000709B9"/>
    <w:rPr>
      <w:b/>
      <w:i/>
      <w:smallCaps/>
      <w:color w:val="C45911" w:themeColor="accent2" w:themeShade="BF"/>
    </w:rPr>
  </w:style>
  <w:style w:type="character" w:customStyle="1" w:styleId="Heading9Char">
    <w:name w:val="Heading 9 Char"/>
    <w:basedOn w:val="DefaultParagraphFont"/>
    <w:link w:val="Heading9"/>
    <w:uiPriority w:val="9"/>
    <w:semiHidden/>
    <w:rsid w:val="000709B9"/>
    <w:rPr>
      <w:b/>
      <w:i/>
      <w:smallCaps/>
      <w:color w:val="823B0B" w:themeColor="accent2" w:themeShade="7F"/>
    </w:rPr>
  </w:style>
  <w:style w:type="paragraph" w:styleId="Caption">
    <w:name w:val="caption"/>
    <w:basedOn w:val="Normal"/>
    <w:next w:val="Normal"/>
    <w:uiPriority w:val="35"/>
    <w:semiHidden/>
    <w:unhideWhenUsed/>
    <w:qFormat/>
    <w:rsid w:val="000709B9"/>
    <w:rPr>
      <w:b/>
      <w:bCs/>
      <w:caps/>
      <w:sz w:val="16"/>
      <w:szCs w:val="18"/>
    </w:rPr>
  </w:style>
  <w:style w:type="paragraph" w:styleId="Title">
    <w:name w:val="Title"/>
    <w:basedOn w:val="Normal"/>
    <w:next w:val="Normal"/>
    <w:link w:val="TitleChar"/>
    <w:uiPriority w:val="10"/>
    <w:qFormat/>
    <w:rsid w:val="000709B9"/>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0709B9"/>
    <w:rPr>
      <w:smallCaps/>
      <w:sz w:val="48"/>
      <w:szCs w:val="48"/>
    </w:rPr>
  </w:style>
  <w:style w:type="paragraph" w:styleId="Subtitle">
    <w:name w:val="Subtitle"/>
    <w:basedOn w:val="Normal"/>
    <w:next w:val="Normal"/>
    <w:link w:val="SubtitleChar"/>
    <w:uiPriority w:val="11"/>
    <w:qFormat/>
    <w:rsid w:val="000709B9"/>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0709B9"/>
    <w:rPr>
      <w:rFonts w:asciiTheme="majorHAnsi" w:eastAsiaTheme="majorEastAsia" w:hAnsiTheme="majorHAnsi" w:cstheme="majorBidi"/>
      <w:szCs w:val="22"/>
    </w:rPr>
  </w:style>
  <w:style w:type="paragraph" w:styleId="IntenseQuote">
    <w:name w:val="Intense Quote"/>
    <w:basedOn w:val="Normal"/>
    <w:next w:val="Normal"/>
    <w:link w:val="IntenseQuoteChar"/>
    <w:uiPriority w:val="30"/>
    <w:qFormat/>
    <w:rsid w:val="000709B9"/>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0709B9"/>
    <w:rPr>
      <w:b/>
      <w:i/>
      <w:color w:val="FFFFFF" w:themeColor="background1"/>
      <w:shd w:val="clear" w:color="auto" w:fill="ED7D31" w:themeFill="accent2"/>
    </w:rPr>
  </w:style>
  <w:style w:type="character" w:styleId="SubtleEmphasis">
    <w:name w:val="Subtle Emphasis"/>
    <w:uiPriority w:val="19"/>
    <w:qFormat/>
    <w:rsid w:val="000709B9"/>
    <w:rPr>
      <w:i/>
    </w:rPr>
  </w:style>
  <w:style w:type="character" w:styleId="IntenseEmphasis">
    <w:name w:val="Intense Emphasis"/>
    <w:uiPriority w:val="21"/>
    <w:qFormat/>
    <w:rsid w:val="000709B9"/>
    <w:rPr>
      <w:b/>
      <w:i/>
      <w:color w:val="ED7D31" w:themeColor="accent2"/>
      <w:spacing w:val="10"/>
    </w:rPr>
  </w:style>
  <w:style w:type="character" w:styleId="SubtleReference">
    <w:name w:val="Subtle Reference"/>
    <w:uiPriority w:val="31"/>
    <w:qFormat/>
    <w:rsid w:val="000709B9"/>
    <w:rPr>
      <w:b/>
    </w:rPr>
  </w:style>
  <w:style w:type="character" w:styleId="IntenseReference">
    <w:name w:val="Intense Reference"/>
    <w:uiPriority w:val="32"/>
    <w:qFormat/>
    <w:rsid w:val="000709B9"/>
    <w:rPr>
      <w:b/>
      <w:bCs/>
      <w:smallCaps/>
      <w:spacing w:val="5"/>
      <w:sz w:val="22"/>
      <w:szCs w:val="22"/>
      <w:u w:val="single"/>
    </w:rPr>
  </w:style>
  <w:style w:type="character" w:styleId="BookTitle">
    <w:name w:val="Book Title"/>
    <w:uiPriority w:val="33"/>
    <w:qFormat/>
    <w:rsid w:val="000709B9"/>
    <w:rPr>
      <w:rFonts w:asciiTheme="majorHAnsi" w:eastAsiaTheme="majorEastAsia" w:hAnsiTheme="majorHAnsi" w:cstheme="majorBid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1230">
      <w:bodyDiv w:val="1"/>
      <w:marLeft w:val="0"/>
      <w:marRight w:val="0"/>
      <w:marTop w:val="0"/>
      <w:marBottom w:val="0"/>
      <w:divBdr>
        <w:top w:val="none" w:sz="0" w:space="0" w:color="auto"/>
        <w:left w:val="none" w:sz="0" w:space="0" w:color="auto"/>
        <w:bottom w:val="none" w:sz="0" w:space="0" w:color="auto"/>
        <w:right w:val="none" w:sz="0" w:space="0" w:color="auto"/>
      </w:divBdr>
    </w:div>
    <w:div w:id="14426698">
      <w:bodyDiv w:val="1"/>
      <w:marLeft w:val="0"/>
      <w:marRight w:val="0"/>
      <w:marTop w:val="0"/>
      <w:marBottom w:val="0"/>
      <w:divBdr>
        <w:top w:val="none" w:sz="0" w:space="0" w:color="auto"/>
        <w:left w:val="none" w:sz="0" w:space="0" w:color="auto"/>
        <w:bottom w:val="none" w:sz="0" w:space="0" w:color="auto"/>
        <w:right w:val="none" w:sz="0" w:space="0" w:color="auto"/>
      </w:divBdr>
    </w:div>
    <w:div w:id="42222560">
      <w:bodyDiv w:val="1"/>
      <w:marLeft w:val="0"/>
      <w:marRight w:val="0"/>
      <w:marTop w:val="0"/>
      <w:marBottom w:val="0"/>
      <w:divBdr>
        <w:top w:val="none" w:sz="0" w:space="0" w:color="auto"/>
        <w:left w:val="none" w:sz="0" w:space="0" w:color="auto"/>
        <w:bottom w:val="none" w:sz="0" w:space="0" w:color="auto"/>
        <w:right w:val="none" w:sz="0" w:space="0" w:color="auto"/>
      </w:divBdr>
      <w:divsChild>
        <w:div w:id="605232126">
          <w:marLeft w:val="0"/>
          <w:marRight w:val="0"/>
          <w:marTop w:val="0"/>
          <w:marBottom w:val="0"/>
          <w:divBdr>
            <w:top w:val="none" w:sz="0" w:space="0" w:color="auto"/>
            <w:left w:val="none" w:sz="0" w:space="0" w:color="auto"/>
            <w:bottom w:val="none" w:sz="0" w:space="0" w:color="auto"/>
            <w:right w:val="none" w:sz="0" w:space="0" w:color="auto"/>
          </w:divBdr>
          <w:divsChild>
            <w:div w:id="1466578935">
              <w:marLeft w:val="0"/>
              <w:marRight w:val="0"/>
              <w:marTop w:val="0"/>
              <w:marBottom w:val="0"/>
              <w:divBdr>
                <w:top w:val="none" w:sz="0" w:space="0" w:color="auto"/>
                <w:left w:val="none" w:sz="0" w:space="0" w:color="auto"/>
                <w:bottom w:val="none" w:sz="0" w:space="0" w:color="auto"/>
                <w:right w:val="none" w:sz="0" w:space="0" w:color="auto"/>
              </w:divBdr>
              <w:divsChild>
                <w:div w:id="12352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940">
      <w:bodyDiv w:val="1"/>
      <w:marLeft w:val="0"/>
      <w:marRight w:val="0"/>
      <w:marTop w:val="0"/>
      <w:marBottom w:val="0"/>
      <w:divBdr>
        <w:top w:val="none" w:sz="0" w:space="0" w:color="auto"/>
        <w:left w:val="none" w:sz="0" w:space="0" w:color="auto"/>
        <w:bottom w:val="none" w:sz="0" w:space="0" w:color="auto"/>
        <w:right w:val="none" w:sz="0" w:space="0" w:color="auto"/>
      </w:divBdr>
      <w:divsChild>
        <w:div w:id="558131695">
          <w:marLeft w:val="0"/>
          <w:marRight w:val="0"/>
          <w:marTop w:val="0"/>
          <w:marBottom w:val="0"/>
          <w:divBdr>
            <w:top w:val="none" w:sz="0" w:space="0" w:color="auto"/>
            <w:left w:val="none" w:sz="0" w:space="0" w:color="auto"/>
            <w:bottom w:val="none" w:sz="0" w:space="0" w:color="auto"/>
            <w:right w:val="none" w:sz="0" w:space="0" w:color="auto"/>
          </w:divBdr>
        </w:div>
        <w:div w:id="618879145">
          <w:marLeft w:val="0"/>
          <w:marRight w:val="0"/>
          <w:marTop w:val="0"/>
          <w:marBottom w:val="0"/>
          <w:divBdr>
            <w:top w:val="none" w:sz="0" w:space="0" w:color="auto"/>
            <w:left w:val="none" w:sz="0" w:space="0" w:color="auto"/>
            <w:bottom w:val="none" w:sz="0" w:space="0" w:color="auto"/>
            <w:right w:val="none" w:sz="0" w:space="0" w:color="auto"/>
          </w:divBdr>
        </w:div>
        <w:div w:id="772746031">
          <w:marLeft w:val="0"/>
          <w:marRight w:val="0"/>
          <w:marTop w:val="0"/>
          <w:marBottom w:val="0"/>
          <w:divBdr>
            <w:top w:val="none" w:sz="0" w:space="0" w:color="auto"/>
            <w:left w:val="none" w:sz="0" w:space="0" w:color="auto"/>
            <w:bottom w:val="none" w:sz="0" w:space="0" w:color="auto"/>
            <w:right w:val="none" w:sz="0" w:space="0" w:color="auto"/>
          </w:divBdr>
        </w:div>
        <w:div w:id="1102336747">
          <w:marLeft w:val="0"/>
          <w:marRight w:val="0"/>
          <w:marTop w:val="0"/>
          <w:marBottom w:val="0"/>
          <w:divBdr>
            <w:top w:val="none" w:sz="0" w:space="0" w:color="auto"/>
            <w:left w:val="none" w:sz="0" w:space="0" w:color="auto"/>
            <w:bottom w:val="none" w:sz="0" w:space="0" w:color="auto"/>
            <w:right w:val="none" w:sz="0" w:space="0" w:color="auto"/>
          </w:divBdr>
        </w:div>
        <w:div w:id="1241017229">
          <w:marLeft w:val="0"/>
          <w:marRight w:val="0"/>
          <w:marTop w:val="0"/>
          <w:marBottom w:val="0"/>
          <w:divBdr>
            <w:top w:val="none" w:sz="0" w:space="0" w:color="auto"/>
            <w:left w:val="none" w:sz="0" w:space="0" w:color="auto"/>
            <w:bottom w:val="none" w:sz="0" w:space="0" w:color="auto"/>
            <w:right w:val="none" w:sz="0" w:space="0" w:color="auto"/>
          </w:divBdr>
        </w:div>
        <w:div w:id="1971474107">
          <w:marLeft w:val="0"/>
          <w:marRight w:val="0"/>
          <w:marTop w:val="0"/>
          <w:marBottom w:val="0"/>
          <w:divBdr>
            <w:top w:val="none" w:sz="0" w:space="0" w:color="auto"/>
            <w:left w:val="none" w:sz="0" w:space="0" w:color="auto"/>
            <w:bottom w:val="none" w:sz="0" w:space="0" w:color="auto"/>
            <w:right w:val="none" w:sz="0" w:space="0" w:color="auto"/>
          </w:divBdr>
        </w:div>
      </w:divsChild>
    </w:div>
    <w:div w:id="119493873">
      <w:bodyDiv w:val="1"/>
      <w:marLeft w:val="0"/>
      <w:marRight w:val="0"/>
      <w:marTop w:val="0"/>
      <w:marBottom w:val="0"/>
      <w:divBdr>
        <w:top w:val="none" w:sz="0" w:space="0" w:color="auto"/>
        <w:left w:val="none" w:sz="0" w:space="0" w:color="auto"/>
        <w:bottom w:val="none" w:sz="0" w:space="0" w:color="auto"/>
        <w:right w:val="none" w:sz="0" w:space="0" w:color="auto"/>
      </w:divBdr>
    </w:div>
    <w:div w:id="122116810">
      <w:bodyDiv w:val="1"/>
      <w:marLeft w:val="0"/>
      <w:marRight w:val="0"/>
      <w:marTop w:val="0"/>
      <w:marBottom w:val="0"/>
      <w:divBdr>
        <w:top w:val="none" w:sz="0" w:space="0" w:color="auto"/>
        <w:left w:val="none" w:sz="0" w:space="0" w:color="auto"/>
        <w:bottom w:val="none" w:sz="0" w:space="0" w:color="auto"/>
        <w:right w:val="none" w:sz="0" w:space="0" w:color="auto"/>
      </w:divBdr>
      <w:divsChild>
        <w:div w:id="500782109">
          <w:marLeft w:val="0"/>
          <w:marRight w:val="0"/>
          <w:marTop w:val="0"/>
          <w:marBottom w:val="0"/>
          <w:divBdr>
            <w:top w:val="none" w:sz="0" w:space="0" w:color="auto"/>
            <w:left w:val="none" w:sz="0" w:space="0" w:color="auto"/>
            <w:bottom w:val="none" w:sz="0" w:space="0" w:color="auto"/>
            <w:right w:val="none" w:sz="0" w:space="0" w:color="auto"/>
          </w:divBdr>
        </w:div>
      </w:divsChild>
    </w:div>
    <w:div w:id="123233536">
      <w:bodyDiv w:val="1"/>
      <w:marLeft w:val="0"/>
      <w:marRight w:val="0"/>
      <w:marTop w:val="0"/>
      <w:marBottom w:val="0"/>
      <w:divBdr>
        <w:top w:val="none" w:sz="0" w:space="0" w:color="auto"/>
        <w:left w:val="none" w:sz="0" w:space="0" w:color="auto"/>
        <w:bottom w:val="none" w:sz="0" w:space="0" w:color="auto"/>
        <w:right w:val="none" w:sz="0" w:space="0" w:color="auto"/>
      </w:divBdr>
    </w:div>
    <w:div w:id="155147123">
      <w:bodyDiv w:val="1"/>
      <w:marLeft w:val="0"/>
      <w:marRight w:val="0"/>
      <w:marTop w:val="0"/>
      <w:marBottom w:val="0"/>
      <w:divBdr>
        <w:top w:val="none" w:sz="0" w:space="0" w:color="auto"/>
        <w:left w:val="none" w:sz="0" w:space="0" w:color="auto"/>
        <w:bottom w:val="none" w:sz="0" w:space="0" w:color="auto"/>
        <w:right w:val="none" w:sz="0" w:space="0" w:color="auto"/>
      </w:divBdr>
      <w:divsChild>
        <w:div w:id="119300240">
          <w:marLeft w:val="0"/>
          <w:marRight w:val="0"/>
          <w:marTop w:val="0"/>
          <w:marBottom w:val="0"/>
          <w:divBdr>
            <w:top w:val="none" w:sz="0" w:space="0" w:color="auto"/>
            <w:left w:val="none" w:sz="0" w:space="0" w:color="auto"/>
            <w:bottom w:val="none" w:sz="0" w:space="0" w:color="auto"/>
            <w:right w:val="none" w:sz="0" w:space="0" w:color="auto"/>
          </w:divBdr>
        </w:div>
        <w:div w:id="377704710">
          <w:marLeft w:val="0"/>
          <w:marRight w:val="0"/>
          <w:marTop w:val="0"/>
          <w:marBottom w:val="0"/>
          <w:divBdr>
            <w:top w:val="none" w:sz="0" w:space="0" w:color="auto"/>
            <w:left w:val="none" w:sz="0" w:space="0" w:color="auto"/>
            <w:bottom w:val="none" w:sz="0" w:space="0" w:color="auto"/>
            <w:right w:val="none" w:sz="0" w:space="0" w:color="auto"/>
          </w:divBdr>
        </w:div>
        <w:div w:id="462626571">
          <w:marLeft w:val="0"/>
          <w:marRight w:val="0"/>
          <w:marTop w:val="0"/>
          <w:marBottom w:val="0"/>
          <w:divBdr>
            <w:top w:val="none" w:sz="0" w:space="0" w:color="auto"/>
            <w:left w:val="none" w:sz="0" w:space="0" w:color="auto"/>
            <w:bottom w:val="none" w:sz="0" w:space="0" w:color="auto"/>
            <w:right w:val="none" w:sz="0" w:space="0" w:color="auto"/>
          </w:divBdr>
        </w:div>
        <w:div w:id="910582374">
          <w:marLeft w:val="0"/>
          <w:marRight w:val="0"/>
          <w:marTop w:val="0"/>
          <w:marBottom w:val="0"/>
          <w:divBdr>
            <w:top w:val="none" w:sz="0" w:space="0" w:color="auto"/>
            <w:left w:val="none" w:sz="0" w:space="0" w:color="auto"/>
            <w:bottom w:val="none" w:sz="0" w:space="0" w:color="auto"/>
            <w:right w:val="none" w:sz="0" w:space="0" w:color="auto"/>
          </w:divBdr>
        </w:div>
        <w:div w:id="1797292004">
          <w:marLeft w:val="0"/>
          <w:marRight w:val="0"/>
          <w:marTop w:val="0"/>
          <w:marBottom w:val="0"/>
          <w:divBdr>
            <w:top w:val="none" w:sz="0" w:space="0" w:color="auto"/>
            <w:left w:val="none" w:sz="0" w:space="0" w:color="auto"/>
            <w:bottom w:val="none" w:sz="0" w:space="0" w:color="auto"/>
            <w:right w:val="none" w:sz="0" w:space="0" w:color="auto"/>
          </w:divBdr>
        </w:div>
        <w:div w:id="1814368916">
          <w:marLeft w:val="0"/>
          <w:marRight w:val="0"/>
          <w:marTop w:val="0"/>
          <w:marBottom w:val="0"/>
          <w:divBdr>
            <w:top w:val="none" w:sz="0" w:space="0" w:color="auto"/>
            <w:left w:val="none" w:sz="0" w:space="0" w:color="auto"/>
            <w:bottom w:val="none" w:sz="0" w:space="0" w:color="auto"/>
            <w:right w:val="none" w:sz="0" w:space="0" w:color="auto"/>
          </w:divBdr>
        </w:div>
      </w:divsChild>
    </w:div>
    <w:div w:id="176115484">
      <w:bodyDiv w:val="1"/>
      <w:marLeft w:val="0"/>
      <w:marRight w:val="0"/>
      <w:marTop w:val="0"/>
      <w:marBottom w:val="0"/>
      <w:divBdr>
        <w:top w:val="none" w:sz="0" w:space="0" w:color="auto"/>
        <w:left w:val="none" w:sz="0" w:space="0" w:color="auto"/>
        <w:bottom w:val="none" w:sz="0" w:space="0" w:color="auto"/>
        <w:right w:val="none" w:sz="0" w:space="0" w:color="auto"/>
      </w:divBdr>
    </w:div>
    <w:div w:id="176971973">
      <w:bodyDiv w:val="1"/>
      <w:marLeft w:val="0"/>
      <w:marRight w:val="0"/>
      <w:marTop w:val="0"/>
      <w:marBottom w:val="0"/>
      <w:divBdr>
        <w:top w:val="none" w:sz="0" w:space="0" w:color="auto"/>
        <w:left w:val="none" w:sz="0" w:space="0" w:color="auto"/>
        <w:bottom w:val="none" w:sz="0" w:space="0" w:color="auto"/>
        <w:right w:val="none" w:sz="0" w:space="0" w:color="auto"/>
      </w:divBdr>
      <w:divsChild>
        <w:div w:id="66611792">
          <w:marLeft w:val="0"/>
          <w:marRight w:val="0"/>
          <w:marTop w:val="0"/>
          <w:marBottom w:val="0"/>
          <w:divBdr>
            <w:top w:val="none" w:sz="0" w:space="0" w:color="auto"/>
            <w:left w:val="none" w:sz="0" w:space="0" w:color="auto"/>
            <w:bottom w:val="none" w:sz="0" w:space="0" w:color="auto"/>
            <w:right w:val="none" w:sz="0" w:space="0" w:color="auto"/>
          </w:divBdr>
        </w:div>
        <w:div w:id="272398189">
          <w:marLeft w:val="0"/>
          <w:marRight w:val="0"/>
          <w:marTop w:val="0"/>
          <w:marBottom w:val="0"/>
          <w:divBdr>
            <w:top w:val="none" w:sz="0" w:space="0" w:color="auto"/>
            <w:left w:val="none" w:sz="0" w:space="0" w:color="auto"/>
            <w:bottom w:val="none" w:sz="0" w:space="0" w:color="auto"/>
            <w:right w:val="none" w:sz="0" w:space="0" w:color="auto"/>
          </w:divBdr>
        </w:div>
        <w:div w:id="582254164">
          <w:marLeft w:val="0"/>
          <w:marRight w:val="0"/>
          <w:marTop w:val="0"/>
          <w:marBottom w:val="0"/>
          <w:divBdr>
            <w:top w:val="none" w:sz="0" w:space="0" w:color="auto"/>
            <w:left w:val="none" w:sz="0" w:space="0" w:color="auto"/>
            <w:bottom w:val="none" w:sz="0" w:space="0" w:color="auto"/>
            <w:right w:val="none" w:sz="0" w:space="0" w:color="auto"/>
          </w:divBdr>
        </w:div>
        <w:div w:id="664480591">
          <w:marLeft w:val="0"/>
          <w:marRight w:val="0"/>
          <w:marTop w:val="0"/>
          <w:marBottom w:val="0"/>
          <w:divBdr>
            <w:top w:val="none" w:sz="0" w:space="0" w:color="auto"/>
            <w:left w:val="none" w:sz="0" w:space="0" w:color="auto"/>
            <w:bottom w:val="none" w:sz="0" w:space="0" w:color="auto"/>
            <w:right w:val="none" w:sz="0" w:space="0" w:color="auto"/>
          </w:divBdr>
        </w:div>
        <w:div w:id="796604472">
          <w:marLeft w:val="0"/>
          <w:marRight w:val="0"/>
          <w:marTop w:val="0"/>
          <w:marBottom w:val="0"/>
          <w:divBdr>
            <w:top w:val="none" w:sz="0" w:space="0" w:color="auto"/>
            <w:left w:val="none" w:sz="0" w:space="0" w:color="auto"/>
            <w:bottom w:val="none" w:sz="0" w:space="0" w:color="auto"/>
            <w:right w:val="none" w:sz="0" w:space="0" w:color="auto"/>
          </w:divBdr>
        </w:div>
        <w:div w:id="1003967534">
          <w:marLeft w:val="0"/>
          <w:marRight w:val="0"/>
          <w:marTop w:val="0"/>
          <w:marBottom w:val="0"/>
          <w:divBdr>
            <w:top w:val="none" w:sz="0" w:space="0" w:color="auto"/>
            <w:left w:val="none" w:sz="0" w:space="0" w:color="auto"/>
            <w:bottom w:val="none" w:sz="0" w:space="0" w:color="auto"/>
            <w:right w:val="none" w:sz="0" w:space="0" w:color="auto"/>
          </w:divBdr>
        </w:div>
        <w:div w:id="1502817691">
          <w:marLeft w:val="0"/>
          <w:marRight w:val="0"/>
          <w:marTop w:val="0"/>
          <w:marBottom w:val="0"/>
          <w:divBdr>
            <w:top w:val="none" w:sz="0" w:space="0" w:color="auto"/>
            <w:left w:val="none" w:sz="0" w:space="0" w:color="auto"/>
            <w:bottom w:val="none" w:sz="0" w:space="0" w:color="auto"/>
            <w:right w:val="none" w:sz="0" w:space="0" w:color="auto"/>
          </w:divBdr>
        </w:div>
      </w:divsChild>
    </w:div>
    <w:div w:id="194585275">
      <w:bodyDiv w:val="1"/>
      <w:marLeft w:val="0"/>
      <w:marRight w:val="0"/>
      <w:marTop w:val="0"/>
      <w:marBottom w:val="0"/>
      <w:divBdr>
        <w:top w:val="none" w:sz="0" w:space="0" w:color="auto"/>
        <w:left w:val="none" w:sz="0" w:space="0" w:color="auto"/>
        <w:bottom w:val="none" w:sz="0" w:space="0" w:color="auto"/>
        <w:right w:val="none" w:sz="0" w:space="0" w:color="auto"/>
      </w:divBdr>
    </w:div>
    <w:div w:id="236937387">
      <w:bodyDiv w:val="1"/>
      <w:marLeft w:val="0"/>
      <w:marRight w:val="0"/>
      <w:marTop w:val="0"/>
      <w:marBottom w:val="0"/>
      <w:divBdr>
        <w:top w:val="none" w:sz="0" w:space="0" w:color="auto"/>
        <w:left w:val="none" w:sz="0" w:space="0" w:color="auto"/>
        <w:bottom w:val="none" w:sz="0" w:space="0" w:color="auto"/>
        <w:right w:val="none" w:sz="0" w:space="0" w:color="auto"/>
      </w:divBdr>
    </w:div>
    <w:div w:id="259609312">
      <w:bodyDiv w:val="1"/>
      <w:marLeft w:val="0"/>
      <w:marRight w:val="0"/>
      <w:marTop w:val="0"/>
      <w:marBottom w:val="0"/>
      <w:divBdr>
        <w:top w:val="none" w:sz="0" w:space="0" w:color="auto"/>
        <w:left w:val="none" w:sz="0" w:space="0" w:color="auto"/>
        <w:bottom w:val="none" w:sz="0" w:space="0" w:color="auto"/>
        <w:right w:val="none" w:sz="0" w:space="0" w:color="auto"/>
      </w:divBdr>
    </w:div>
    <w:div w:id="283654334">
      <w:bodyDiv w:val="1"/>
      <w:marLeft w:val="0"/>
      <w:marRight w:val="0"/>
      <w:marTop w:val="0"/>
      <w:marBottom w:val="0"/>
      <w:divBdr>
        <w:top w:val="none" w:sz="0" w:space="0" w:color="auto"/>
        <w:left w:val="none" w:sz="0" w:space="0" w:color="auto"/>
        <w:bottom w:val="none" w:sz="0" w:space="0" w:color="auto"/>
        <w:right w:val="none" w:sz="0" w:space="0" w:color="auto"/>
      </w:divBdr>
      <w:divsChild>
        <w:div w:id="51975816">
          <w:marLeft w:val="0"/>
          <w:marRight w:val="0"/>
          <w:marTop w:val="0"/>
          <w:marBottom w:val="0"/>
          <w:divBdr>
            <w:top w:val="none" w:sz="0" w:space="0" w:color="auto"/>
            <w:left w:val="none" w:sz="0" w:space="0" w:color="auto"/>
            <w:bottom w:val="none" w:sz="0" w:space="0" w:color="auto"/>
            <w:right w:val="none" w:sz="0" w:space="0" w:color="auto"/>
          </w:divBdr>
        </w:div>
        <w:div w:id="67114823">
          <w:marLeft w:val="0"/>
          <w:marRight w:val="0"/>
          <w:marTop w:val="0"/>
          <w:marBottom w:val="0"/>
          <w:divBdr>
            <w:top w:val="none" w:sz="0" w:space="0" w:color="auto"/>
            <w:left w:val="none" w:sz="0" w:space="0" w:color="auto"/>
            <w:bottom w:val="none" w:sz="0" w:space="0" w:color="auto"/>
            <w:right w:val="none" w:sz="0" w:space="0" w:color="auto"/>
          </w:divBdr>
        </w:div>
        <w:div w:id="108016406">
          <w:marLeft w:val="0"/>
          <w:marRight w:val="0"/>
          <w:marTop w:val="0"/>
          <w:marBottom w:val="0"/>
          <w:divBdr>
            <w:top w:val="none" w:sz="0" w:space="0" w:color="auto"/>
            <w:left w:val="none" w:sz="0" w:space="0" w:color="auto"/>
            <w:bottom w:val="none" w:sz="0" w:space="0" w:color="auto"/>
            <w:right w:val="none" w:sz="0" w:space="0" w:color="auto"/>
          </w:divBdr>
        </w:div>
        <w:div w:id="117722731">
          <w:marLeft w:val="0"/>
          <w:marRight w:val="0"/>
          <w:marTop w:val="0"/>
          <w:marBottom w:val="0"/>
          <w:divBdr>
            <w:top w:val="none" w:sz="0" w:space="0" w:color="auto"/>
            <w:left w:val="none" w:sz="0" w:space="0" w:color="auto"/>
            <w:bottom w:val="none" w:sz="0" w:space="0" w:color="auto"/>
            <w:right w:val="none" w:sz="0" w:space="0" w:color="auto"/>
          </w:divBdr>
        </w:div>
        <w:div w:id="510990105">
          <w:marLeft w:val="0"/>
          <w:marRight w:val="0"/>
          <w:marTop w:val="0"/>
          <w:marBottom w:val="0"/>
          <w:divBdr>
            <w:top w:val="none" w:sz="0" w:space="0" w:color="auto"/>
            <w:left w:val="none" w:sz="0" w:space="0" w:color="auto"/>
            <w:bottom w:val="none" w:sz="0" w:space="0" w:color="auto"/>
            <w:right w:val="none" w:sz="0" w:space="0" w:color="auto"/>
          </w:divBdr>
        </w:div>
        <w:div w:id="574634751">
          <w:marLeft w:val="0"/>
          <w:marRight w:val="0"/>
          <w:marTop w:val="0"/>
          <w:marBottom w:val="0"/>
          <w:divBdr>
            <w:top w:val="none" w:sz="0" w:space="0" w:color="auto"/>
            <w:left w:val="none" w:sz="0" w:space="0" w:color="auto"/>
            <w:bottom w:val="none" w:sz="0" w:space="0" w:color="auto"/>
            <w:right w:val="none" w:sz="0" w:space="0" w:color="auto"/>
          </w:divBdr>
        </w:div>
        <w:div w:id="678579432">
          <w:marLeft w:val="0"/>
          <w:marRight w:val="0"/>
          <w:marTop w:val="0"/>
          <w:marBottom w:val="0"/>
          <w:divBdr>
            <w:top w:val="none" w:sz="0" w:space="0" w:color="auto"/>
            <w:left w:val="none" w:sz="0" w:space="0" w:color="auto"/>
            <w:bottom w:val="none" w:sz="0" w:space="0" w:color="auto"/>
            <w:right w:val="none" w:sz="0" w:space="0" w:color="auto"/>
          </w:divBdr>
        </w:div>
        <w:div w:id="1432241504">
          <w:marLeft w:val="0"/>
          <w:marRight w:val="0"/>
          <w:marTop w:val="0"/>
          <w:marBottom w:val="0"/>
          <w:divBdr>
            <w:top w:val="none" w:sz="0" w:space="0" w:color="auto"/>
            <w:left w:val="none" w:sz="0" w:space="0" w:color="auto"/>
            <w:bottom w:val="none" w:sz="0" w:space="0" w:color="auto"/>
            <w:right w:val="none" w:sz="0" w:space="0" w:color="auto"/>
          </w:divBdr>
        </w:div>
        <w:div w:id="1520701969">
          <w:marLeft w:val="0"/>
          <w:marRight w:val="0"/>
          <w:marTop w:val="0"/>
          <w:marBottom w:val="0"/>
          <w:divBdr>
            <w:top w:val="none" w:sz="0" w:space="0" w:color="auto"/>
            <w:left w:val="none" w:sz="0" w:space="0" w:color="auto"/>
            <w:bottom w:val="none" w:sz="0" w:space="0" w:color="auto"/>
            <w:right w:val="none" w:sz="0" w:space="0" w:color="auto"/>
          </w:divBdr>
        </w:div>
        <w:div w:id="1615094987">
          <w:marLeft w:val="0"/>
          <w:marRight w:val="0"/>
          <w:marTop w:val="0"/>
          <w:marBottom w:val="0"/>
          <w:divBdr>
            <w:top w:val="none" w:sz="0" w:space="0" w:color="auto"/>
            <w:left w:val="none" w:sz="0" w:space="0" w:color="auto"/>
            <w:bottom w:val="none" w:sz="0" w:space="0" w:color="auto"/>
            <w:right w:val="none" w:sz="0" w:space="0" w:color="auto"/>
          </w:divBdr>
        </w:div>
        <w:div w:id="1803233077">
          <w:marLeft w:val="0"/>
          <w:marRight w:val="0"/>
          <w:marTop w:val="0"/>
          <w:marBottom w:val="0"/>
          <w:divBdr>
            <w:top w:val="none" w:sz="0" w:space="0" w:color="auto"/>
            <w:left w:val="none" w:sz="0" w:space="0" w:color="auto"/>
            <w:bottom w:val="none" w:sz="0" w:space="0" w:color="auto"/>
            <w:right w:val="none" w:sz="0" w:space="0" w:color="auto"/>
          </w:divBdr>
        </w:div>
        <w:div w:id="2114204525">
          <w:marLeft w:val="0"/>
          <w:marRight w:val="0"/>
          <w:marTop w:val="0"/>
          <w:marBottom w:val="0"/>
          <w:divBdr>
            <w:top w:val="none" w:sz="0" w:space="0" w:color="auto"/>
            <w:left w:val="none" w:sz="0" w:space="0" w:color="auto"/>
            <w:bottom w:val="none" w:sz="0" w:space="0" w:color="auto"/>
            <w:right w:val="none" w:sz="0" w:space="0" w:color="auto"/>
          </w:divBdr>
        </w:div>
      </w:divsChild>
    </w:div>
    <w:div w:id="325018002">
      <w:bodyDiv w:val="1"/>
      <w:marLeft w:val="0"/>
      <w:marRight w:val="0"/>
      <w:marTop w:val="0"/>
      <w:marBottom w:val="0"/>
      <w:divBdr>
        <w:top w:val="none" w:sz="0" w:space="0" w:color="auto"/>
        <w:left w:val="none" w:sz="0" w:space="0" w:color="auto"/>
        <w:bottom w:val="none" w:sz="0" w:space="0" w:color="auto"/>
        <w:right w:val="none" w:sz="0" w:space="0" w:color="auto"/>
      </w:divBdr>
    </w:div>
    <w:div w:id="350618381">
      <w:bodyDiv w:val="1"/>
      <w:marLeft w:val="0"/>
      <w:marRight w:val="0"/>
      <w:marTop w:val="0"/>
      <w:marBottom w:val="0"/>
      <w:divBdr>
        <w:top w:val="none" w:sz="0" w:space="0" w:color="auto"/>
        <w:left w:val="none" w:sz="0" w:space="0" w:color="auto"/>
        <w:bottom w:val="none" w:sz="0" w:space="0" w:color="auto"/>
        <w:right w:val="none" w:sz="0" w:space="0" w:color="auto"/>
      </w:divBdr>
      <w:divsChild>
        <w:div w:id="1669670351">
          <w:marLeft w:val="0"/>
          <w:marRight w:val="0"/>
          <w:marTop w:val="0"/>
          <w:marBottom w:val="0"/>
          <w:divBdr>
            <w:top w:val="none" w:sz="0" w:space="0" w:color="auto"/>
            <w:left w:val="none" w:sz="0" w:space="0" w:color="auto"/>
            <w:bottom w:val="none" w:sz="0" w:space="0" w:color="auto"/>
            <w:right w:val="none" w:sz="0" w:space="0" w:color="auto"/>
          </w:divBdr>
          <w:divsChild>
            <w:div w:id="1249583719">
              <w:marLeft w:val="0"/>
              <w:marRight w:val="0"/>
              <w:marTop w:val="0"/>
              <w:marBottom w:val="0"/>
              <w:divBdr>
                <w:top w:val="none" w:sz="0" w:space="0" w:color="auto"/>
                <w:left w:val="none" w:sz="0" w:space="0" w:color="auto"/>
                <w:bottom w:val="none" w:sz="0" w:space="0" w:color="auto"/>
                <w:right w:val="none" w:sz="0" w:space="0" w:color="auto"/>
              </w:divBdr>
              <w:divsChild>
                <w:div w:id="12797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75904">
      <w:bodyDiv w:val="1"/>
      <w:marLeft w:val="0"/>
      <w:marRight w:val="0"/>
      <w:marTop w:val="0"/>
      <w:marBottom w:val="0"/>
      <w:divBdr>
        <w:top w:val="none" w:sz="0" w:space="0" w:color="auto"/>
        <w:left w:val="none" w:sz="0" w:space="0" w:color="auto"/>
        <w:bottom w:val="none" w:sz="0" w:space="0" w:color="auto"/>
        <w:right w:val="none" w:sz="0" w:space="0" w:color="auto"/>
      </w:divBdr>
    </w:div>
    <w:div w:id="360739515">
      <w:bodyDiv w:val="1"/>
      <w:marLeft w:val="0"/>
      <w:marRight w:val="0"/>
      <w:marTop w:val="0"/>
      <w:marBottom w:val="0"/>
      <w:divBdr>
        <w:top w:val="none" w:sz="0" w:space="0" w:color="auto"/>
        <w:left w:val="none" w:sz="0" w:space="0" w:color="auto"/>
        <w:bottom w:val="none" w:sz="0" w:space="0" w:color="auto"/>
        <w:right w:val="none" w:sz="0" w:space="0" w:color="auto"/>
      </w:divBdr>
      <w:divsChild>
        <w:div w:id="1894150149">
          <w:marLeft w:val="0"/>
          <w:marRight w:val="0"/>
          <w:marTop w:val="0"/>
          <w:marBottom w:val="0"/>
          <w:divBdr>
            <w:top w:val="none" w:sz="0" w:space="0" w:color="auto"/>
            <w:left w:val="none" w:sz="0" w:space="0" w:color="auto"/>
            <w:bottom w:val="none" w:sz="0" w:space="0" w:color="auto"/>
            <w:right w:val="none" w:sz="0" w:space="0" w:color="auto"/>
          </w:divBdr>
          <w:divsChild>
            <w:div w:id="701436652">
              <w:marLeft w:val="0"/>
              <w:marRight w:val="0"/>
              <w:marTop w:val="0"/>
              <w:marBottom w:val="0"/>
              <w:divBdr>
                <w:top w:val="none" w:sz="0" w:space="0" w:color="auto"/>
                <w:left w:val="none" w:sz="0" w:space="0" w:color="auto"/>
                <w:bottom w:val="none" w:sz="0" w:space="0" w:color="auto"/>
                <w:right w:val="none" w:sz="0" w:space="0" w:color="auto"/>
              </w:divBdr>
              <w:divsChild>
                <w:div w:id="7675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42509">
      <w:bodyDiv w:val="1"/>
      <w:marLeft w:val="0"/>
      <w:marRight w:val="0"/>
      <w:marTop w:val="0"/>
      <w:marBottom w:val="0"/>
      <w:divBdr>
        <w:top w:val="none" w:sz="0" w:space="0" w:color="auto"/>
        <w:left w:val="none" w:sz="0" w:space="0" w:color="auto"/>
        <w:bottom w:val="none" w:sz="0" w:space="0" w:color="auto"/>
        <w:right w:val="none" w:sz="0" w:space="0" w:color="auto"/>
      </w:divBdr>
    </w:div>
    <w:div w:id="415708441">
      <w:bodyDiv w:val="1"/>
      <w:marLeft w:val="0"/>
      <w:marRight w:val="0"/>
      <w:marTop w:val="0"/>
      <w:marBottom w:val="0"/>
      <w:divBdr>
        <w:top w:val="none" w:sz="0" w:space="0" w:color="auto"/>
        <w:left w:val="none" w:sz="0" w:space="0" w:color="auto"/>
        <w:bottom w:val="none" w:sz="0" w:space="0" w:color="auto"/>
        <w:right w:val="none" w:sz="0" w:space="0" w:color="auto"/>
      </w:divBdr>
    </w:div>
    <w:div w:id="437454710">
      <w:bodyDiv w:val="1"/>
      <w:marLeft w:val="0"/>
      <w:marRight w:val="0"/>
      <w:marTop w:val="0"/>
      <w:marBottom w:val="0"/>
      <w:divBdr>
        <w:top w:val="none" w:sz="0" w:space="0" w:color="auto"/>
        <w:left w:val="none" w:sz="0" w:space="0" w:color="auto"/>
        <w:bottom w:val="none" w:sz="0" w:space="0" w:color="auto"/>
        <w:right w:val="none" w:sz="0" w:space="0" w:color="auto"/>
      </w:divBdr>
    </w:div>
    <w:div w:id="439838552">
      <w:bodyDiv w:val="1"/>
      <w:marLeft w:val="0"/>
      <w:marRight w:val="0"/>
      <w:marTop w:val="0"/>
      <w:marBottom w:val="0"/>
      <w:divBdr>
        <w:top w:val="none" w:sz="0" w:space="0" w:color="auto"/>
        <w:left w:val="none" w:sz="0" w:space="0" w:color="auto"/>
        <w:bottom w:val="none" w:sz="0" w:space="0" w:color="auto"/>
        <w:right w:val="none" w:sz="0" w:space="0" w:color="auto"/>
      </w:divBdr>
    </w:div>
    <w:div w:id="480193754">
      <w:bodyDiv w:val="1"/>
      <w:marLeft w:val="0"/>
      <w:marRight w:val="0"/>
      <w:marTop w:val="0"/>
      <w:marBottom w:val="0"/>
      <w:divBdr>
        <w:top w:val="none" w:sz="0" w:space="0" w:color="auto"/>
        <w:left w:val="none" w:sz="0" w:space="0" w:color="auto"/>
        <w:bottom w:val="none" w:sz="0" w:space="0" w:color="auto"/>
        <w:right w:val="none" w:sz="0" w:space="0" w:color="auto"/>
      </w:divBdr>
      <w:divsChild>
        <w:div w:id="82995321">
          <w:marLeft w:val="0"/>
          <w:marRight w:val="0"/>
          <w:marTop w:val="0"/>
          <w:marBottom w:val="0"/>
          <w:divBdr>
            <w:top w:val="none" w:sz="0" w:space="0" w:color="auto"/>
            <w:left w:val="none" w:sz="0" w:space="0" w:color="auto"/>
            <w:bottom w:val="none" w:sz="0" w:space="0" w:color="auto"/>
            <w:right w:val="none" w:sz="0" w:space="0" w:color="auto"/>
          </w:divBdr>
          <w:divsChild>
            <w:div w:id="584536210">
              <w:marLeft w:val="0"/>
              <w:marRight w:val="0"/>
              <w:marTop w:val="0"/>
              <w:marBottom w:val="0"/>
              <w:divBdr>
                <w:top w:val="none" w:sz="0" w:space="0" w:color="auto"/>
                <w:left w:val="none" w:sz="0" w:space="0" w:color="auto"/>
                <w:bottom w:val="none" w:sz="0" w:space="0" w:color="auto"/>
                <w:right w:val="none" w:sz="0" w:space="0" w:color="auto"/>
              </w:divBdr>
              <w:divsChild>
                <w:div w:id="6560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5080">
      <w:bodyDiv w:val="1"/>
      <w:marLeft w:val="0"/>
      <w:marRight w:val="0"/>
      <w:marTop w:val="0"/>
      <w:marBottom w:val="0"/>
      <w:divBdr>
        <w:top w:val="none" w:sz="0" w:space="0" w:color="auto"/>
        <w:left w:val="none" w:sz="0" w:space="0" w:color="auto"/>
        <w:bottom w:val="none" w:sz="0" w:space="0" w:color="auto"/>
        <w:right w:val="none" w:sz="0" w:space="0" w:color="auto"/>
      </w:divBdr>
    </w:div>
    <w:div w:id="489561270">
      <w:bodyDiv w:val="1"/>
      <w:marLeft w:val="0"/>
      <w:marRight w:val="0"/>
      <w:marTop w:val="0"/>
      <w:marBottom w:val="0"/>
      <w:divBdr>
        <w:top w:val="none" w:sz="0" w:space="0" w:color="auto"/>
        <w:left w:val="none" w:sz="0" w:space="0" w:color="auto"/>
        <w:bottom w:val="none" w:sz="0" w:space="0" w:color="auto"/>
        <w:right w:val="none" w:sz="0" w:space="0" w:color="auto"/>
      </w:divBdr>
      <w:divsChild>
        <w:div w:id="59788200">
          <w:marLeft w:val="0"/>
          <w:marRight w:val="0"/>
          <w:marTop w:val="0"/>
          <w:marBottom w:val="0"/>
          <w:divBdr>
            <w:top w:val="none" w:sz="0" w:space="0" w:color="auto"/>
            <w:left w:val="none" w:sz="0" w:space="0" w:color="auto"/>
            <w:bottom w:val="none" w:sz="0" w:space="0" w:color="auto"/>
            <w:right w:val="none" w:sz="0" w:space="0" w:color="auto"/>
          </w:divBdr>
          <w:divsChild>
            <w:div w:id="2000496696">
              <w:marLeft w:val="0"/>
              <w:marRight w:val="0"/>
              <w:marTop w:val="0"/>
              <w:marBottom w:val="0"/>
              <w:divBdr>
                <w:top w:val="none" w:sz="0" w:space="0" w:color="auto"/>
                <w:left w:val="none" w:sz="0" w:space="0" w:color="auto"/>
                <w:bottom w:val="none" w:sz="0" w:space="0" w:color="auto"/>
                <w:right w:val="none" w:sz="0" w:space="0" w:color="auto"/>
              </w:divBdr>
              <w:divsChild>
                <w:div w:id="18423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645">
      <w:bodyDiv w:val="1"/>
      <w:marLeft w:val="0"/>
      <w:marRight w:val="0"/>
      <w:marTop w:val="0"/>
      <w:marBottom w:val="0"/>
      <w:divBdr>
        <w:top w:val="none" w:sz="0" w:space="0" w:color="auto"/>
        <w:left w:val="none" w:sz="0" w:space="0" w:color="auto"/>
        <w:bottom w:val="none" w:sz="0" w:space="0" w:color="auto"/>
        <w:right w:val="none" w:sz="0" w:space="0" w:color="auto"/>
      </w:divBdr>
      <w:divsChild>
        <w:div w:id="45030866">
          <w:marLeft w:val="0"/>
          <w:marRight w:val="0"/>
          <w:marTop w:val="225"/>
          <w:marBottom w:val="225"/>
          <w:divBdr>
            <w:top w:val="none" w:sz="0" w:space="0" w:color="auto"/>
            <w:left w:val="none" w:sz="0" w:space="0" w:color="auto"/>
            <w:bottom w:val="none" w:sz="0" w:space="0" w:color="auto"/>
            <w:right w:val="none" w:sz="0" w:space="0" w:color="auto"/>
          </w:divBdr>
          <w:divsChild>
            <w:div w:id="1783569884">
              <w:marLeft w:val="0"/>
              <w:marRight w:val="0"/>
              <w:marTop w:val="0"/>
              <w:marBottom w:val="0"/>
              <w:divBdr>
                <w:top w:val="none" w:sz="0" w:space="0" w:color="auto"/>
                <w:left w:val="none" w:sz="0" w:space="0" w:color="auto"/>
                <w:bottom w:val="none" w:sz="0" w:space="0" w:color="auto"/>
                <w:right w:val="none" w:sz="0" w:space="0" w:color="auto"/>
              </w:divBdr>
              <w:divsChild>
                <w:div w:id="77095148">
                  <w:marLeft w:val="0"/>
                  <w:marRight w:val="0"/>
                  <w:marTop w:val="0"/>
                  <w:marBottom w:val="0"/>
                  <w:divBdr>
                    <w:top w:val="none" w:sz="0" w:space="0" w:color="auto"/>
                    <w:left w:val="none" w:sz="0" w:space="0" w:color="auto"/>
                    <w:bottom w:val="none" w:sz="0" w:space="0" w:color="auto"/>
                    <w:right w:val="none" w:sz="0" w:space="0" w:color="auto"/>
                  </w:divBdr>
                  <w:divsChild>
                    <w:div w:id="469632357">
                      <w:marLeft w:val="0"/>
                      <w:marRight w:val="0"/>
                      <w:marTop w:val="0"/>
                      <w:marBottom w:val="0"/>
                      <w:divBdr>
                        <w:top w:val="none" w:sz="0" w:space="0" w:color="auto"/>
                        <w:left w:val="none" w:sz="0" w:space="0" w:color="auto"/>
                        <w:bottom w:val="none" w:sz="0" w:space="0" w:color="auto"/>
                        <w:right w:val="none" w:sz="0" w:space="0" w:color="auto"/>
                      </w:divBdr>
                    </w:div>
                    <w:div w:id="1167670266">
                      <w:marLeft w:val="0"/>
                      <w:marRight w:val="0"/>
                      <w:marTop w:val="0"/>
                      <w:marBottom w:val="0"/>
                      <w:divBdr>
                        <w:top w:val="none" w:sz="0" w:space="0" w:color="auto"/>
                        <w:left w:val="none" w:sz="0" w:space="0" w:color="auto"/>
                        <w:bottom w:val="none" w:sz="0" w:space="0" w:color="auto"/>
                        <w:right w:val="none" w:sz="0" w:space="0" w:color="auto"/>
                      </w:divBdr>
                    </w:div>
                    <w:div w:id="1405568000">
                      <w:marLeft w:val="0"/>
                      <w:marRight w:val="0"/>
                      <w:marTop w:val="0"/>
                      <w:marBottom w:val="0"/>
                      <w:divBdr>
                        <w:top w:val="none" w:sz="0" w:space="0" w:color="auto"/>
                        <w:left w:val="none" w:sz="0" w:space="0" w:color="auto"/>
                        <w:bottom w:val="none" w:sz="0" w:space="0" w:color="auto"/>
                        <w:right w:val="none" w:sz="0" w:space="0" w:color="auto"/>
                      </w:divBdr>
                    </w:div>
                    <w:div w:id="19055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78505">
      <w:bodyDiv w:val="1"/>
      <w:marLeft w:val="0"/>
      <w:marRight w:val="0"/>
      <w:marTop w:val="0"/>
      <w:marBottom w:val="0"/>
      <w:divBdr>
        <w:top w:val="none" w:sz="0" w:space="0" w:color="auto"/>
        <w:left w:val="none" w:sz="0" w:space="0" w:color="auto"/>
        <w:bottom w:val="none" w:sz="0" w:space="0" w:color="auto"/>
        <w:right w:val="none" w:sz="0" w:space="0" w:color="auto"/>
      </w:divBdr>
    </w:div>
    <w:div w:id="519390979">
      <w:bodyDiv w:val="1"/>
      <w:marLeft w:val="0"/>
      <w:marRight w:val="0"/>
      <w:marTop w:val="0"/>
      <w:marBottom w:val="0"/>
      <w:divBdr>
        <w:top w:val="none" w:sz="0" w:space="0" w:color="auto"/>
        <w:left w:val="none" w:sz="0" w:space="0" w:color="auto"/>
        <w:bottom w:val="none" w:sz="0" w:space="0" w:color="auto"/>
        <w:right w:val="none" w:sz="0" w:space="0" w:color="auto"/>
      </w:divBdr>
      <w:divsChild>
        <w:div w:id="970283630">
          <w:marLeft w:val="0"/>
          <w:marRight w:val="0"/>
          <w:marTop w:val="0"/>
          <w:marBottom w:val="0"/>
          <w:divBdr>
            <w:top w:val="none" w:sz="0" w:space="0" w:color="auto"/>
            <w:left w:val="none" w:sz="0" w:space="0" w:color="auto"/>
            <w:bottom w:val="none" w:sz="0" w:space="0" w:color="auto"/>
            <w:right w:val="none" w:sz="0" w:space="0" w:color="auto"/>
          </w:divBdr>
        </w:div>
        <w:div w:id="1492940285">
          <w:marLeft w:val="0"/>
          <w:marRight w:val="0"/>
          <w:marTop w:val="0"/>
          <w:marBottom w:val="0"/>
          <w:divBdr>
            <w:top w:val="none" w:sz="0" w:space="0" w:color="auto"/>
            <w:left w:val="none" w:sz="0" w:space="0" w:color="auto"/>
            <w:bottom w:val="none" w:sz="0" w:space="0" w:color="auto"/>
            <w:right w:val="none" w:sz="0" w:space="0" w:color="auto"/>
          </w:divBdr>
        </w:div>
        <w:div w:id="1648782119">
          <w:marLeft w:val="0"/>
          <w:marRight w:val="0"/>
          <w:marTop w:val="0"/>
          <w:marBottom w:val="0"/>
          <w:divBdr>
            <w:top w:val="none" w:sz="0" w:space="0" w:color="auto"/>
            <w:left w:val="none" w:sz="0" w:space="0" w:color="auto"/>
            <w:bottom w:val="none" w:sz="0" w:space="0" w:color="auto"/>
            <w:right w:val="none" w:sz="0" w:space="0" w:color="auto"/>
          </w:divBdr>
        </w:div>
      </w:divsChild>
    </w:div>
    <w:div w:id="527722785">
      <w:bodyDiv w:val="1"/>
      <w:marLeft w:val="0"/>
      <w:marRight w:val="0"/>
      <w:marTop w:val="0"/>
      <w:marBottom w:val="0"/>
      <w:divBdr>
        <w:top w:val="none" w:sz="0" w:space="0" w:color="auto"/>
        <w:left w:val="none" w:sz="0" w:space="0" w:color="auto"/>
        <w:bottom w:val="none" w:sz="0" w:space="0" w:color="auto"/>
        <w:right w:val="none" w:sz="0" w:space="0" w:color="auto"/>
      </w:divBdr>
      <w:divsChild>
        <w:div w:id="1846628051">
          <w:marLeft w:val="0"/>
          <w:marRight w:val="0"/>
          <w:marTop w:val="0"/>
          <w:marBottom w:val="0"/>
          <w:divBdr>
            <w:top w:val="none" w:sz="0" w:space="0" w:color="auto"/>
            <w:left w:val="none" w:sz="0" w:space="0" w:color="auto"/>
            <w:bottom w:val="none" w:sz="0" w:space="0" w:color="auto"/>
            <w:right w:val="none" w:sz="0" w:space="0" w:color="auto"/>
          </w:divBdr>
          <w:divsChild>
            <w:div w:id="1812939930">
              <w:marLeft w:val="0"/>
              <w:marRight w:val="0"/>
              <w:marTop w:val="0"/>
              <w:marBottom w:val="0"/>
              <w:divBdr>
                <w:top w:val="none" w:sz="0" w:space="0" w:color="auto"/>
                <w:left w:val="none" w:sz="0" w:space="0" w:color="auto"/>
                <w:bottom w:val="none" w:sz="0" w:space="0" w:color="auto"/>
                <w:right w:val="none" w:sz="0" w:space="0" w:color="auto"/>
              </w:divBdr>
              <w:divsChild>
                <w:div w:id="11378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24935">
      <w:bodyDiv w:val="1"/>
      <w:marLeft w:val="0"/>
      <w:marRight w:val="0"/>
      <w:marTop w:val="0"/>
      <w:marBottom w:val="0"/>
      <w:divBdr>
        <w:top w:val="none" w:sz="0" w:space="0" w:color="auto"/>
        <w:left w:val="none" w:sz="0" w:space="0" w:color="auto"/>
        <w:bottom w:val="none" w:sz="0" w:space="0" w:color="auto"/>
        <w:right w:val="none" w:sz="0" w:space="0" w:color="auto"/>
      </w:divBdr>
      <w:divsChild>
        <w:div w:id="150485145">
          <w:marLeft w:val="0"/>
          <w:marRight w:val="0"/>
          <w:marTop w:val="0"/>
          <w:marBottom w:val="0"/>
          <w:divBdr>
            <w:top w:val="none" w:sz="0" w:space="0" w:color="auto"/>
            <w:left w:val="none" w:sz="0" w:space="0" w:color="auto"/>
            <w:bottom w:val="none" w:sz="0" w:space="0" w:color="auto"/>
            <w:right w:val="none" w:sz="0" w:space="0" w:color="auto"/>
          </w:divBdr>
        </w:div>
        <w:div w:id="190922630">
          <w:marLeft w:val="0"/>
          <w:marRight w:val="0"/>
          <w:marTop w:val="0"/>
          <w:marBottom w:val="0"/>
          <w:divBdr>
            <w:top w:val="none" w:sz="0" w:space="0" w:color="auto"/>
            <w:left w:val="none" w:sz="0" w:space="0" w:color="auto"/>
            <w:bottom w:val="none" w:sz="0" w:space="0" w:color="auto"/>
            <w:right w:val="none" w:sz="0" w:space="0" w:color="auto"/>
          </w:divBdr>
        </w:div>
        <w:div w:id="335958267">
          <w:marLeft w:val="0"/>
          <w:marRight w:val="0"/>
          <w:marTop w:val="0"/>
          <w:marBottom w:val="0"/>
          <w:divBdr>
            <w:top w:val="none" w:sz="0" w:space="0" w:color="auto"/>
            <w:left w:val="none" w:sz="0" w:space="0" w:color="auto"/>
            <w:bottom w:val="none" w:sz="0" w:space="0" w:color="auto"/>
            <w:right w:val="none" w:sz="0" w:space="0" w:color="auto"/>
          </w:divBdr>
        </w:div>
        <w:div w:id="400908362">
          <w:marLeft w:val="0"/>
          <w:marRight w:val="0"/>
          <w:marTop w:val="0"/>
          <w:marBottom w:val="0"/>
          <w:divBdr>
            <w:top w:val="none" w:sz="0" w:space="0" w:color="auto"/>
            <w:left w:val="none" w:sz="0" w:space="0" w:color="auto"/>
            <w:bottom w:val="none" w:sz="0" w:space="0" w:color="auto"/>
            <w:right w:val="none" w:sz="0" w:space="0" w:color="auto"/>
          </w:divBdr>
        </w:div>
        <w:div w:id="452750660">
          <w:marLeft w:val="0"/>
          <w:marRight w:val="0"/>
          <w:marTop w:val="0"/>
          <w:marBottom w:val="0"/>
          <w:divBdr>
            <w:top w:val="none" w:sz="0" w:space="0" w:color="auto"/>
            <w:left w:val="none" w:sz="0" w:space="0" w:color="auto"/>
            <w:bottom w:val="none" w:sz="0" w:space="0" w:color="auto"/>
            <w:right w:val="none" w:sz="0" w:space="0" w:color="auto"/>
          </w:divBdr>
        </w:div>
        <w:div w:id="517621130">
          <w:marLeft w:val="0"/>
          <w:marRight w:val="0"/>
          <w:marTop w:val="0"/>
          <w:marBottom w:val="0"/>
          <w:divBdr>
            <w:top w:val="none" w:sz="0" w:space="0" w:color="auto"/>
            <w:left w:val="none" w:sz="0" w:space="0" w:color="auto"/>
            <w:bottom w:val="none" w:sz="0" w:space="0" w:color="auto"/>
            <w:right w:val="none" w:sz="0" w:space="0" w:color="auto"/>
          </w:divBdr>
        </w:div>
        <w:div w:id="528953803">
          <w:marLeft w:val="0"/>
          <w:marRight w:val="0"/>
          <w:marTop w:val="0"/>
          <w:marBottom w:val="0"/>
          <w:divBdr>
            <w:top w:val="none" w:sz="0" w:space="0" w:color="auto"/>
            <w:left w:val="none" w:sz="0" w:space="0" w:color="auto"/>
            <w:bottom w:val="none" w:sz="0" w:space="0" w:color="auto"/>
            <w:right w:val="none" w:sz="0" w:space="0" w:color="auto"/>
          </w:divBdr>
        </w:div>
        <w:div w:id="1027372094">
          <w:marLeft w:val="0"/>
          <w:marRight w:val="0"/>
          <w:marTop w:val="0"/>
          <w:marBottom w:val="0"/>
          <w:divBdr>
            <w:top w:val="none" w:sz="0" w:space="0" w:color="auto"/>
            <w:left w:val="none" w:sz="0" w:space="0" w:color="auto"/>
            <w:bottom w:val="none" w:sz="0" w:space="0" w:color="auto"/>
            <w:right w:val="none" w:sz="0" w:space="0" w:color="auto"/>
          </w:divBdr>
        </w:div>
        <w:div w:id="1038047838">
          <w:marLeft w:val="0"/>
          <w:marRight w:val="0"/>
          <w:marTop w:val="0"/>
          <w:marBottom w:val="0"/>
          <w:divBdr>
            <w:top w:val="none" w:sz="0" w:space="0" w:color="auto"/>
            <w:left w:val="none" w:sz="0" w:space="0" w:color="auto"/>
            <w:bottom w:val="none" w:sz="0" w:space="0" w:color="auto"/>
            <w:right w:val="none" w:sz="0" w:space="0" w:color="auto"/>
          </w:divBdr>
        </w:div>
        <w:div w:id="1095590228">
          <w:marLeft w:val="0"/>
          <w:marRight w:val="0"/>
          <w:marTop w:val="0"/>
          <w:marBottom w:val="0"/>
          <w:divBdr>
            <w:top w:val="none" w:sz="0" w:space="0" w:color="auto"/>
            <w:left w:val="none" w:sz="0" w:space="0" w:color="auto"/>
            <w:bottom w:val="none" w:sz="0" w:space="0" w:color="auto"/>
            <w:right w:val="none" w:sz="0" w:space="0" w:color="auto"/>
          </w:divBdr>
        </w:div>
        <w:div w:id="1104769980">
          <w:marLeft w:val="0"/>
          <w:marRight w:val="0"/>
          <w:marTop w:val="0"/>
          <w:marBottom w:val="0"/>
          <w:divBdr>
            <w:top w:val="none" w:sz="0" w:space="0" w:color="auto"/>
            <w:left w:val="none" w:sz="0" w:space="0" w:color="auto"/>
            <w:bottom w:val="none" w:sz="0" w:space="0" w:color="auto"/>
            <w:right w:val="none" w:sz="0" w:space="0" w:color="auto"/>
          </w:divBdr>
        </w:div>
        <w:div w:id="1106776794">
          <w:marLeft w:val="0"/>
          <w:marRight w:val="0"/>
          <w:marTop w:val="0"/>
          <w:marBottom w:val="0"/>
          <w:divBdr>
            <w:top w:val="none" w:sz="0" w:space="0" w:color="auto"/>
            <w:left w:val="none" w:sz="0" w:space="0" w:color="auto"/>
            <w:bottom w:val="none" w:sz="0" w:space="0" w:color="auto"/>
            <w:right w:val="none" w:sz="0" w:space="0" w:color="auto"/>
          </w:divBdr>
        </w:div>
        <w:div w:id="1216431136">
          <w:marLeft w:val="0"/>
          <w:marRight w:val="0"/>
          <w:marTop w:val="0"/>
          <w:marBottom w:val="0"/>
          <w:divBdr>
            <w:top w:val="none" w:sz="0" w:space="0" w:color="auto"/>
            <w:left w:val="none" w:sz="0" w:space="0" w:color="auto"/>
            <w:bottom w:val="none" w:sz="0" w:space="0" w:color="auto"/>
            <w:right w:val="none" w:sz="0" w:space="0" w:color="auto"/>
          </w:divBdr>
        </w:div>
        <w:div w:id="1345784003">
          <w:marLeft w:val="0"/>
          <w:marRight w:val="0"/>
          <w:marTop w:val="0"/>
          <w:marBottom w:val="0"/>
          <w:divBdr>
            <w:top w:val="none" w:sz="0" w:space="0" w:color="auto"/>
            <w:left w:val="none" w:sz="0" w:space="0" w:color="auto"/>
            <w:bottom w:val="none" w:sz="0" w:space="0" w:color="auto"/>
            <w:right w:val="none" w:sz="0" w:space="0" w:color="auto"/>
          </w:divBdr>
        </w:div>
        <w:div w:id="1441145521">
          <w:marLeft w:val="0"/>
          <w:marRight w:val="0"/>
          <w:marTop w:val="0"/>
          <w:marBottom w:val="0"/>
          <w:divBdr>
            <w:top w:val="none" w:sz="0" w:space="0" w:color="auto"/>
            <w:left w:val="none" w:sz="0" w:space="0" w:color="auto"/>
            <w:bottom w:val="none" w:sz="0" w:space="0" w:color="auto"/>
            <w:right w:val="none" w:sz="0" w:space="0" w:color="auto"/>
          </w:divBdr>
        </w:div>
        <w:div w:id="1491020454">
          <w:marLeft w:val="0"/>
          <w:marRight w:val="0"/>
          <w:marTop w:val="0"/>
          <w:marBottom w:val="0"/>
          <w:divBdr>
            <w:top w:val="none" w:sz="0" w:space="0" w:color="auto"/>
            <w:left w:val="none" w:sz="0" w:space="0" w:color="auto"/>
            <w:bottom w:val="none" w:sz="0" w:space="0" w:color="auto"/>
            <w:right w:val="none" w:sz="0" w:space="0" w:color="auto"/>
          </w:divBdr>
        </w:div>
        <w:div w:id="1498614660">
          <w:marLeft w:val="0"/>
          <w:marRight w:val="0"/>
          <w:marTop w:val="0"/>
          <w:marBottom w:val="0"/>
          <w:divBdr>
            <w:top w:val="none" w:sz="0" w:space="0" w:color="auto"/>
            <w:left w:val="none" w:sz="0" w:space="0" w:color="auto"/>
            <w:bottom w:val="none" w:sz="0" w:space="0" w:color="auto"/>
            <w:right w:val="none" w:sz="0" w:space="0" w:color="auto"/>
          </w:divBdr>
        </w:div>
        <w:div w:id="1597327276">
          <w:marLeft w:val="0"/>
          <w:marRight w:val="0"/>
          <w:marTop w:val="0"/>
          <w:marBottom w:val="0"/>
          <w:divBdr>
            <w:top w:val="none" w:sz="0" w:space="0" w:color="auto"/>
            <w:left w:val="none" w:sz="0" w:space="0" w:color="auto"/>
            <w:bottom w:val="none" w:sz="0" w:space="0" w:color="auto"/>
            <w:right w:val="none" w:sz="0" w:space="0" w:color="auto"/>
          </w:divBdr>
        </w:div>
        <w:div w:id="1608926960">
          <w:marLeft w:val="0"/>
          <w:marRight w:val="0"/>
          <w:marTop w:val="0"/>
          <w:marBottom w:val="0"/>
          <w:divBdr>
            <w:top w:val="none" w:sz="0" w:space="0" w:color="auto"/>
            <w:left w:val="none" w:sz="0" w:space="0" w:color="auto"/>
            <w:bottom w:val="none" w:sz="0" w:space="0" w:color="auto"/>
            <w:right w:val="none" w:sz="0" w:space="0" w:color="auto"/>
          </w:divBdr>
        </w:div>
        <w:div w:id="1638801866">
          <w:marLeft w:val="0"/>
          <w:marRight w:val="0"/>
          <w:marTop w:val="0"/>
          <w:marBottom w:val="0"/>
          <w:divBdr>
            <w:top w:val="none" w:sz="0" w:space="0" w:color="auto"/>
            <w:left w:val="none" w:sz="0" w:space="0" w:color="auto"/>
            <w:bottom w:val="none" w:sz="0" w:space="0" w:color="auto"/>
            <w:right w:val="none" w:sz="0" w:space="0" w:color="auto"/>
          </w:divBdr>
        </w:div>
        <w:div w:id="1662001776">
          <w:marLeft w:val="0"/>
          <w:marRight w:val="0"/>
          <w:marTop w:val="0"/>
          <w:marBottom w:val="0"/>
          <w:divBdr>
            <w:top w:val="none" w:sz="0" w:space="0" w:color="auto"/>
            <w:left w:val="none" w:sz="0" w:space="0" w:color="auto"/>
            <w:bottom w:val="none" w:sz="0" w:space="0" w:color="auto"/>
            <w:right w:val="none" w:sz="0" w:space="0" w:color="auto"/>
          </w:divBdr>
        </w:div>
        <w:div w:id="1918007994">
          <w:marLeft w:val="0"/>
          <w:marRight w:val="0"/>
          <w:marTop w:val="0"/>
          <w:marBottom w:val="0"/>
          <w:divBdr>
            <w:top w:val="none" w:sz="0" w:space="0" w:color="auto"/>
            <w:left w:val="none" w:sz="0" w:space="0" w:color="auto"/>
            <w:bottom w:val="none" w:sz="0" w:space="0" w:color="auto"/>
            <w:right w:val="none" w:sz="0" w:space="0" w:color="auto"/>
          </w:divBdr>
        </w:div>
        <w:div w:id="2008047959">
          <w:marLeft w:val="0"/>
          <w:marRight w:val="0"/>
          <w:marTop w:val="0"/>
          <w:marBottom w:val="0"/>
          <w:divBdr>
            <w:top w:val="none" w:sz="0" w:space="0" w:color="auto"/>
            <w:left w:val="none" w:sz="0" w:space="0" w:color="auto"/>
            <w:bottom w:val="none" w:sz="0" w:space="0" w:color="auto"/>
            <w:right w:val="none" w:sz="0" w:space="0" w:color="auto"/>
          </w:divBdr>
        </w:div>
      </w:divsChild>
    </w:div>
    <w:div w:id="577904001">
      <w:bodyDiv w:val="1"/>
      <w:marLeft w:val="0"/>
      <w:marRight w:val="0"/>
      <w:marTop w:val="0"/>
      <w:marBottom w:val="0"/>
      <w:divBdr>
        <w:top w:val="none" w:sz="0" w:space="0" w:color="auto"/>
        <w:left w:val="none" w:sz="0" w:space="0" w:color="auto"/>
        <w:bottom w:val="none" w:sz="0" w:space="0" w:color="auto"/>
        <w:right w:val="none" w:sz="0" w:space="0" w:color="auto"/>
      </w:divBdr>
    </w:div>
    <w:div w:id="599680846">
      <w:bodyDiv w:val="1"/>
      <w:marLeft w:val="0"/>
      <w:marRight w:val="0"/>
      <w:marTop w:val="0"/>
      <w:marBottom w:val="0"/>
      <w:divBdr>
        <w:top w:val="none" w:sz="0" w:space="0" w:color="auto"/>
        <w:left w:val="none" w:sz="0" w:space="0" w:color="auto"/>
        <w:bottom w:val="none" w:sz="0" w:space="0" w:color="auto"/>
        <w:right w:val="none" w:sz="0" w:space="0" w:color="auto"/>
      </w:divBdr>
      <w:divsChild>
        <w:div w:id="920942762">
          <w:marLeft w:val="0"/>
          <w:marRight w:val="0"/>
          <w:marTop w:val="0"/>
          <w:marBottom w:val="0"/>
          <w:divBdr>
            <w:top w:val="none" w:sz="0" w:space="0" w:color="auto"/>
            <w:left w:val="none" w:sz="0" w:space="0" w:color="auto"/>
            <w:bottom w:val="none" w:sz="0" w:space="0" w:color="auto"/>
            <w:right w:val="none" w:sz="0" w:space="0" w:color="auto"/>
          </w:divBdr>
          <w:divsChild>
            <w:div w:id="44260635">
              <w:marLeft w:val="0"/>
              <w:marRight w:val="0"/>
              <w:marTop w:val="0"/>
              <w:marBottom w:val="0"/>
              <w:divBdr>
                <w:top w:val="none" w:sz="0" w:space="0" w:color="auto"/>
                <w:left w:val="none" w:sz="0" w:space="0" w:color="auto"/>
                <w:bottom w:val="none" w:sz="0" w:space="0" w:color="auto"/>
                <w:right w:val="none" w:sz="0" w:space="0" w:color="auto"/>
              </w:divBdr>
              <w:divsChild>
                <w:div w:id="1988362480">
                  <w:marLeft w:val="0"/>
                  <w:marRight w:val="0"/>
                  <w:marTop w:val="0"/>
                  <w:marBottom w:val="0"/>
                  <w:divBdr>
                    <w:top w:val="none" w:sz="0" w:space="0" w:color="auto"/>
                    <w:left w:val="none" w:sz="0" w:space="0" w:color="auto"/>
                    <w:bottom w:val="none" w:sz="0" w:space="0" w:color="auto"/>
                    <w:right w:val="none" w:sz="0" w:space="0" w:color="auto"/>
                  </w:divBdr>
                </w:div>
              </w:divsChild>
            </w:div>
            <w:div w:id="1324819934">
              <w:marLeft w:val="0"/>
              <w:marRight w:val="0"/>
              <w:marTop w:val="0"/>
              <w:marBottom w:val="0"/>
              <w:divBdr>
                <w:top w:val="none" w:sz="0" w:space="0" w:color="auto"/>
                <w:left w:val="none" w:sz="0" w:space="0" w:color="auto"/>
                <w:bottom w:val="none" w:sz="0" w:space="0" w:color="auto"/>
                <w:right w:val="none" w:sz="0" w:space="0" w:color="auto"/>
              </w:divBdr>
              <w:divsChild>
                <w:div w:id="20571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60078">
          <w:marLeft w:val="0"/>
          <w:marRight w:val="0"/>
          <w:marTop w:val="0"/>
          <w:marBottom w:val="0"/>
          <w:divBdr>
            <w:top w:val="none" w:sz="0" w:space="0" w:color="auto"/>
            <w:left w:val="none" w:sz="0" w:space="0" w:color="auto"/>
            <w:bottom w:val="none" w:sz="0" w:space="0" w:color="auto"/>
            <w:right w:val="none" w:sz="0" w:space="0" w:color="auto"/>
          </w:divBdr>
          <w:divsChild>
            <w:div w:id="785805666">
              <w:marLeft w:val="0"/>
              <w:marRight w:val="0"/>
              <w:marTop w:val="0"/>
              <w:marBottom w:val="0"/>
              <w:divBdr>
                <w:top w:val="none" w:sz="0" w:space="0" w:color="auto"/>
                <w:left w:val="none" w:sz="0" w:space="0" w:color="auto"/>
                <w:bottom w:val="none" w:sz="0" w:space="0" w:color="auto"/>
                <w:right w:val="none" w:sz="0" w:space="0" w:color="auto"/>
              </w:divBdr>
              <w:divsChild>
                <w:div w:id="8024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4466">
      <w:bodyDiv w:val="1"/>
      <w:marLeft w:val="0"/>
      <w:marRight w:val="0"/>
      <w:marTop w:val="0"/>
      <w:marBottom w:val="0"/>
      <w:divBdr>
        <w:top w:val="none" w:sz="0" w:space="0" w:color="auto"/>
        <w:left w:val="none" w:sz="0" w:space="0" w:color="auto"/>
        <w:bottom w:val="none" w:sz="0" w:space="0" w:color="auto"/>
        <w:right w:val="none" w:sz="0" w:space="0" w:color="auto"/>
      </w:divBdr>
    </w:div>
    <w:div w:id="617301238">
      <w:bodyDiv w:val="1"/>
      <w:marLeft w:val="0"/>
      <w:marRight w:val="0"/>
      <w:marTop w:val="0"/>
      <w:marBottom w:val="0"/>
      <w:divBdr>
        <w:top w:val="none" w:sz="0" w:space="0" w:color="auto"/>
        <w:left w:val="none" w:sz="0" w:space="0" w:color="auto"/>
        <w:bottom w:val="none" w:sz="0" w:space="0" w:color="auto"/>
        <w:right w:val="none" w:sz="0" w:space="0" w:color="auto"/>
      </w:divBdr>
    </w:div>
    <w:div w:id="618073125">
      <w:bodyDiv w:val="1"/>
      <w:marLeft w:val="0"/>
      <w:marRight w:val="0"/>
      <w:marTop w:val="0"/>
      <w:marBottom w:val="0"/>
      <w:divBdr>
        <w:top w:val="none" w:sz="0" w:space="0" w:color="auto"/>
        <w:left w:val="none" w:sz="0" w:space="0" w:color="auto"/>
        <w:bottom w:val="none" w:sz="0" w:space="0" w:color="auto"/>
        <w:right w:val="none" w:sz="0" w:space="0" w:color="auto"/>
      </w:divBdr>
    </w:div>
    <w:div w:id="630942036">
      <w:bodyDiv w:val="1"/>
      <w:marLeft w:val="0"/>
      <w:marRight w:val="0"/>
      <w:marTop w:val="0"/>
      <w:marBottom w:val="0"/>
      <w:divBdr>
        <w:top w:val="none" w:sz="0" w:space="0" w:color="auto"/>
        <w:left w:val="none" w:sz="0" w:space="0" w:color="auto"/>
        <w:bottom w:val="none" w:sz="0" w:space="0" w:color="auto"/>
        <w:right w:val="none" w:sz="0" w:space="0" w:color="auto"/>
      </w:divBdr>
      <w:divsChild>
        <w:div w:id="1712725929">
          <w:marLeft w:val="0"/>
          <w:marRight w:val="0"/>
          <w:marTop w:val="0"/>
          <w:marBottom w:val="0"/>
          <w:divBdr>
            <w:top w:val="none" w:sz="0" w:space="0" w:color="auto"/>
            <w:left w:val="none" w:sz="0" w:space="0" w:color="auto"/>
            <w:bottom w:val="none" w:sz="0" w:space="0" w:color="auto"/>
            <w:right w:val="none" w:sz="0" w:space="0" w:color="auto"/>
          </w:divBdr>
          <w:divsChild>
            <w:div w:id="1380587424">
              <w:marLeft w:val="0"/>
              <w:marRight w:val="0"/>
              <w:marTop w:val="0"/>
              <w:marBottom w:val="0"/>
              <w:divBdr>
                <w:top w:val="none" w:sz="0" w:space="0" w:color="auto"/>
                <w:left w:val="none" w:sz="0" w:space="0" w:color="auto"/>
                <w:bottom w:val="none" w:sz="0" w:space="0" w:color="auto"/>
                <w:right w:val="none" w:sz="0" w:space="0" w:color="auto"/>
              </w:divBdr>
              <w:divsChild>
                <w:div w:id="20914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5103">
      <w:bodyDiv w:val="1"/>
      <w:marLeft w:val="0"/>
      <w:marRight w:val="0"/>
      <w:marTop w:val="0"/>
      <w:marBottom w:val="0"/>
      <w:divBdr>
        <w:top w:val="none" w:sz="0" w:space="0" w:color="auto"/>
        <w:left w:val="none" w:sz="0" w:space="0" w:color="auto"/>
        <w:bottom w:val="none" w:sz="0" w:space="0" w:color="auto"/>
        <w:right w:val="none" w:sz="0" w:space="0" w:color="auto"/>
      </w:divBdr>
      <w:divsChild>
        <w:div w:id="47415112">
          <w:marLeft w:val="0"/>
          <w:marRight w:val="0"/>
          <w:marTop w:val="0"/>
          <w:marBottom w:val="0"/>
          <w:divBdr>
            <w:top w:val="none" w:sz="0" w:space="0" w:color="auto"/>
            <w:left w:val="none" w:sz="0" w:space="0" w:color="auto"/>
            <w:bottom w:val="none" w:sz="0" w:space="0" w:color="auto"/>
            <w:right w:val="none" w:sz="0" w:space="0" w:color="auto"/>
          </w:divBdr>
          <w:divsChild>
            <w:div w:id="1427002514">
              <w:marLeft w:val="0"/>
              <w:marRight w:val="0"/>
              <w:marTop w:val="0"/>
              <w:marBottom w:val="0"/>
              <w:divBdr>
                <w:top w:val="none" w:sz="0" w:space="0" w:color="auto"/>
                <w:left w:val="none" w:sz="0" w:space="0" w:color="auto"/>
                <w:bottom w:val="none" w:sz="0" w:space="0" w:color="auto"/>
                <w:right w:val="none" w:sz="0" w:space="0" w:color="auto"/>
              </w:divBdr>
              <w:divsChild>
                <w:div w:id="7973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9714">
          <w:marLeft w:val="0"/>
          <w:marRight w:val="0"/>
          <w:marTop w:val="0"/>
          <w:marBottom w:val="0"/>
          <w:divBdr>
            <w:top w:val="none" w:sz="0" w:space="0" w:color="auto"/>
            <w:left w:val="none" w:sz="0" w:space="0" w:color="auto"/>
            <w:bottom w:val="none" w:sz="0" w:space="0" w:color="auto"/>
            <w:right w:val="none" w:sz="0" w:space="0" w:color="auto"/>
          </w:divBdr>
          <w:divsChild>
            <w:div w:id="462776105">
              <w:marLeft w:val="0"/>
              <w:marRight w:val="0"/>
              <w:marTop w:val="0"/>
              <w:marBottom w:val="0"/>
              <w:divBdr>
                <w:top w:val="none" w:sz="0" w:space="0" w:color="auto"/>
                <w:left w:val="none" w:sz="0" w:space="0" w:color="auto"/>
                <w:bottom w:val="none" w:sz="0" w:space="0" w:color="auto"/>
                <w:right w:val="none" w:sz="0" w:space="0" w:color="auto"/>
              </w:divBdr>
              <w:divsChild>
                <w:div w:id="476729143">
                  <w:marLeft w:val="0"/>
                  <w:marRight w:val="0"/>
                  <w:marTop w:val="0"/>
                  <w:marBottom w:val="0"/>
                  <w:divBdr>
                    <w:top w:val="none" w:sz="0" w:space="0" w:color="auto"/>
                    <w:left w:val="none" w:sz="0" w:space="0" w:color="auto"/>
                    <w:bottom w:val="none" w:sz="0" w:space="0" w:color="auto"/>
                    <w:right w:val="none" w:sz="0" w:space="0" w:color="auto"/>
                  </w:divBdr>
                </w:div>
              </w:divsChild>
            </w:div>
            <w:div w:id="1203051795">
              <w:marLeft w:val="0"/>
              <w:marRight w:val="0"/>
              <w:marTop w:val="0"/>
              <w:marBottom w:val="0"/>
              <w:divBdr>
                <w:top w:val="none" w:sz="0" w:space="0" w:color="auto"/>
                <w:left w:val="none" w:sz="0" w:space="0" w:color="auto"/>
                <w:bottom w:val="none" w:sz="0" w:space="0" w:color="auto"/>
                <w:right w:val="none" w:sz="0" w:space="0" w:color="auto"/>
              </w:divBdr>
              <w:divsChild>
                <w:div w:id="6926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5247">
      <w:bodyDiv w:val="1"/>
      <w:marLeft w:val="0"/>
      <w:marRight w:val="0"/>
      <w:marTop w:val="0"/>
      <w:marBottom w:val="0"/>
      <w:divBdr>
        <w:top w:val="none" w:sz="0" w:space="0" w:color="auto"/>
        <w:left w:val="none" w:sz="0" w:space="0" w:color="auto"/>
        <w:bottom w:val="none" w:sz="0" w:space="0" w:color="auto"/>
        <w:right w:val="none" w:sz="0" w:space="0" w:color="auto"/>
      </w:divBdr>
      <w:divsChild>
        <w:div w:id="406922947">
          <w:marLeft w:val="0"/>
          <w:marRight w:val="0"/>
          <w:marTop w:val="0"/>
          <w:marBottom w:val="0"/>
          <w:divBdr>
            <w:top w:val="none" w:sz="0" w:space="0" w:color="auto"/>
            <w:left w:val="none" w:sz="0" w:space="0" w:color="auto"/>
            <w:bottom w:val="none" w:sz="0" w:space="0" w:color="auto"/>
            <w:right w:val="none" w:sz="0" w:space="0" w:color="auto"/>
          </w:divBdr>
          <w:divsChild>
            <w:div w:id="1676614395">
              <w:marLeft w:val="0"/>
              <w:marRight w:val="0"/>
              <w:marTop w:val="0"/>
              <w:marBottom w:val="0"/>
              <w:divBdr>
                <w:top w:val="none" w:sz="0" w:space="0" w:color="auto"/>
                <w:left w:val="none" w:sz="0" w:space="0" w:color="auto"/>
                <w:bottom w:val="none" w:sz="0" w:space="0" w:color="auto"/>
                <w:right w:val="none" w:sz="0" w:space="0" w:color="auto"/>
              </w:divBdr>
              <w:divsChild>
                <w:div w:id="902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3994">
      <w:bodyDiv w:val="1"/>
      <w:marLeft w:val="0"/>
      <w:marRight w:val="0"/>
      <w:marTop w:val="0"/>
      <w:marBottom w:val="0"/>
      <w:divBdr>
        <w:top w:val="none" w:sz="0" w:space="0" w:color="auto"/>
        <w:left w:val="none" w:sz="0" w:space="0" w:color="auto"/>
        <w:bottom w:val="none" w:sz="0" w:space="0" w:color="auto"/>
        <w:right w:val="none" w:sz="0" w:space="0" w:color="auto"/>
      </w:divBdr>
      <w:divsChild>
        <w:div w:id="916594117">
          <w:marLeft w:val="0"/>
          <w:marRight w:val="0"/>
          <w:marTop w:val="0"/>
          <w:marBottom w:val="0"/>
          <w:divBdr>
            <w:top w:val="none" w:sz="0" w:space="0" w:color="auto"/>
            <w:left w:val="none" w:sz="0" w:space="0" w:color="auto"/>
            <w:bottom w:val="none" w:sz="0" w:space="0" w:color="auto"/>
            <w:right w:val="none" w:sz="0" w:space="0" w:color="auto"/>
          </w:divBdr>
          <w:divsChild>
            <w:div w:id="30880604">
              <w:marLeft w:val="0"/>
              <w:marRight w:val="0"/>
              <w:marTop w:val="0"/>
              <w:marBottom w:val="0"/>
              <w:divBdr>
                <w:top w:val="none" w:sz="0" w:space="0" w:color="auto"/>
                <w:left w:val="none" w:sz="0" w:space="0" w:color="auto"/>
                <w:bottom w:val="none" w:sz="0" w:space="0" w:color="auto"/>
                <w:right w:val="none" w:sz="0" w:space="0" w:color="auto"/>
              </w:divBdr>
              <w:divsChild>
                <w:div w:id="1324045978">
                  <w:marLeft w:val="0"/>
                  <w:marRight w:val="0"/>
                  <w:marTop w:val="0"/>
                  <w:marBottom w:val="0"/>
                  <w:divBdr>
                    <w:top w:val="none" w:sz="0" w:space="0" w:color="auto"/>
                    <w:left w:val="none" w:sz="0" w:space="0" w:color="auto"/>
                    <w:bottom w:val="none" w:sz="0" w:space="0" w:color="auto"/>
                    <w:right w:val="none" w:sz="0" w:space="0" w:color="auto"/>
                  </w:divBdr>
                </w:div>
              </w:divsChild>
            </w:div>
            <w:div w:id="1629705810">
              <w:marLeft w:val="0"/>
              <w:marRight w:val="0"/>
              <w:marTop w:val="0"/>
              <w:marBottom w:val="0"/>
              <w:divBdr>
                <w:top w:val="none" w:sz="0" w:space="0" w:color="auto"/>
                <w:left w:val="none" w:sz="0" w:space="0" w:color="auto"/>
                <w:bottom w:val="none" w:sz="0" w:space="0" w:color="auto"/>
                <w:right w:val="none" w:sz="0" w:space="0" w:color="auto"/>
              </w:divBdr>
              <w:divsChild>
                <w:div w:id="16793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7494">
          <w:marLeft w:val="0"/>
          <w:marRight w:val="0"/>
          <w:marTop w:val="0"/>
          <w:marBottom w:val="0"/>
          <w:divBdr>
            <w:top w:val="none" w:sz="0" w:space="0" w:color="auto"/>
            <w:left w:val="none" w:sz="0" w:space="0" w:color="auto"/>
            <w:bottom w:val="none" w:sz="0" w:space="0" w:color="auto"/>
            <w:right w:val="none" w:sz="0" w:space="0" w:color="auto"/>
          </w:divBdr>
          <w:divsChild>
            <w:div w:id="11228395">
              <w:marLeft w:val="0"/>
              <w:marRight w:val="0"/>
              <w:marTop w:val="0"/>
              <w:marBottom w:val="0"/>
              <w:divBdr>
                <w:top w:val="none" w:sz="0" w:space="0" w:color="auto"/>
                <w:left w:val="none" w:sz="0" w:space="0" w:color="auto"/>
                <w:bottom w:val="none" w:sz="0" w:space="0" w:color="auto"/>
                <w:right w:val="none" w:sz="0" w:space="0" w:color="auto"/>
              </w:divBdr>
              <w:divsChild>
                <w:div w:id="2322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8723">
      <w:bodyDiv w:val="1"/>
      <w:marLeft w:val="0"/>
      <w:marRight w:val="0"/>
      <w:marTop w:val="0"/>
      <w:marBottom w:val="0"/>
      <w:divBdr>
        <w:top w:val="none" w:sz="0" w:space="0" w:color="auto"/>
        <w:left w:val="none" w:sz="0" w:space="0" w:color="auto"/>
        <w:bottom w:val="none" w:sz="0" w:space="0" w:color="auto"/>
        <w:right w:val="none" w:sz="0" w:space="0" w:color="auto"/>
      </w:divBdr>
    </w:div>
    <w:div w:id="693767393">
      <w:bodyDiv w:val="1"/>
      <w:marLeft w:val="0"/>
      <w:marRight w:val="0"/>
      <w:marTop w:val="0"/>
      <w:marBottom w:val="0"/>
      <w:divBdr>
        <w:top w:val="none" w:sz="0" w:space="0" w:color="auto"/>
        <w:left w:val="none" w:sz="0" w:space="0" w:color="auto"/>
        <w:bottom w:val="none" w:sz="0" w:space="0" w:color="auto"/>
        <w:right w:val="none" w:sz="0" w:space="0" w:color="auto"/>
      </w:divBdr>
    </w:div>
    <w:div w:id="702443611">
      <w:bodyDiv w:val="1"/>
      <w:marLeft w:val="0"/>
      <w:marRight w:val="0"/>
      <w:marTop w:val="0"/>
      <w:marBottom w:val="0"/>
      <w:divBdr>
        <w:top w:val="none" w:sz="0" w:space="0" w:color="auto"/>
        <w:left w:val="none" w:sz="0" w:space="0" w:color="auto"/>
        <w:bottom w:val="none" w:sz="0" w:space="0" w:color="auto"/>
        <w:right w:val="none" w:sz="0" w:space="0" w:color="auto"/>
      </w:divBdr>
      <w:divsChild>
        <w:div w:id="1750079090">
          <w:marLeft w:val="0"/>
          <w:marRight w:val="0"/>
          <w:marTop w:val="0"/>
          <w:marBottom w:val="0"/>
          <w:divBdr>
            <w:top w:val="none" w:sz="0" w:space="0" w:color="auto"/>
            <w:left w:val="none" w:sz="0" w:space="0" w:color="auto"/>
            <w:bottom w:val="none" w:sz="0" w:space="0" w:color="auto"/>
            <w:right w:val="none" w:sz="0" w:space="0" w:color="auto"/>
          </w:divBdr>
          <w:divsChild>
            <w:div w:id="17437570">
              <w:marLeft w:val="0"/>
              <w:marRight w:val="0"/>
              <w:marTop w:val="0"/>
              <w:marBottom w:val="0"/>
              <w:divBdr>
                <w:top w:val="none" w:sz="0" w:space="0" w:color="auto"/>
                <w:left w:val="none" w:sz="0" w:space="0" w:color="auto"/>
                <w:bottom w:val="none" w:sz="0" w:space="0" w:color="auto"/>
                <w:right w:val="none" w:sz="0" w:space="0" w:color="auto"/>
              </w:divBdr>
              <w:divsChild>
                <w:div w:id="18151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68065">
      <w:bodyDiv w:val="1"/>
      <w:marLeft w:val="0"/>
      <w:marRight w:val="0"/>
      <w:marTop w:val="0"/>
      <w:marBottom w:val="0"/>
      <w:divBdr>
        <w:top w:val="none" w:sz="0" w:space="0" w:color="auto"/>
        <w:left w:val="none" w:sz="0" w:space="0" w:color="auto"/>
        <w:bottom w:val="none" w:sz="0" w:space="0" w:color="auto"/>
        <w:right w:val="none" w:sz="0" w:space="0" w:color="auto"/>
      </w:divBdr>
      <w:divsChild>
        <w:div w:id="272321025">
          <w:marLeft w:val="0"/>
          <w:marRight w:val="0"/>
          <w:marTop w:val="0"/>
          <w:marBottom w:val="0"/>
          <w:divBdr>
            <w:top w:val="none" w:sz="0" w:space="0" w:color="auto"/>
            <w:left w:val="none" w:sz="0" w:space="0" w:color="auto"/>
            <w:bottom w:val="none" w:sz="0" w:space="0" w:color="auto"/>
            <w:right w:val="none" w:sz="0" w:space="0" w:color="auto"/>
          </w:divBdr>
          <w:divsChild>
            <w:div w:id="2046516087">
              <w:marLeft w:val="0"/>
              <w:marRight w:val="0"/>
              <w:marTop w:val="0"/>
              <w:marBottom w:val="0"/>
              <w:divBdr>
                <w:top w:val="none" w:sz="0" w:space="0" w:color="auto"/>
                <w:left w:val="none" w:sz="0" w:space="0" w:color="auto"/>
                <w:bottom w:val="none" w:sz="0" w:space="0" w:color="auto"/>
                <w:right w:val="none" w:sz="0" w:space="0" w:color="auto"/>
              </w:divBdr>
              <w:divsChild>
                <w:div w:id="5517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31994">
      <w:bodyDiv w:val="1"/>
      <w:marLeft w:val="0"/>
      <w:marRight w:val="0"/>
      <w:marTop w:val="0"/>
      <w:marBottom w:val="0"/>
      <w:divBdr>
        <w:top w:val="none" w:sz="0" w:space="0" w:color="auto"/>
        <w:left w:val="none" w:sz="0" w:space="0" w:color="auto"/>
        <w:bottom w:val="none" w:sz="0" w:space="0" w:color="auto"/>
        <w:right w:val="none" w:sz="0" w:space="0" w:color="auto"/>
      </w:divBdr>
      <w:divsChild>
        <w:div w:id="1565023206">
          <w:marLeft w:val="0"/>
          <w:marRight w:val="0"/>
          <w:marTop w:val="0"/>
          <w:marBottom w:val="0"/>
          <w:divBdr>
            <w:top w:val="none" w:sz="0" w:space="0" w:color="auto"/>
            <w:left w:val="none" w:sz="0" w:space="0" w:color="auto"/>
            <w:bottom w:val="none" w:sz="0" w:space="0" w:color="auto"/>
            <w:right w:val="none" w:sz="0" w:space="0" w:color="auto"/>
          </w:divBdr>
          <w:divsChild>
            <w:div w:id="224336266">
              <w:marLeft w:val="0"/>
              <w:marRight w:val="0"/>
              <w:marTop w:val="0"/>
              <w:marBottom w:val="0"/>
              <w:divBdr>
                <w:top w:val="none" w:sz="0" w:space="0" w:color="auto"/>
                <w:left w:val="none" w:sz="0" w:space="0" w:color="auto"/>
                <w:bottom w:val="none" w:sz="0" w:space="0" w:color="auto"/>
                <w:right w:val="none" w:sz="0" w:space="0" w:color="auto"/>
              </w:divBdr>
              <w:divsChild>
                <w:div w:id="1856646534">
                  <w:marLeft w:val="0"/>
                  <w:marRight w:val="0"/>
                  <w:marTop w:val="0"/>
                  <w:marBottom w:val="0"/>
                  <w:divBdr>
                    <w:top w:val="none" w:sz="0" w:space="0" w:color="auto"/>
                    <w:left w:val="none" w:sz="0" w:space="0" w:color="auto"/>
                    <w:bottom w:val="none" w:sz="0" w:space="0" w:color="auto"/>
                    <w:right w:val="none" w:sz="0" w:space="0" w:color="auto"/>
                  </w:divBdr>
                  <w:divsChild>
                    <w:div w:id="6659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22229">
      <w:bodyDiv w:val="1"/>
      <w:marLeft w:val="0"/>
      <w:marRight w:val="0"/>
      <w:marTop w:val="0"/>
      <w:marBottom w:val="0"/>
      <w:divBdr>
        <w:top w:val="none" w:sz="0" w:space="0" w:color="auto"/>
        <w:left w:val="none" w:sz="0" w:space="0" w:color="auto"/>
        <w:bottom w:val="none" w:sz="0" w:space="0" w:color="auto"/>
        <w:right w:val="none" w:sz="0" w:space="0" w:color="auto"/>
      </w:divBdr>
      <w:divsChild>
        <w:div w:id="273899721">
          <w:marLeft w:val="0"/>
          <w:marRight w:val="0"/>
          <w:marTop w:val="0"/>
          <w:marBottom w:val="0"/>
          <w:divBdr>
            <w:top w:val="none" w:sz="0" w:space="0" w:color="auto"/>
            <w:left w:val="none" w:sz="0" w:space="0" w:color="auto"/>
            <w:bottom w:val="none" w:sz="0" w:space="0" w:color="auto"/>
            <w:right w:val="none" w:sz="0" w:space="0" w:color="auto"/>
          </w:divBdr>
        </w:div>
        <w:div w:id="765462406">
          <w:marLeft w:val="0"/>
          <w:marRight w:val="0"/>
          <w:marTop w:val="0"/>
          <w:marBottom w:val="0"/>
          <w:divBdr>
            <w:top w:val="none" w:sz="0" w:space="0" w:color="auto"/>
            <w:left w:val="none" w:sz="0" w:space="0" w:color="auto"/>
            <w:bottom w:val="none" w:sz="0" w:space="0" w:color="auto"/>
            <w:right w:val="none" w:sz="0" w:space="0" w:color="auto"/>
          </w:divBdr>
        </w:div>
        <w:div w:id="820661320">
          <w:marLeft w:val="0"/>
          <w:marRight w:val="0"/>
          <w:marTop w:val="0"/>
          <w:marBottom w:val="0"/>
          <w:divBdr>
            <w:top w:val="none" w:sz="0" w:space="0" w:color="auto"/>
            <w:left w:val="none" w:sz="0" w:space="0" w:color="auto"/>
            <w:bottom w:val="none" w:sz="0" w:space="0" w:color="auto"/>
            <w:right w:val="none" w:sz="0" w:space="0" w:color="auto"/>
          </w:divBdr>
        </w:div>
        <w:div w:id="964576580">
          <w:marLeft w:val="0"/>
          <w:marRight w:val="0"/>
          <w:marTop w:val="0"/>
          <w:marBottom w:val="0"/>
          <w:divBdr>
            <w:top w:val="none" w:sz="0" w:space="0" w:color="auto"/>
            <w:left w:val="none" w:sz="0" w:space="0" w:color="auto"/>
            <w:bottom w:val="none" w:sz="0" w:space="0" w:color="auto"/>
            <w:right w:val="none" w:sz="0" w:space="0" w:color="auto"/>
          </w:divBdr>
        </w:div>
        <w:div w:id="1025130443">
          <w:marLeft w:val="0"/>
          <w:marRight w:val="0"/>
          <w:marTop w:val="0"/>
          <w:marBottom w:val="0"/>
          <w:divBdr>
            <w:top w:val="none" w:sz="0" w:space="0" w:color="auto"/>
            <w:left w:val="none" w:sz="0" w:space="0" w:color="auto"/>
            <w:bottom w:val="none" w:sz="0" w:space="0" w:color="auto"/>
            <w:right w:val="none" w:sz="0" w:space="0" w:color="auto"/>
          </w:divBdr>
        </w:div>
        <w:div w:id="1175607182">
          <w:marLeft w:val="0"/>
          <w:marRight w:val="0"/>
          <w:marTop w:val="0"/>
          <w:marBottom w:val="0"/>
          <w:divBdr>
            <w:top w:val="none" w:sz="0" w:space="0" w:color="auto"/>
            <w:left w:val="none" w:sz="0" w:space="0" w:color="auto"/>
            <w:bottom w:val="none" w:sz="0" w:space="0" w:color="auto"/>
            <w:right w:val="none" w:sz="0" w:space="0" w:color="auto"/>
          </w:divBdr>
        </w:div>
        <w:div w:id="1222330932">
          <w:marLeft w:val="0"/>
          <w:marRight w:val="0"/>
          <w:marTop w:val="0"/>
          <w:marBottom w:val="0"/>
          <w:divBdr>
            <w:top w:val="none" w:sz="0" w:space="0" w:color="auto"/>
            <w:left w:val="none" w:sz="0" w:space="0" w:color="auto"/>
            <w:bottom w:val="none" w:sz="0" w:space="0" w:color="auto"/>
            <w:right w:val="none" w:sz="0" w:space="0" w:color="auto"/>
          </w:divBdr>
        </w:div>
        <w:div w:id="1338193429">
          <w:marLeft w:val="0"/>
          <w:marRight w:val="0"/>
          <w:marTop w:val="0"/>
          <w:marBottom w:val="0"/>
          <w:divBdr>
            <w:top w:val="none" w:sz="0" w:space="0" w:color="auto"/>
            <w:left w:val="none" w:sz="0" w:space="0" w:color="auto"/>
            <w:bottom w:val="none" w:sz="0" w:space="0" w:color="auto"/>
            <w:right w:val="none" w:sz="0" w:space="0" w:color="auto"/>
          </w:divBdr>
        </w:div>
        <w:div w:id="1378042600">
          <w:marLeft w:val="0"/>
          <w:marRight w:val="0"/>
          <w:marTop w:val="0"/>
          <w:marBottom w:val="0"/>
          <w:divBdr>
            <w:top w:val="none" w:sz="0" w:space="0" w:color="auto"/>
            <w:left w:val="none" w:sz="0" w:space="0" w:color="auto"/>
            <w:bottom w:val="none" w:sz="0" w:space="0" w:color="auto"/>
            <w:right w:val="none" w:sz="0" w:space="0" w:color="auto"/>
          </w:divBdr>
        </w:div>
        <w:div w:id="1457799379">
          <w:marLeft w:val="0"/>
          <w:marRight w:val="0"/>
          <w:marTop w:val="0"/>
          <w:marBottom w:val="0"/>
          <w:divBdr>
            <w:top w:val="none" w:sz="0" w:space="0" w:color="auto"/>
            <w:left w:val="none" w:sz="0" w:space="0" w:color="auto"/>
            <w:bottom w:val="none" w:sz="0" w:space="0" w:color="auto"/>
            <w:right w:val="none" w:sz="0" w:space="0" w:color="auto"/>
          </w:divBdr>
        </w:div>
        <w:div w:id="1557936941">
          <w:marLeft w:val="0"/>
          <w:marRight w:val="0"/>
          <w:marTop w:val="0"/>
          <w:marBottom w:val="0"/>
          <w:divBdr>
            <w:top w:val="none" w:sz="0" w:space="0" w:color="auto"/>
            <w:left w:val="none" w:sz="0" w:space="0" w:color="auto"/>
            <w:bottom w:val="none" w:sz="0" w:space="0" w:color="auto"/>
            <w:right w:val="none" w:sz="0" w:space="0" w:color="auto"/>
          </w:divBdr>
        </w:div>
        <w:div w:id="1976446551">
          <w:marLeft w:val="0"/>
          <w:marRight w:val="0"/>
          <w:marTop w:val="0"/>
          <w:marBottom w:val="0"/>
          <w:divBdr>
            <w:top w:val="none" w:sz="0" w:space="0" w:color="auto"/>
            <w:left w:val="none" w:sz="0" w:space="0" w:color="auto"/>
            <w:bottom w:val="none" w:sz="0" w:space="0" w:color="auto"/>
            <w:right w:val="none" w:sz="0" w:space="0" w:color="auto"/>
          </w:divBdr>
        </w:div>
        <w:div w:id="2011253510">
          <w:marLeft w:val="0"/>
          <w:marRight w:val="0"/>
          <w:marTop w:val="0"/>
          <w:marBottom w:val="0"/>
          <w:divBdr>
            <w:top w:val="none" w:sz="0" w:space="0" w:color="auto"/>
            <w:left w:val="none" w:sz="0" w:space="0" w:color="auto"/>
            <w:bottom w:val="none" w:sz="0" w:space="0" w:color="auto"/>
            <w:right w:val="none" w:sz="0" w:space="0" w:color="auto"/>
          </w:divBdr>
        </w:div>
        <w:div w:id="2045328846">
          <w:marLeft w:val="0"/>
          <w:marRight w:val="0"/>
          <w:marTop w:val="0"/>
          <w:marBottom w:val="0"/>
          <w:divBdr>
            <w:top w:val="none" w:sz="0" w:space="0" w:color="auto"/>
            <w:left w:val="none" w:sz="0" w:space="0" w:color="auto"/>
            <w:bottom w:val="none" w:sz="0" w:space="0" w:color="auto"/>
            <w:right w:val="none" w:sz="0" w:space="0" w:color="auto"/>
          </w:divBdr>
        </w:div>
      </w:divsChild>
    </w:div>
    <w:div w:id="753940274">
      <w:bodyDiv w:val="1"/>
      <w:marLeft w:val="0"/>
      <w:marRight w:val="0"/>
      <w:marTop w:val="0"/>
      <w:marBottom w:val="0"/>
      <w:divBdr>
        <w:top w:val="none" w:sz="0" w:space="0" w:color="auto"/>
        <w:left w:val="none" w:sz="0" w:space="0" w:color="auto"/>
        <w:bottom w:val="none" w:sz="0" w:space="0" w:color="auto"/>
        <w:right w:val="none" w:sz="0" w:space="0" w:color="auto"/>
      </w:divBdr>
      <w:divsChild>
        <w:div w:id="482818363">
          <w:marLeft w:val="0"/>
          <w:marRight w:val="0"/>
          <w:marTop w:val="0"/>
          <w:marBottom w:val="0"/>
          <w:divBdr>
            <w:top w:val="none" w:sz="0" w:space="0" w:color="auto"/>
            <w:left w:val="none" w:sz="0" w:space="0" w:color="auto"/>
            <w:bottom w:val="none" w:sz="0" w:space="0" w:color="auto"/>
            <w:right w:val="none" w:sz="0" w:space="0" w:color="auto"/>
          </w:divBdr>
          <w:divsChild>
            <w:div w:id="1300960932">
              <w:marLeft w:val="0"/>
              <w:marRight w:val="0"/>
              <w:marTop w:val="0"/>
              <w:marBottom w:val="0"/>
              <w:divBdr>
                <w:top w:val="none" w:sz="0" w:space="0" w:color="auto"/>
                <w:left w:val="none" w:sz="0" w:space="0" w:color="auto"/>
                <w:bottom w:val="none" w:sz="0" w:space="0" w:color="auto"/>
                <w:right w:val="none" w:sz="0" w:space="0" w:color="auto"/>
              </w:divBdr>
              <w:divsChild>
                <w:div w:id="968123911">
                  <w:marLeft w:val="0"/>
                  <w:marRight w:val="0"/>
                  <w:marTop w:val="0"/>
                  <w:marBottom w:val="0"/>
                  <w:divBdr>
                    <w:top w:val="none" w:sz="0" w:space="0" w:color="auto"/>
                    <w:left w:val="none" w:sz="0" w:space="0" w:color="auto"/>
                    <w:bottom w:val="none" w:sz="0" w:space="0" w:color="auto"/>
                    <w:right w:val="none" w:sz="0" w:space="0" w:color="auto"/>
                  </w:divBdr>
                  <w:divsChild>
                    <w:div w:id="1815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7854">
      <w:bodyDiv w:val="1"/>
      <w:marLeft w:val="0"/>
      <w:marRight w:val="0"/>
      <w:marTop w:val="0"/>
      <w:marBottom w:val="0"/>
      <w:divBdr>
        <w:top w:val="none" w:sz="0" w:space="0" w:color="auto"/>
        <w:left w:val="none" w:sz="0" w:space="0" w:color="auto"/>
        <w:bottom w:val="none" w:sz="0" w:space="0" w:color="auto"/>
        <w:right w:val="none" w:sz="0" w:space="0" w:color="auto"/>
      </w:divBdr>
      <w:divsChild>
        <w:div w:id="665518889">
          <w:marLeft w:val="0"/>
          <w:marRight w:val="0"/>
          <w:marTop w:val="0"/>
          <w:marBottom w:val="0"/>
          <w:divBdr>
            <w:top w:val="none" w:sz="0" w:space="0" w:color="auto"/>
            <w:left w:val="none" w:sz="0" w:space="0" w:color="auto"/>
            <w:bottom w:val="none" w:sz="0" w:space="0" w:color="auto"/>
            <w:right w:val="none" w:sz="0" w:space="0" w:color="auto"/>
          </w:divBdr>
        </w:div>
        <w:div w:id="1154107138">
          <w:marLeft w:val="0"/>
          <w:marRight w:val="0"/>
          <w:marTop w:val="0"/>
          <w:marBottom w:val="0"/>
          <w:divBdr>
            <w:top w:val="none" w:sz="0" w:space="0" w:color="auto"/>
            <w:left w:val="none" w:sz="0" w:space="0" w:color="auto"/>
            <w:bottom w:val="none" w:sz="0" w:space="0" w:color="auto"/>
            <w:right w:val="none" w:sz="0" w:space="0" w:color="auto"/>
          </w:divBdr>
        </w:div>
      </w:divsChild>
    </w:div>
    <w:div w:id="789663982">
      <w:bodyDiv w:val="1"/>
      <w:marLeft w:val="0"/>
      <w:marRight w:val="0"/>
      <w:marTop w:val="0"/>
      <w:marBottom w:val="0"/>
      <w:divBdr>
        <w:top w:val="none" w:sz="0" w:space="0" w:color="auto"/>
        <w:left w:val="none" w:sz="0" w:space="0" w:color="auto"/>
        <w:bottom w:val="none" w:sz="0" w:space="0" w:color="auto"/>
        <w:right w:val="none" w:sz="0" w:space="0" w:color="auto"/>
      </w:divBdr>
      <w:divsChild>
        <w:div w:id="30570032">
          <w:marLeft w:val="0"/>
          <w:marRight w:val="0"/>
          <w:marTop w:val="0"/>
          <w:marBottom w:val="0"/>
          <w:divBdr>
            <w:top w:val="none" w:sz="0" w:space="0" w:color="auto"/>
            <w:left w:val="none" w:sz="0" w:space="0" w:color="auto"/>
            <w:bottom w:val="none" w:sz="0" w:space="0" w:color="auto"/>
            <w:right w:val="none" w:sz="0" w:space="0" w:color="auto"/>
          </w:divBdr>
          <w:divsChild>
            <w:div w:id="380058455">
              <w:marLeft w:val="0"/>
              <w:marRight w:val="0"/>
              <w:marTop w:val="0"/>
              <w:marBottom w:val="0"/>
              <w:divBdr>
                <w:top w:val="none" w:sz="0" w:space="0" w:color="auto"/>
                <w:left w:val="none" w:sz="0" w:space="0" w:color="auto"/>
                <w:bottom w:val="none" w:sz="0" w:space="0" w:color="auto"/>
                <w:right w:val="none" w:sz="0" w:space="0" w:color="auto"/>
              </w:divBdr>
              <w:divsChild>
                <w:div w:id="14886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8814">
      <w:bodyDiv w:val="1"/>
      <w:marLeft w:val="0"/>
      <w:marRight w:val="0"/>
      <w:marTop w:val="0"/>
      <w:marBottom w:val="0"/>
      <w:divBdr>
        <w:top w:val="none" w:sz="0" w:space="0" w:color="auto"/>
        <w:left w:val="none" w:sz="0" w:space="0" w:color="auto"/>
        <w:bottom w:val="none" w:sz="0" w:space="0" w:color="auto"/>
        <w:right w:val="none" w:sz="0" w:space="0" w:color="auto"/>
      </w:divBdr>
      <w:divsChild>
        <w:div w:id="512693206">
          <w:marLeft w:val="0"/>
          <w:marRight w:val="0"/>
          <w:marTop w:val="0"/>
          <w:marBottom w:val="0"/>
          <w:divBdr>
            <w:top w:val="none" w:sz="0" w:space="0" w:color="auto"/>
            <w:left w:val="none" w:sz="0" w:space="0" w:color="auto"/>
            <w:bottom w:val="none" w:sz="0" w:space="0" w:color="auto"/>
            <w:right w:val="none" w:sz="0" w:space="0" w:color="auto"/>
          </w:divBdr>
          <w:divsChild>
            <w:div w:id="350448858">
              <w:marLeft w:val="0"/>
              <w:marRight w:val="0"/>
              <w:marTop w:val="0"/>
              <w:marBottom w:val="0"/>
              <w:divBdr>
                <w:top w:val="none" w:sz="0" w:space="0" w:color="auto"/>
                <w:left w:val="none" w:sz="0" w:space="0" w:color="auto"/>
                <w:bottom w:val="none" w:sz="0" w:space="0" w:color="auto"/>
                <w:right w:val="none" w:sz="0" w:space="0" w:color="auto"/>
              </w:divBdr>
              <w:divsChild>
                <w:div w:id="1437944104">
                  <w:marLeft w:val="0"/>
                  <w:marRight w:val="0"/>
                  <w:marTop w:val="0"/>
                  <w:marBottom w:val="0"/>
                  <w:divBdr>
                    <w:top w:val="none" w:sz="0" w:space="0" w:color="auto"/>
                    <w:left w:val="none" w:sz="0" w:space="0" w:color="auto"/>
                    <w:bottom w:val="none" w:sz="0" w:space="0" w:color="auto"/>
                    <w:right w:val="none" w:sz="0" w:space="0" w:color="auto"/>
                  </w:divBdr>
                </w:div>
              </w:divsChild>
            </w:div>
            <w:div w:id="963266410">
              <w:marLeft w:val="0"/>
              <w:marRight w:val="0"/>
              <w:marTop w:val="0"/>
              <w:marBottom w:val="0"/>
              <w:divBdr>
                <w:top w:val="none" w:sz="0" w:space="0" w:color="auto"/>
                <w:left w:val="none" w:sz="0" w:space="0" w:color="auto"/>
                <w:bottom w:val="none" w:sz="0" w:space="0" w:color="auto"/>
                <w:right w:val="none" w:sz="0" w:space="0" w:color="auto"/>
              </w:divBdr>
              <w:divsChild>
                <w:div w:id="17890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6788">
          <w:marLeft w:val="0"/>
          <w:marRight w:val="0"/>
          <w:marTop w:val="0"/>
          <w:marBottom w:val="0"/>
          <w:divBdr>
            <w:top w:val="none" w:sz="0" w:space="0" w:color="auto"/>
            <w:left w:val="none" w:sz="0" w:space="0" w:color="auto"/>
            <w:bottom w:val="none" w:sz="0" w:space="0" w:color="auto"/>
            <w:right w:val="none" w:sz="0" w:space="0" w:color="auto"/>
          </w:divBdr>
          <w:divsChild>
            <w:div w:id="1540976274">
              <w:marLeft w:val="0"/>
              <w:marRight w:val="0"/>
              <w:marTop w:val="0"/>
              <w:marBottom w:val="0"/>
              <w:divBdr>
                <w:top w:val="none" w:sz="0" w:space="0" w:color="auto"/>
                <w:left w:val="none" w:sz="0" w:space="0" w:color="auto"/>
                <w:bottom w:val="none" w:sz="0" w:space="0" w:color="auto"/>
                <w:right w:val="none" w:sz="0" w:space="0" w:color="auto"/>
              </w:divBdr>
              <w:divsChild>
                <w:div w:id="20396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0886">
      <w:bodyDiv w:val="1"/>
      <w:marLeft w:val="0"/>
      <w:marRight w:val="0"/>
      <w:marTop w:val="0"/>
      <w:marBottom w:val="0"/>
      <w:divBdr>
        <w:top w:val="none" w:sz="0" w:space="0" w:color="auto"/>
        <w:left w:val="none" w:sz="0" w:space="0" w:color="auto"/>
        <w:bottom w:val="none" w:sz="0" w:space="0" w:color="auto"/>
        <w:right w:val="none" w:sz="0" w:space="0" w:color="auto"/>
      </w:divBdr>
      <w:divsChild>
        <w:div w:id="1260456011">
          <w:marLeft w:val="0"/>
          <w:marRight w:val="0"/>
          <w:marTop w:val="0"/>
          <w:marBottom w:val="0"/>
          <w:divBdr>
            <w:top w:val="none" w:sz="0" w:space="0" w:color="auto"/>
            <w:left w:val="none" w:sz="0" w:space="0" w:color="auto"/>
            <w:bottom w:val="none" w:sz="0" w:space="0" w:color="auto"/>
            <w:right w:val="none" w:sz="0" w:space="0" w:color="auto"/>
          </w:divBdr>
          <w:divsChild>
            <w:div w:id="1799184282">
              <w:marLeft w:val="0"/>
              <w:marRight w:val="0"/>
              <w:marTop w:val="0"/>
              <w:marBottom w:val="0"/>
              <w:divBdr>
                <w:top w:val="none" w:sz="0" w:space="0" w:color="auto"/>
                <w:left w:val="none" w:sz="0" w:space="0" w:color="auto"/>
                <w:bottom w:val="none" w:sz="0" w:space="0" w:color="auto"/>
                <w:right w:val="none" w:sz="0" w:space="0" w:color="auto"/>
              </w:divBdr>
              <w:divsChild>
                <w:div w:id="9297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0019">
      <w:bodyDiv w:val="1"/>
      <w:marLeft w:val="0"/>
      <w:marRight w:val="0"/>
      <w:marTop w:val="0"/>
      <w:marBottom w:val="0"/>
      <w:divBdr>
        <w:top w:val="none" w:sz="0" w:space="0" w:color="auto"/>
        <w:left w:val="none" w:sz="0" w:space="0" w:color="auto"/>
        <w:bottom w:val="none" w:sz="0" w:space="0" w:color="auto"/>
        <w:right w:val="none" w:sz="0" w:space="0" w:color="auto"/>
      </w:divBdr>
      <w:divsChild>
        <w:div w:id="1869172916">
          <w:marLeft w:val="0"/>
          <w:marRight w:val="0"/>
          <w:marTop w:val="0"/>
          <w:marBottom w:val="0"/>
          <w:divBdr>
            <w:top w:val="none" w:sz="0" w:space="0" w:color="auto"/>
            <w:left w:val="none" w:sz="0" w:space="0" w:color="auto"/>
            <w:bottom w:val="none" w:sz="0" w:space="0" w:color="auto"/>
            <w:right w:val="none" w:sz="0" w:space="0" w:color="auto"/>
          </w:divBdr>
          <w:divsChild>
            <w:div w:id="1146893585">
              <w:marLeft w:val="0"/>
              <w:marRight w:val="0"/>
              <w:marTop w:val="0"/>
              <w:marBottom w:val="0"/>
              <w:divBdr>
                <w:top w:val="none" w:sz="0" w:space="0" w:color="auto"/>
                <w:left w:val="none" w:sz="0" w:space="0" w:color="auto"/>
                <w:bottom w:val="none" w:sz="0" w:space="0" w:color="auto"/>
                <w:right w:val="none" w:sz="0" w:space="0" w:color="auto"/>
              </w:divBdr>
              <w:divsChild>
                <w:div w:id="8192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0579">
      <w:bodyDiv w:val="1"/>
      <w:marLeft w:val="0"/>
      <w:marRight w:val="0"/>
      <w:marTop w:val="0"/>
      <w:marBottom w:val="0"/>
      <w:divBdr>
        <w:top w:val="none" w:sz="0" w:space="0" w:color="auto"/>
        <w:left w:val="none" w:sz="0" w:space="0" w:color="auto"/>
        <w:bottom w:val="none" w:sz="0" w:space="0" w:color="auto"/>
        <w:right w:val="none" w:sz="0" w:space="0" w:color="auto"/>
      </w:divBdr>
      <w:divsChild>
        <w:div w:id="1520240108">
          <w:marLeft w:val="0"/>
          <w:marRight w:val="0"/>
          <w:marTop w:val="0"/>
          <w:marBottom w:val="0"/>
          <w:divBdr>
            <w:top w:val="none" w:sz="0" w:space="0" w:color="auto"/>
            <w:left w:val="none" w:sz="0" w:space="0" w:color="auto"/>
            <w:bottom w:val="none" w:sz="0" w:space="0" w:color="auto"/>
            <w:right w:val="none" w:sz="0" w:space="0" w:color="auto"/>
          </w:divBdr>
          <w:divsChild>
            <w:div w:id="1842968303">
              <w:marLeft w:val="0"/>
              <w:marRight w:val="0"/>
              <w:marTop w:val="0"/>
              <w:marBottom w:val="0"/>
              <w:divBdr>
                <w:top w:val="none" w:sz="0" w:space="0" w:color="auto"/>
                <w:left w:val="none" w:sz="0" w:space="0" w:color="auto"/>
                <w:bottom w:val="none" w:sz="0" w:space="0" w:color="auto"/>
                <w:right w:val="none" w:sz="0" w:space="0" w:color="auto"/>
              </w:divBdr>
              <w:divsChild>
                <w:div w:id="917061666">
                  <w:marLeft w:val="0"/>
                  <w:marRight w:val="0"/>
                  <w:marTop w:val="0"/>
                  <w:marBottom w:val="0"/>
                  <w:divBdr>
                    <w:top w:val="none" w:sz="0" w:space="0" w:color="auto"/>
                    <w:left w:val="none" w:sz="0" w:space="0" w:color="auto"/>
                    <w:bottom w:val="none" w:sz="0" w:space="0" w:color="auto"/>
                    <w:right w:val="none" w:sz="0" w:space="0" w:color="auto"/>
                  </w:divBdr>
                  <w:divsChild>
                    <w:div w:id="530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534596">
      <w:bodyDiv w:val="1"/>
      <w:marLeft w:val="0"/>
      <w:marRight w:val="0"/>
      <w:marTop w:val="0"/>
      <w:marBottom w:val="0"/>
      <w:divBdr>
        <w:top w:val="none" w:sz="0" w:space="0" w:color="auto"/>
        <w:left w:val="none" w:sz="0" w:space="0" w:color="auto"/>
        <w:bottom w:val="none" w:sz="0" w:space="0" w:color="auto"/>
        <w:right w:val="none" w:sz="0" w:space="0" w:color="auto"/>
      </w:divBdr>
    </w:div>
    <w:div w:id="925193561">
      <w:bodyDiv w:val="1"/>
      <w:marLeft w:val="0"/>
      <w:marRight w:val="0"/>
      <w:marTop w:val="0"/>
      <w:marBottom w:val="0"/>
      <w:divBdr>
        <w:top w:val="none" w:sz="0" w:space="0" w:color="auto"/>
        <w:left w:val="none" w:sz="0" w:space="0" w:color="auto"/>
        <w:bottom w:val="none" w:sz="0" w:space="0" w:color="auto"/>
        <w:right w:val="none" w:sz="0" w:space="0" w:color="auto"/>
      </w:divBdr>
      <w:divsChild>
        <w:div w:id="1366711854">
          <w:marLeft w:val="0"/>
          <w:marRight w:val="0"/>
          <w:marTop w:val="0"/>
          <w:marBottom w:val="0"/>
          <w:divBdr>
            <w:top w:val="none" w:sz="0" w:space="0" w:color="auto"/>
            <w:left w:val="none" w:sz="0" w:space="0" w:color="auto"/>
            <w:bottom w:val="none" w:sz="0" w:space="0" w:color="auto"/>
            <w:right w:val="none" w:sz="0" w:space="0" w:color="auto"/>
          </w:divBdr>
          <w:divsChild>
            <w:div w:id="981739571">
              <w:marLeft w:val="0"/>
              <w:marRight w:val="0"/>
              <w:marTop w:val="0"/>
              <w:marBottom w:val="0"/>
              <w:divBdr>
                <w:top w:val="none" w:sz="0" w:space="0" w:color="auto"/>
                <w:left w:val="none" w:sz="0" w:space="0" w:color="auto"/>
                <w:bottom w:val="none" w:sz="0" w:space="0" w:color="auto"/>
                <w:right w:val="none" w:sz="0" w:space="0" w:color="auto"/>
              </w:divBdr>
              <w:divsChild>
                <w:div w:id="7361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4841">
      <w:bodyDiv w:val="1"/>
      <w:marLeft w:val="0"/>
      <w:marRight w:val="0"/>
      <w:marTop w:val="0"/>
      <w:marBottom w:val="0"/>
      <w:divBdr>
        <w:top w:val="none" w:sz="0" w:space="0" w:color="auto"/>
        <w:left w:val="none" w:sz="0" w:space="0" w:color="auto"/>
        <w:bottom w:val="none" w:sz="0" w:space="0" w:color="auto"/>
        <w:right w:val="none" w:sz="0" w:space="0" w:color="auto"/>
      </w:divBdr>
      <w:divsChild>
        <w:div w:id="1812671139">
          <w:marLeft w:val="0"/>
          <w:marRight w:val="0"/>
          <w:marTop w:val="0"/>
          <w:marBottom w:val="0"/>
          <w:divBdr>
            <w:top w:val="none" w:sz="0" w:space="0" w:color="auto"/>
            <w:left w:val="none" w:sz="0" w:space="0" w:color="auto"/>
            <w:bottom w:val="none" w:sz="0" w:space="0" w:color="auto"/>
            <w:right w:val="none" w:sz="0" w:space="0" w:color="auto"/>
          </w:divBdr>
          <w:divsChild>
            <w:div w:id="1644655173">
              <w:marLeft w:val="0"/>
              <w:marRight w:val="0"/>
              <w:marTop w:val="0"/>
              <w:marBottom w:val="0"/>
              <w:divBdr>
                <w:top w:val="none" w:sz="0" w:space="0" w:color="auto"/>
                <w:left w:val="none" w:sz="0" w:space="0" w:color="auto"/>
                <w:bottom w:val="none" w:sz="0" w:space="0" w:color="auto"/>
                <w:right w:val="none" w:sz="0" w:space="0" w:color="auto"/>
              </w:divBdr>
              <w:divsChild>
                <w:div w:id="16575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6544">
      <w:bodyDiv w:val="1"/>
      <w:marLeft w:val="0"/>
      <w:marRight w:val="0"/>
      <w:marTop w:val="0"/>
      <w:marBottom w:val="0"/>
      <w:divBdr>
        <w:top w:val="none" w:sz="0" w:space="0" w:color="auto"/>
        <w:left w:val="none" w:sz="0" w:space="0" w:color="auto"/>
        <w:bottom w:val="none" w:sz="0" w:space="0" w:color="auto"/>
        <w:right w:val="none" w:sz="0" w:space="0" w:color="auto"/>
      </w:divBdr>
      <w:divsChild>
        <w:div w:id="993216558">
          <w:marLeft w:val="0"/>
          <w:marRight w:val="0"/>
          <w:marTop w:val="0"/>
          <w:marBottom w:val="0"/>
          <w:divBdr>
            <w:top w:val="none" w:sz="0" w:space="0" w:color="auto"/>
            <w:left w:val="none" w:sz="0" w:space="0" w:color="auto"/>
            <w:bottom w:val="none" w:sz="0" w:space="0" w:color="auto"/>
            <w:right w:val="none" w:sz="0" w:space="0" w:color="auto"/>
          </w:divBdr>
          <w:divsChild>
            <w:div w:id="1661349509">
              <w:marLeft w:val="0"/>
              <w:marRight w:val="0"/>
              <w:marTop w:val="0"/>
              <w:marBottom w:val="0"/>
              <w:divBdr>
                <w:top w:val="none" w:sz="0" w:space="0" w:color="auto"/>
                <w:left w:val="none" w:sz="0" w:space="0" w:color="auto"/>
                <w:bottom w:val="none" w:sz="0" w:space="0" w:color="auto"/>
                <w:right w:val="none" w:sz="0" w:space="0" w:color="auto"/>
              </w:divBdr>
              <w:divsChild>
                <w:div w:id="3447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8447">
      <w:bodyDiv w:val="1"/>
      <w:marLeft w:val="0"/>
      <w:marRight w:val="0"/>
      <w:marTop w:val="0"/>
      <w:marBottom w:val="0"/>
      <w:divBdr>
        <w:top w:val="none" w:sz="0" w:space="0" w:color="auto"/>
        <w:left w:val="none" w:sz="0" w:space="0" w:color="auto"/>
        <w:bottom w:val="none" w:sz="0" w:space="0" w:color="auto"/>
        <w:right w:val="none" w:sz="0" w:space="0" w:color="auto"/>
      </w:divBdr>
      <w:divsChild>
        <w:div w:id="524907149">
          <w:marLeft w:val="0"/>
          <w:marRight w:val="0"/>
          <w:marTop w:val="0"/>
          <w:marBottom w:val="0"/>
          <w:divBdr>
            <w:top w:val="none" w:sz="0" w:space="0" w:color="auto"/>
            <w:left w:val="none" w:sz="0" w:space="0" w:color="auto"/>
            <w:bottom w:val="none" w:sz="0" w:space="0" w:color="auto"/>
            <w:right w:val="none" w:sz="0" w:space="0" w:color="auto"/>
          </w:divBdr>
          <w:divsChild>
            <w:div w:id="1948731364">
              <w:marLeft w:val="0"/>
              <w:marRight w:val="0"/>
              <w:marTop w:val="0"/>
              <w:marBottom w:val="0"/>
              <w:divBdr>
                <w:top w:val="none" w:sz="0" w:space="0" w:color="auto"/>
                <w:left w:val="none" w:sz="0" w:space="0" w:color="auto"/>
                <w:bottom w:val="none" w:sz="0" w:space="0" w:color="auto"/>
                <w:right w:val="none" w:sz="0" w:space="0" w:color="auto"/>
              </w:divBdr>
              <w:divsChild>
                <w:div w:id="2455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2205">
      <w:bodyDiv w:val="1"/>
      <w:marLeft w:val="0"/>
      <w:marRight w:val="0"/>
      <w:marTop w:val="0"/>
      <w:marBottom w:val="0"/>
      <w:divBdr>
        <w:top w:val="none" w:sz="0" w:space="0" w:color="auto"/>
        <w:left w:val="none" w:sz="0" w:space="0" w:color="auto"/>
        <w:bottom w:val="none" w:sz="0" w:space="0" w:color="auto"/>
        <w:right w:val="none" w:sz="0" w:space="0" w:color="auto"/>
      </w:divBdr>
    </w:div>
    <w:div w:id="1051879528">
      <w:bodyDiv w:val="1"/>
      <w:marLeft w:val="0"/>
      <w:marRight w:val="0"/>
      <w:marTop w:val="0"/>
      <w:marBottom w:val="0"/>
      <w:divBdr>
        <w:top w:val="none" w:sz="0" w:space="0" w:color="auto"/>
        <w:left w:val="none" w:sz="0" w:space="0" w:color="auto"/>
        <w:bottom w:val="none" w:sz="0" w:space="0" w:color="auto"/>
        <w:right w:val="none" w:sz="0" w:space="0" w:color="auto"/>
      </w:divBdr>
      <w:divsChild>
        <w:div w:id="555704051">
          <w:marLeft w:val="0"/>
          <w:marRight w:val="0"/>
          <w:marTop w:val="0"/>
          <w:marBottom w:val="0"/>
          <w:divBdr>
            <w:top w:val="none" w:sz="0" w:space="0" w:color="auto"/>
            <w:left w:val="none" w:sz="0" w:space="0" w:color="auto"/>
            <w:bottom w:val="none" w:sz="0" w:space="0" w:color="auto"/>
            <w:right w:val="none" w:sz="0" w:space="0" w:color="auto"/>
          </w:divBdr>
        </w:div>
        <w:div w:id="801189654">
          <w:marLeft w:val="0"/>
          <w:marRight w:val="0"/>
          <w:marTop w:val="0"/>
          <w:marBottom w:val="0"/>
          <w:divBdr>
            <w:top w:val="none" w:sz="0" w:space="0" w:color="auto"/>
            <w:left w:val="none" w:sz="0" w:space="0" w:color="auto"/>
            <w:bottom w:val="none" w:sz="0" w:space="0" w:color="auto"/>
            <w:right w:val="none" w:sz="0" w:space="0" w:color="auto"/>
          </w:divBdr>
        </w:div>
        <w:div w:id="1328095826">
          <w:marLeft w:val="0"/>
          <w:marRight w:val="0"/>
          <w:marTop w:val="0"/>
          <w:marBottom w:val="0"/>
          <w:divBdr>
            <w:top w:val="none" w:sz="0" w:space="0" w:color="auto"/>
            <w:left w:val="none" w:sz="0" w:space="0" w:color="auto"/>
            <w:bottom w:val="none" w:sz="0" w:space="0" w:color="auto"/>
            <w:right w:val="none" w:sz="0" w:space="0" w:color="auto"/>
          </w:divBdr>
        </w:div>
        <w:div w:id="1525366295">
          <w:marLeft w:val="0"/>
          <w:marRight w:val="0"/>
          <w:marTop w:val="0"/>
          <w:marBottom w:val="0"/>
          <w:divBdr>
            <w:top w:val="none" w:sz="0" w:space="0" w:color="auto"/>
            <w:left w:val="none" w:sz="0" w:space="0" w:color="auto"/>
            <w:bottom w:val="none" w:sz="0" w:space="0" w:color="auto"/>
            <w:right w:val="none" w:sz="0" w:space="0" w:color="auto"/>
          </w:divBdr>
        </w:div>
        <w:div w:id="1598176032">
          <w:marLeft w:val="0"/>
          <w:marRight w:val="0"/>
          <w:marTop w:val="0"/>
          <w:marBottom w:val="0"/>
          <w:divBdr>
            <w:top w:val="none" w:sz="0" w:space="0" w:color="auto"/>
            <w:left w:val="none" w:sz="0" w:space="0" w:color="auto"/>
            <w:bottom w:val="none" w:sz="0" w:space="0" w:color="auto"/>
            <w:right w:val="none" w:sz="0" w:space="0" w:color="auto"/>
          </w:divBdr>
        </w:div>
        <w:div w:id="1765149842">
          <w:marLeft w:val="0"/>
          <w:marRight w:val="0"/>
          <w:marTop w:val="0"/>
          <w:marBottom w:val="0"/>
          <w:divBdr>
            <w:top w:val="none" w:sz="0" w:space="0" w:color="auto"/>
            <w:left w:val="none" w:sz="0" w:space="0" w:color="auto"/>
            <w:bottom w:val="none" w:sz="0" w:space="0" w:color="auto"/>
            <w:right w:val="none" w:sz="0" w:space="0" w:color="auto"/>
          </w:divBdr>
        </w:div>
        <w:div w:id="1864398095">
          <w:marLeft w:val="0"/>
          <w:marRight w:val="0"/>
          <w:marTop w:val="0"/>
          <w:marBottom w:val="0"/>
          <w:divBdr>
            <w:top w:val="none" w:sz="0" w:space="0" w:color="auto"/>
            <w:left w:val="none" w:sz="0" w:space="0" w:color="auto"/>
            <w:bottom w:val="none" w:sz="0" w:space="0" w:color="auto"/>
            <w:right w:val="none" w:sz="0" w:space="0" w:color="auto"/>
          </w:divBdr>
        </w:div>
      </w:divsChild>
    </w:div>
    <w:div w:id="1073166048">
      <w:bodyDiv w:val="1"/>
      <w:marLeft w:val="0"/>
      <w:marRight w:val="0"/>
      <w:marTop w:val="0"/>
      <w:marBottom w:val="0"/>
      <w:divBdr>
        <w:top w:val="none" w:sz="0" w:space="0" w:color="auto"/>
        <w:left w:val="none" w:sz="0" w:space="0" w:color="auto"/>
        <w:bottom w:val="none" w:sz="0" w:space="0" w:color="auto"/>
        <w:right w:val="none" w:sz="0" w:space="0" w:color="auto"/>
      </w:divBdr>
      <w:divsChild>
        <w:div w:id="344597445">
          <w:marLeft w:val="0"/>
          <w:marRight w:val="0"/>
          <w:marTop w:val="0"/>
          <w:marBottom w:val="0"/>
          <w:divBdr>
            <w:top w:val="none" w:sz="0" w:space="0" w:color="auto"/>
            <w:left w:val="none" w:sz="0" w:space="0" w:color="auto"/>
            <w:bottom w:val="none" w:sz="0" w:space="0" w:color="auto"/>
            <w:right w:val="none" w:sz="0" w:space="0" w:color="auto"/>
          </w:divBdr>
        </w:div>
        <w:div w:id="1558738997">
          <w:marLeft w:val="0"/>
          <w:marRight w:val="0"/>
          <w:marTop w:val="0"/>
          <w:marBottom w:val="0"/>
          <w:divBdr>
            <w:top w:val="none" w:sz="0" w:space="0" w:color="auto"/>
            <w:left w:val="none" w:sz="0" w:space="0" w:color="auto"/>
            <w:bottom w:val="none" w:sz="0" w:space="0" w:color="auto"/>
            <w:right w:val="none" w:sz="0" w:space="0" w:color="auto"/>
          </w:divBdr>
        </w:div>
        <w:div w:id="1807971250">
          <w:marLeft w:val="0"/>
          <w:marRight w:val="0"/>
          <w:marTop w:val="0"/>
          <w:marBottom w:val="0"/>
          <w:divBdr>
            <w:top w:val="none" w:sz="0" w:space="0" w:color="auto"/>
            <w:left w:val="none" w:sz="0" w:space="0" w:color="auto"/>
            <w:bottom w:val="none" w:sz="0" w:space="0" w:color="auto"/>
            <w:right w:val="none" w:sz="0" w:space="0" w:color="auto"/>
          </w:divBdr>
        </w:div>
      </w:divsChild>
    </w:div>
    <w:div w:id="1132750536">
      <w:bodyDiv w:val="1"/>
      <w:marLeft w:val="0"/>
      <w:marRight w:val="0"/>
      <w:marTop w:val="0"/>
      <w:marBottom w:val="0"/>
      <w:divBdr>
        <w:top w:val="none" w:sz="0" w:space="0" w:color="auto"/>
        <w:left w:val="none" w:sz="0" w:space="0" w:color="auto"/>
        <w:bottom w:val="none" w:sz="0" w:space="0" w:color="auto"/>
        <w:right w:val="none" w:sz="0" w:space="0" w:color="auto"/>
      </w:divBdr>
      <w:divsChild>
        <w:div w:id="20980984">
          <w:marLeft w:val="0"/>
          <w:marRight w:val="0"/>
          <w:marTop w:val="0"/>
          <w:marBottom w:val="0"/>
          <w:divBdr>
            <w:top w:val="none" w:sz="0" w:space="0" w:color="auto"/>
            <w:left w:val="none" w:sz="0" w:space="0" w:color="auto"/>
            <w:bottom w:val="none" w:sz="0" w:space="0" w:color="auto"/>
            <w:right w:val="none" w:sz="0" w:space="0" w:color="auto"/>
          </w:divBdr>
        </w:div>
        <w:div w:id="44303659">
          <w:marLeft w:val="0"/>
          <w:marRight w:val="0"/>
          <w:marTop w:val="0"/>
          <w:marBottom w:val="0"/>
          <w:divBdr>
            <w:top w:val="none" w:sz="0" w:space="0" w:color="auto"/>
            <w:left w:val="none" w:sz="0" w:space="0" w:color="auto"/>
            <w:bottom w:val="none" w:sz="0" w:space="0" w:color="auto"/>
            <w:right w:val="none" w:sz="0" w:space="0" w:color="auto"/>
          </w:divBdr>
        </w:div>
        <w:div w:id="100299441">
          <w:marLeft w:val="0"/>
          <w:marRight w:val="0"/>
          <w:marTop w:val="0"/>
          <w:marBottom w:val="0"/>
          <w:divBdr>
            <w:top w:val="none" w:sz="0" w:space="0" w:color="auto"/>
            <w:left w:val="none" w:sz="0" w:space="0" w:color="auto"/>
            <w:bottom w:val="none" w:sz="0" w:space="0" w:color="auto"/>
            <w:right w:val="none" w:sz="0" w:space="0" w:color="auto"/>
          </w:divBdr>
        </w:div>
        <w:div w:id="104424334">
          <w:marLeft w:val="0"/>
          <w:marRight w:val="0"/>
          <w:marTop w:val="0"/>
          <w:marBottom w:val="0"/>
          <w:divBdr>
            <w:top w:val="none" w:sz="0" w:space="0" w:color="auto"/>
            <w:left w:val="none" w:sz="0" w:space="0" w:color="auto"/>
            <w:bottom w:val="none" w:sz="0" w:space="0" w:color="auto"/>
            <w:right w:val="none" w:sz="0" w:space="0" w:color="auto"/>
          </w:divBdr>
        </w:div>
        <w:div w:id="112985479">
          <w:marLeft w:val="0"/>
          <w:marRight w:val="0"/>
          <w:marTop w:val="0"/>
          <w:marBottom w:val="0"/>
          <w:divBdr>
            <w:top w:val="none" w:sz="0" w:space="0" w:color="auto"/>
            <w:left w:val="none" w:sz="0" w:space="0" w:color="auto"/>
            <w:bottom w:val="none" w:sz="0" w:space="0" w:color="auto"/>
            <w:right w:val="none" w:sz="0" w:space="0" w:color="auto"/>
          </w:divBdr>
        </w:div>
        <w:div w:id="129635399">
          <w:marLeft w:val="0"/>
          <w:marRight w:val="0"/>
          <w:marTop w:val="0"/>
          <w:marBottom w:val="0"/>
          <w:divBdr>
            <w:top w:val="none" w:sz="0" w:space="0" w:color="auto"/>
            <w:left w:val="none" w:sz="0" w:space="0" w:color="auto"/>
            <w:bottom w:val="none" w:sz="0" w:space="0" w:color="auto"/>
            <w:right w:val="none" w:sz="0" w:space="0" w:color="auto"/>
          </w:divBdr>
        </w:div>
        <w:div w:id="174660253">
          <w:marLeft w:val="0"/>
          <w:marRight w:val="0"/>
          <w:marTop w:val="0"/>
          <w:marBottom w:val="0"/>
          <w:divBdr>
            <w:top w:val="none" w:sz="0" w:space="0" w:color="auto"/>
            <w:left w:val="none" w:sz="0" w:space="0" w:color="auto"/>
            <w:bottom w:val="none" w:sz="0" w:space="0" w:color="auto"/>
            <w:right w:val="none" w:sz="0" w:space="0" w:color="auto"/>
          </w:divBdr>
        </w:div>
        <w:div w:id="281350950">
          <w:marLeft w:val="0"/>
          <w:marRight w:val="0"/>
          <w:marTop w:val="0"/>
          <w:marBottom w:val="0"/>
          <w:divBdr>
            <w:top w:val="none" w:sz="0" w:space="0" w:color="auto"/>
            <w:left w:val="none" w:sz="0" w:space="0" w:color="auto"/>
            <w:bottom w:val="none" w:sz="0" w:space="0" w:color="auto"/>
            <w:right w:val="none" w:sz="0" w:space="0" w:color="auto"/>
          </w:divBdr>
        </w:div>
        <w:div w:id="287779549">
          <w:marLeft w:val="0"/>
          <w:marRight w:val="0"/>
          <w:marTop w:val="0"/>
          <w:marBottom w:val="0"/>
          <w:divBdr>
            <w:top w:val="none" w:sz="0" w:space="0" w:color="auto"/>
            <w:left w:val="none" w:sz="0" w:space="0" w:color="auto"/>
            <w:bottom w:val="none" w:sz="0" w:space="0" w:color="auto"/>
            <w:right w:val="none" w:sz="0" w:space="0" w:color="auto"/>
          </w:divBdr>
        </w:div>
        <w:div w:id="316691196">
          <w:marLeft w:val="0"/>
          <w:marRight w:val="0"/>
          <w:marTop w:val="0"/>
          <w:marBottom w:val="0"/>
          <w:divBdr>
            <w:top w:val="none" w:sz="0" w:space="0" w:color="auto"/>
            <w:left w:val="none" w:sz="0" w:space="0" w:color="auto"/>
            <w:bottom w:val="none" w:sz="0" w:space="0" w:color="auto"/>
            <w:right w:val="none" w:sz="0" w:space="0" w:color="auto"/>
          </w:divBdr>
        </w:div>
        <w:div w:id="321398236">
          <w:marLeft w:val="0"/>
          <w:marRight w:val="0"/>
          <w:marTop w:val="0"/>
          <w:marBottom w:val="0"/>
          <w:divBdr>
            <w:top w:val="none" w:sz="0" w:space="0" w:color="auto"/>
            <w:left w:val="none" w:sz="0" w:space="0" w:color="auto"/>
            <w:bottom w:val="none" w:sz="0" w:space="0" w:color="auto"/>
            <w:right w:val="none" w:sz="0" w:space="0" w:color="auto"/>
          </w:divBdr>
        </w:div>
        <w:div w:id="323627460">
          <w:marLeft w:val="0"/>
          <w:marRight w:val="0"/>
          <w:marTop w:val="0"/>
          <w:marBottom w:val="0"/>
          <w:divBdr>
            <w:top w:val="none" w:sz="0" w:space="0" w:color="auto"/>
            <w:left w:val="none" w:sz="0" w:space="0" w:color="auto"/>
            <w:bottom w:val="none" w:sz="0" w:space="0" w:color="auto"/>
            <w:right w:val="none" w:sz="0" w:space="0" w:color="auto"/>
          </w:divBdr>
        </w:div>
        <w:div w:id="365445021">
          <w:marLeft w:val="0"/>
          <w:marRight w:val="0"/>
          <w:marTop w:val="0"/>
          <w:marBottom w:val="0"/>
          <w:divBdr>
            <w:top w:val="none" w:sz="0" w:space="0" w:color="auto"/>
            <w:left w:val="none" w:sz="0" w:space="0" w:color="auto"/>
            <w:bottom w:val="none" w:sz="0" w:space="0" w:color="auto"/>
            <w:right w:val="none" w:sz="0" w:space="0" w:color="auto"/>
          </w:divBdr>
        </w:div>
        <w:div w:id="379861074">
          <w:marLeft w:val="0"/>
          <w:marRight w:val="0"/>
          <w:marTop w:val="0"/>
          <w:marBottom w:val="0"/>
          <w:divBdr>
            <w:top w:val="none" w:sz="0" w:space="0" w:color="auto"/>
            <w:left w:val="none" w:sz="0" w:space="0" w:color="auto"/>
            <w:bottom w:val="none" w:sz="0" w:space="0" w:color="auto"/>
            <w:right w:val="none" w:sz="0" w:space="0" w:color="auto"/>
          </w:divBdr>
        </w:div>
        <w:div w:id="397747354">
          <w:marLeft w:val="0"/>
          <w:marRight w:val="0"/>
          <w:marTop w:val="0"/>
          <w:marBottom w:val="0"/>
          <w:divBdr>
            <w:top w:val="none" w:sz="0" w:space="0" w:color="auto"/>
            <w:left w:val="none" w:sz="0" w:space="0" w:color="auto"/>
            <w:bottom w:val="none" w:sz="0" w:space="0" w:color="auto"/>
            <w:right w:val="none" w:sz="0" w:space="0" w:color="auto"/>
          </w:divBdr>
        </w:div>
        <w:div w:id="451099577">
          <w:marLeft w:val="0"/>
          <w:marRight w:val="0"/>
          <w:marTop w:val="0"/>
          <w:marBottom w:val="0"/>
          <w:divBdr>
            <w:top w:val="none" w:sz="0" w:space="0" w:color="auto"/>
            <w:left w:val="none" w:sz="0" w:space="0" w:color="auto"/>
            <w:bottom w:val="none" w:sz="0" w:space="0" w:color="auto"/>
            <w:right w:val="none" w:sz="0" w:space="0" w:color="auto"/>
          </w:divBdr>
        </w:div>
        <w:div w:id="456221117">
          <w:marLeft w:val="0"/>
          <w:marRight w:val="0"/>
          <w:marTop w:val="0"/>
          <w:marBottom w:val="0"/>
          <w:divBdr>
            <w:top w:val="none" w:sz="0" w:space="0" w:color="auto"/>
            <w:left w:val="none" w:sz="0" w:space="0" w:color="auto"/>
            <w:bottom w:val="none" w:sz="0" w:space="0" w:color="auto"/>
            <w:right w:val="none" w:sz="0" w:space="0" w:color="auto"/>
          </w:divBdr>
        </w:div>
        <w:div w:id="492992608">
          <w:marLeft w:val="0"/>
          <w:marRight w:val="0"/>
          <w:marTop w:val="0"/>
          <w:marBottom w:val="0"/>
          <w:divBdr>
            <w:top w:val="none" w:sz="0" w:space="0" w:color="auto"/>
            <w:left w:val="none" w:sz="0" w:space="0" w:color="auto"/>
            <w:bottom w:val="none" w:sz="0" w:space="0" w:color="auto"/>
            <w:right w:val="none" w:sz="0" w:space="0" w:color="auto"/>
          </w:divBdr>
        </w:div>
        <w:div w:id="517504701">
          <w:marLeft w:val="0"/>
          <w:marRight w:val="0"/>
          <w:marTop w:val="0"/>
          <w:marBottom w:val="0"/>
          <w:divBdr>
            <w:top w:val="none" w:sz="0" w:space="0" w:color="auto"/>
            <w:left w:val="none" w:sz="0" w:space="0" w:color="auto"/>
            <w:bottom w:val="none" w:sz="0" w:space="0" w:color="auto"/>
            <w:right w:val="none" w:sz="0" w:space="0" w:color="auto"/>
          </w:divBdr>
        </w:div>
        <w:div w:id="558173473">
          <w:marLeft w:val="0"/>
          <w:marRight w:val="0"/>
          <w:marTop w:val="0"/>
          <w:marBottom w:val="0"/>
          <w:divBdr>
            <w:top w:val="none" w:sz="0" w:space="0" w:color="auto"/>
            <w:left w:val="none" w:sz="0" w:space="0" w:color="auto"/>
            <w:bottom w:val="none" w:sz="0" w:space="0" w:color="auto"/>
            <w:right w:val="none" w:sz="0" w:space="0" w:color="auto"/>
          </w:divBdr>
        </w:div>
        <w:div w:id="586115622">
          <w:marLeft w:val="0"/>
          <w:marRight w:val="0"/>
          <w:marTop w:val="0"/>
          <w:marBottom w:val="0"/>
          <w:divBdr>
            <w:top w:val="none" w:sz="0" w:space="0" w:color="auto"/>
            <w:left w:val="none" w:sz="0" w:space="0" w:color="auto"/>
            <w:bottom w:val="none" w:sz="0" w:space="0" w:color="auto"/>
            <w:right w:val="none" w:sz="0" w:space="0" w:color="auto"/>
          </w:divBdr>
        </w:div>
        <w:div w:id="591864639">
          <w:marLeft w:val="0"/>
          <w:marRight w:val="0"/>
          <w:marTop w:val="0"/>
          <w:marBottom w:val="0"/>
          <w:divBdr>
            <w:top w:val="none" w:sz="0" w:space="0" w:color="auto"/>
            <w:left w:val="none" w:sz="0" w:space="0" w:color="auto"/>
            <w:bottom w:val="none" w:sz="0" w:space="0" w:color="auto"/>
            <w:right w:val="none" w:sz="0" w:space="0" w:color="auto"/>
          </w:divBdr>
        </w:div>
        <w:div w:id="610552634">
          <w:marLeft w:val="0"/>
          <w:marRight w:val="0"/>
          <w:marTop w:val="0"/>
          <w:marBottom w:val="0"/>
          <w:divBdr>
            <w:top w:val="none" w:sz="0" w:space="0" w:color="auto"/>
            <w:left w:val="none" w:sz="0" w:space="0" w:color="auto"/>
            <w:bottom w:val="none" w:sz="0" w:space="0" w:color="auto"/>
            <w:right w:val="none" w:sz="0" w:space="0" w:color="auto"/>
          </w:divBdr>
        </w:div>
        <w:div w:id="637301102">
          <w:marLeft w:val="0"/>
          <w:marRight w:val="0"/>
          <w:marTop w:val="0"/>
          <w:marBottom w:val="0"/>
          <w:divBdr>
            <w:top w:val="none" w:sz="0" w:space="0" w:color="auto"/>
            <w:left w:val="none" w:sz="0" w:space="0" w:color="auto"/>
            <w:bottom w:val="none" w:sz="0" w:space="0" w:color="auto"/>
            <w:right w:val="none" w:sz="0" w:space="0" w:color="auto"/>
          </w:divBdr>
        </w:div>
        <w:div w:id="653684073">
          <w:marLeft w:val="0"/>
          <w:marRight w:val="0"/>
          <w:marTop w:val="0"/>
          <w:marBottom w:val="0"/>
          <w:divBdr>
            <w:top w:val="none" w:sz="0" w:space="0" w:color="auto"/>
            <w:left w:val="none" w:sz="0" w:space="0" w:color="auto"/>
            <w:bottom w:val="none" w:sz="0" w:space="0" w:color="auto"/>
            <w:right w:val="none" w:sz="0" w:space="0" w:color="auto"/>
          </w:divBdr>
        </w:div>
        <w:div w:id="685326592">
          <w:marLeft w:val="0"/>
          <w:marRight w:val="0"/>
          <w:marTop w:val="0"/>
          <w:marBottom w:val="0"/>
          <w:divBdr>
            <w:top w:val="none" w:sz="0" w:space="0" w:color="auto"/>
            <w:left w:val="none" w:sz="0" w:space="0" w:color="auto"/>
            <w:bottom w:val="none" w:sz="0" w:space="0" w:color="auto"/>
            <w:right w:val="none" w:sz="0" w:space="0" w:color="auto"/>
          </w:divBdr>
        </w:div>
        <w:div w:id="726800484">
          <w:marLeft w:val="0"/>
          <w:marRight w:val="0"/>
          <w:marTop w:val="0"/>
          <w:marBottom w:val="0"/>
          <w:divBdr>
            <w:top w:val="none" w:sz="0" w:space="0" w:color="auto"/>
            <w:left w:val="none" w:sz="0" w:space="0" w:color="auto"/>
            <w:bottom w:val="none" w:sz="0" w:space="0" w:color="auto"/>
            <w:right w:val="none" w:sz="0" w:space="0" w:color="auto"/>
          </w:divBdr>
        </w:div>
        <w:div w:id="726955641">
          <w:marLeft w:val="0"/>
          <w:marRight w:val="0"/>
          <w:marTop w:val="0"/>
          <w:marBottom w:val="0"/>
          <w:divBdr>
            <w:top w:val="none" w:sz="0" w:space="0" w:color="auto"/>
            <w:left w:val="none" w:sz="0" w:space="0" w:color="auto"/>
            <w:bottom w:val="none" w:sz="0" w:space="0" w:color="auto"/>
            <w:right w:val="none" w:sz="0" w:space="0" w:color="auto"/>
          </w:divBdr>
        </w:div>
        <w:div w:id="741025113">
          <w:marLeft w:val="0"/>
          <w:marRight w:val="0"/>
          <w:marTop w:val="0"/>
          <w:marBottom w:val="0"/>
          <w:divBdr>
            <w:top w:val="none" w:sz="0" w:space="0" w:color="auto"/>
            <w:left w:val="none" w:sz="0" w:space="0" w:color="auto"/>
            <w:bottom w:val="none" w:sz="0" w:space="0" w:color="auto"/>
            <w:right w:val="none" w:sz="0" w:space="0" w:color="auto"/>
          </w:divBdr>
        </w:div>
        <w:div w:id="771172026">
          <w:marLeft w:val="0"/>
          <w:marRight w:val="0"/>
          <w:marTop w:val="0"/>
          <w:marBottom w:val="0"/>
          <w:divBdr>
            <w:top w:val="none" w:sz="0" w:space="0" w:color="auto"/>
            <w:left w:val="none" w:sz="0" w:space="0" w:color="auto"/>
            <w:bottom w:val="none" w:sz="0" w:space="0" w:color="auto"/>
            <w:right w:val="none" w:sz="0" w:space="0" w:color="auto"/>
          </w:divBdr>
        </w:div>
        <w:div w:id="796796192">
          <w:marLeft w:val="0"/>
          <w:marRight w:val="0"/>
          <w:marTop w:val="0"/>
          <w:marBottom w:val="0"/>
          <w:divBdr>
            <w:top w:val="none" w:sz="0" w:space="0" w:color="auto"/>
            <w:left w:val="none" w:sz="0" w:space="0" w:color="auto"/>
            <w:bottom w:val="none" w:sz="0" w:space="0" w:color="auto"/>
            <w:right w:val="none" w:sz="0" w:space="0" w:color="auto"/>
          </w:divBdr>
        </w:div>
        <w:div w:id="895628166">
          <w:marLeft w:val="0"/>
          <w:marRight w:val="0"/>
          <w:marTop w:val="0"/>
          <w:marBottom w:val="0"/>
          <w:divBdr>
            <w:top w:val="none" w:sz="0" w:space="0" w:color="auto"/>
            <w:left w:val="none" w:sz="0" w:space="0" w:color="auto"/>
            <w:bottom w:val="none" w:sz="0" w:space="0" w:color="auto"/>
            <w:right w:val="none" w:sz="0" w:space="0" w:color="auto"/>
          </w:divBdr>
        </w:div>
        <w:div w:id="897664993">
          <w:marLeft w:val="0"/>
          <w:marRight w:val="0"/>
          <w:marTop w:val="0"/>
          <w:marBottom w:val="0"/>
          <w:divBdr>
            <w:top w:val="none" w:sz="0" w:space="0" w:color="auto"/>
            <w:left w:val="none" w:sz="0" w:space="0" w:color="auto"/>
            <w:bottom w:val="none" w:sz="0" w:space="0" w:color="auto"/>
            <w:right w:val="none" w:sz="0" w:space="0" w:color="auto"/>
          </w:divBdr>
        </w:div>
        <w:div w:id="950285716">
          <w:marLeft w:val="0"/>
          <w:marRight w:val="0"/>
          <w:marTop w:val="0"/>
          <w:marBottom w:val="0"/>
          <w:divBdr>
            <w:top w:val="none" w:sz="0" w:space="0" w:color="auto"/>
            <w:left w:val="none" w:sz="0" w:space="0" w:color="auto"/>
            <w:bottom w:val="none" w:sz="0" w:space="0" w:color="auto"/>
            <w:right w:val="none" w:sz="0" w:space="0" w:color="auto"/>
          </w:divBdr>
        </w:div>
        <w:div w:id="978074976">
          <w:marLeft w:val="0"/>
          <w:marRight w:val="0"/>
          <w:marTop w:val="0"/>
          <w:marBottom w:val="0"/>
          <w:divBdr>
            <w:top w:val="none" w:sz="0" w:space="0" w:color="auto"/>
            <w:left w:val="none" w:sz="0" w:space="0" w:color="auto"/>
            <w:bottom w:val="none" w:sz="0" w:space="0" w:color="auto"/>
            <w:right w:val="none" w:sz="0" w:space="0" w:color="auto"/>
          </w:divBdr>
        </w:div>
        <w:div w:id="989283149">
          <w:marLeft w:val="0"/>
          <w:marRight w:val="0"/>
          <w:marTop w:val="0"/>
          <w:marBottom w:val="0"/>
          <w:divBdr>
            <w:top w:val="none" w:sz="0" w:space="0" w:color="auto"/>
            <w:left w:val="none" w:sz="0" w:space="0" w:color="auto"/>
            <w:bottom w:val="none" w:sz="0" w:space="0" w:color="auto"/>
            <w:right w:val="none" w:sz="0" w:space="0" w:color="auto"/>
          </w:divBdr>
        </w:div>
        <w:div w:id="1001466163">
          <w:marLeft w:val="0"/>
          <w:marRight w:val="0"/>
          <w:marTop w:val="0"/>
          <w:marBottom w:val="0"/>
          <w:divBdr>
            <w:top w:val="none" w:sz="0" w:space="0" w:color="auto"/>
            <w:left w:val="none" w:sz="0" w:space="0" w:color="auto"/>
            <w:bottom w:val="none" w:sz="0" w:space="0" w:color="auto"/>
            <w:right w:val="none" w:sz="0" w:space="0" w:color="auto"/>
          </w:divBdr>
        </w:div>
        <w:div w:id="1006395503">
          <w:marLeft w:val="0"/>
          <w:marRight w:val="0"/>
          <w:marTop w:val="0"/>
          <w:marBottom w:val="0"/>
          <w:divBdr>
            <w:top w:val="none" w:sz="0" w:space="0" w:color="auto"/>
            <w:left w:val="none" w:sz="0" w:space="0" w:color="auto"/>
            <w:bottom w:val="none" w:sz="0" w:space="0" w:color="auto"/>
            <w:right w:val="none" w:sz="0" w:space="0" w:color="auto"/>
          </w:divBdr>
        </w:div>
        <w:div w:id="1021779982">
          <w:marLeft w:val="0"/>
          <w:marRight w:val="0"/>
          <w:marTop w:val="0"/>
          <w:marBottom w:val="0"/>
          <w:divBdr>
            <w:top w:val="none" w:sz="0" w:space="0" w:color="auto"/>
            <w:left w:val="none" w:sz="0" w:space="0" w:color="auto"/>
            <w:bottom w:val="none" w:sz="0" w:space="0" w:color="auto"/>
            <w:right w:val="none" w:sz="0" w:space="0" w:color="auto"/>
          </w:divBdr>
        </w:div>
        <w:div w:id="1027565666">
          <w:marLeft w:val="0"/>
          <w:marRight w:val="0"/>
          <w:marTop w:val="0"/>
          <w:marBottom w:val="0"/>
          <w:divBdr>
            <w:top w:val="none" w:sz="0" w:space="0" w:color="auto"/>
            <w:left w:val="none" w:sz="0" w:space="0" w:color="auto"/>
            <w:bottom w:val="none" w:sz="0" w:space="0" w:color="auto"/>
            <w:right w:val="none" w:sz="0" w:space="0" w:color="auto"/>
          </w:divBdr>
        </w:div>
        <w:div w:id="1037969931">
          <w:marLeft w:val="0"/>
          <w:marRight w:val="0"/>
          <w:marTop w:val="0"/>
          <w:marBottom w:val="0"/>
          <w:divBdr>
            <w:top w:val="none" w:sz="0" w:space="0" w:color="auto"/>
            <w:left w:val="none" w:sz="0" w:space="0" w:color="auto"/>
            <w:bottom w:val="none" w:sz="0" w:space="0" w:color="auto"/>
            <w:right w:val="none" w:sz="0" w:space="0" w:color="auto"/>
          </w:divBdr>
        </w:div>
        <w:div w:id="1109004507">
          <w:marLeft w:val="0"/>
          <w:marRight w:val="0"/>
          <w:marTop w:val="0"/>
          <w:marBottom w:val="0"/>
          <w:divBdr>
            <w:top w:val="none" w:sz="0" w:space="0" w:color="auto"/>
            <w:left w:val="none" w:sz="0" w:space="0" w:color="auto"/>
            <w:bottom w:val="none" w:sz="0" w:space="0" w:color="auto"/>
            <w:right w:val="none" w:sz="0" w:space="0" w:color="auto"/>
          </w:divBdr>
        </w:div>
        <w:div w:id="1123885178">
          <w:marLeft w:val="0"/>
          <w:marRight w:val="0"/>
          <w:marTop w:val="0"/>
          <w:marBottom w:val="0"/>
          <w:divBdr>
            <w:top w:val="none" w:sz="0" w:space="0" w:color="auto"/>
            <w:left w:val="none" w:sz="0" w:space="0" w:color="auto"/>
            <w:bottom w:val="none" w:sz="0" w:space="0" w:color="auto"/>
            <w:right w:val="none" w:sz="0" w:space="0" w:color="auto"/>
          </w:divBdr>
        </w:div>
        <w:div w:id="1169758782">
          <w:marLeft w:val="0"/>
          <w:marRight w:val="0"/>
          <w:marTop w:val="0"/>
          <w:marBottom w:val="0"/>
          <w:divBdr>
            <w:top w:val="none" w:sz="0" w:space="0" w:color="auto"/>
            <w:left w:val="none" w:sz="0" w:space="0" w:color="auto"/>
            <w:bottom w:val="none" w:sz="0" w:space="0" w:color="auto"/>
            <w:right w:val="none" w:sz="0" w:space="0" w:color="auto"/>
          </w:divBdr>
        </w:div>
        <w:div w:id="1202746668">
          <w:marLeft w:val="0"/>
          <w:marRight w:val="0"/>
          <w:marTop w:val="0"/>
          <w:marBottom w:val="0"/>
          <w:divBdr>
            <w:top w:val="none" w:sz="0" w:space="0" w:color="auto"/>
            <w:left w:val="none" w:sz="0" w:space="0" w:color="auto"/>
            <w:bottom w:val="none" w:sz="0" w:space="0" w:color="auto"/>
            <w:right w:val="none" w:sz="0" w:space="0" w:color="auto"/>
          </w:divBdr>
        </w:div>
        <w:div w:id="1223634534">
          <w:marLeft w:val="0"/>
          <w:marRight w:val="0"/>
          <w:marTop w:val="0"/>
          <w:marBottom w:val="0"/>
          <w:divBdr>
            <w:top w:val="none" w:sz="0" w:space="0" w:color="auto"/>
            <w:left w:val="none" w:sz="0" w:space="0" w:color="auto"/>
            <w:bottom w:val="none" w:sz="0" w:space="0" w:color="auto"/>
            <w:right w:val="none" w:sz="0" w:space="0" w:color="auto"/>
          </w:divBdr>
        </w:div>
        <w:div w:id="1224754726">
          <w:marLeft w:val="0"/>
          <w:marRight w:val="0"/>
          <w:marTop w:val="0"/>
          <w:marBottom w:val="0"/>
          <w:divBdr>
            <w:top w:val="none" w:sz="0" w:space="0" w:color="auto"/>
            <w:left w:val="none" w:sz="0" w:space="0" w:color="auto"/>
            <w:bottom w:val="none" w:sz="0" w:space="0" w:color="auto"/>
            <w:right w:val="none" w:sz="0" w:space="0" w:color="auto"/>
          </w:divBdr>
        </w:div>
        <w:div w:id="1239511345">
          <w:marLeft w:val="0"/>
          <w:marRight w:val="0"/>
          <w:marTop w:val="0"/>
          <w:marBottom w:val="0"/>
          <w:divBdr>
            <w:top w:val="none" w:sz="0" w:space="0" w:color="auto"/>
            <w:left w:val="none" w:sz="0" w:space="0" w:color="auto"/>
            <w:bottom w:val="none" w:sz="0" w:space="0" w:color="auto"/>
            <w:right w:val="none" w:sz="0" w:space="0" w:color="auto"/>
          </w:divBdr>
        </w:div>
        <w:div w:id="1258447294">
          <w:marLeft w:val="0"/>
          <w:marRight w:val="0"/>
          <w:marTop w:val="0"/>
          <w:marBottom w:val="0"/>
          <w:divBdr>
            <w:top w:val="none" w:sz="0" w:space="0" w:color="auto"/>
            <w:left w:val="none" w:sz="0" w:space="0" w:color="auto"/>
            <w:bottom w:val="none" w:sz="0" w:space="0" w:color="auto"/>
            <w:right w:val="none" w:sz="0" w:space="0" w:color="auto"/>
          </w:divBdr>
        </w:div>
        <w:div w:id="1311253769">
          <w:marLeft w:val="0"/>
          <w:marRight w:val="0"/>
          <w:marTop w:val="0"/>
          <w:marBottom w:val="0"/>
          <w:divBdr>
            <w:top w:val="none" w:sz="0" w:space="0" w:color="auto"/>
            <w:left w:val="none" w:sz="0" w:space="0" w:color="auto"/>
            <w:bottom w:val="none" w:sz="0" w:space="0" w:color="auto"/>
            <w:right w:val="none" w:sz="0" w:space="0" w:color="auto"/>
          </w:divBdr>
        </w:div>
        <w:div w:id="1349990354">
          <w:marLeft w:val="0"/>
          <w:marRight w:val="0"/>
          <w:marTop w:val="0"/>
          <w:marBottom w:val="0"/>
          <w:divBdr>
            <w:top w:val="none" w:sz="0" w:space="0" w:color="auto"/>
            <w:left w:val="none" w:sz="0" w:space="0" w:color="auto"/>
            <w:bottom w:val="none" w:sz="0" w:space="0" w:color="auto"/>
            <w:right w:val="none" w:sz="0" w:space="0" w:color="auto"/>
          </w:divBdr>
        </w:div>
        <w:div w:id="1358770695">
          <w:marLeft w:val="0"/>
          <w:marRight w:val="0"/>
          <w:marTop w:val="0"/>
          <w:marBottom w:val="0"/>
          <w:divBdr>
            <w:top w:val="none" w:sz="0" w:space="0" w:color="auto"/>
            <w:left w:val="none" w:sz="0" w:space="0" w:color="auto"/>
            <w:bottom w:val="none" w:sz="0" w:space="0" w:color="auto"/>
            <w:right w:val="none" w:sz="0" w:space="0" w:color="auto"/>
          </w:divBdr>
        </w:div>
        <w:div w:id="1400520514">
          <w:marLeft w:val="0"/>
          <w:marRight w:val="0"/>
          <w:marTop w:val="0"/>
          <w:marBottom w:val="0"/>
          <w:divBdr>
            <w:top w:val="none" w:sz="0" w:space="0" w:color="auto"/>
            <w:left w:val="none" w:sz="0" w:space="0" w:color="auto"/>
            <w:bottom w:val="none" w:sz="0" w:space="0" w:color="auto"/>
            <w:right w:val="none" w:sz="0" w:space="0" w:color="auto"/>
          </w:divBdr>
        </w:div>
        <w:div w:id="1424112293">
          <w:marLeft w:val="0"/>
          <w:marRight w:val="0"/>
          <w:marTop w:val="0"/>
          <w:marBottom w:val="0"/>
          <w:divBdr>
            <w:top w:val="none" w:sz="0" w:space="0" w:color="auto"/>
            <w:left w:val="none" w:sz="0" w:space="0" w:color="auto"/>
            <w:bottom w:val="none" w:sz="0" w:space="0" w:color="auto"/>
            <w:right w:val="none" w:sz="0" w:space="0" w:color="auto"/>
          </w:divBdr>
        </w:div>
        <w:div w:id="1426264812">
          <w:marLeft w:val="0"/>
          <w:marRight w:val="0"/>
          <w:marTop w:val="0"/>
          <w:marBottom w:val="0"/>
          <w:divBdr>
            <w:top w:val="none" w:sz="0" w:space="0" w:color="auto"/>
            <w:left w:val="none" w:sz="0" w:space="0" w:color="auto"/>
            <w:bottom w:val="none" w:sz="0" w:space="0" w:color="auto"/>
            <w:right w:val="none" w:sz="0" w:space="0" w:color="auto"/>
          </w:divBdr>
        </w:div>
        <w:div w:id="1426850464">
          <w:marLeft w:val="0"/>
          <w:marRight w:val="0"/>
          <w:marTop w:val="0"/>
          <w:marBottom w:val="0"/>
          <w:divBdr>
            <w:top w:val="none" w:sz="0" w:space="0" w:color="auto"/>
            <w:left w:val="none" w:sz="0" w:space="0" w:color="auto"/>
            <w:bottom w:val="none" w:sz="0" w:space="0" w:color="auto"/>
            <w:right w:val="none" w:sz="0" w:space="0" w:color="auto"/>
          </w:divBdr>
        </w:div>
        <w:div w:id="1530146243">
          <w:marLeft w:val="0"/>
          <w:marRight w:val="0"/>
          <w:marTop w:val="0"/>
          <w:marBottom w:val="0"/>
          <w:divBdr>
            <w:top w:val="none" w:sz="0" w:space="0" w:color="auto"/>
            <w:left w:val="none" w:sz="0" w:space="0" w:color="auto"/>
            <w:bottom w:val="none" w:sz="0" w:space="0" w:color="auto"/>
            <w:right w:val="none" w:sz="0" w:space="0" w:color="auto"/>
          </w:divBdr>
        </w:div>
        <w:div w:id="1536111901">
          <w:marLeft w:val="0"/>
          <w:marRight w:val="0"/>
          <w:marTop w:val="0"/>
          <w:marBottom w:val="0"/>
          <w:divBdr>
            <w:top w:val="none" w:sz="0" w:space="0" w:color="auto"/>
            <w:left w:val="none" w:sz="0" w:space="0" w:color="auto"/>
            <w:bottom w:val="none" w:sz="0" w:space="0" w:color="auto"/>
            <w:right w:val="none" w:sz="0" w:space="0" w:color="auto"/>
          </w:divBdr>
        </w:div>
        <w:div w:id="1561595166">
          <w:marLeft w:val="0"/>
          <w:marRight w:val="0"/>
          <w:marTop w:val="0"/>
          <w:marBottom w:val="0"/>
          <w:divBdr>
            <w:top w:val="none" w:sz="0" w:space="0" w:color="auto"/>
            <w:left w:val="none" w:sz="0" w:space="0" w:color="auto"/>
            <w:bottom w:val="none" w:sz="0" w:space="0" w:color="auto"/>
            <w:right w:val="none" w:sz="0" w:space="0" w:color="auto"/>
          </w:divBdr>
        </w:div>
        <w:div w:id="1580824625">
          <w:marLeft w:val="0"/>
          <w:marRight w:val="0"/>
          <w:marTop w:val="0"/>
          <w:marBottom w:val="0"/>
          <w:divBdr>
            <w:top w:val="none" w:sz="0" w:space="0" w:color="auto"/>
            <w:left w:val="none" w:sz="0" w:space="0" w:color="auto"/>
            <w:bottom w:val="none" w:sz="0" w:space="0" w:color="auto"/>
            <w:right w:val="none" w:sz="0" w:space="0" w:color="auto"/>
          </w:divBdr>
        </w:div>
        <w:div w:id="1698896445">
          <w:marLeft w:val="0"/>
          <w:marRight w:val="0"/>
          <w:marTop w:val="0"/>
          <w:marBottom w:val="0"/>
          <w:divBdr>
            <w:top w:val="none" w:sz="0" w:space="0" w:color="auto"/>
            <w:left w:val="none" w:sz="0" w:space="0" w:color="auto"/>
            <w:bottom w:val="none" w:sz="0" w:space="0" w:color="auto"/>
            <w:right w:val="none" w:sz="0" w:space="0" w:color="auto"/>
          </w:divBdr>
        </w:div>
        <w:div w:id="1708333877">
          <w:marLeft w:val="0"/>
          <w:marRight w:val="0"/>
          <w:marTop w:val="0"/>
          <w:marBottom w:val="0"/>
          <w:divBdr>
            <w:top w:val="none" w:sz="0" w:space="0" w:color="auto"/>
            <w:left w:val="none" w:sz="0" w:space="0" w:color="auto"/>
            <w:bottom w:val="none" w:sz="0" w:space="0" w:color="auto"/>
            <w:right w:val="none" w:sz="0" w:space="0" w:color="auto"/>
          </w:divBdr>
        </w:div>
        <w:div w:id="1783302880">
          <w:marLeft w:val="0"/>
          <w:marRight w:val="0"/>
          <w:marTop w:val="0"/>
          <w:marBottom w:val="0"/>
          <w:divBdr>
            <w:top w:val="none" w:sz="0" w:space="0" w:color="auto"/>
            <w:left w:val="none" w:sz="0" w:space="0" w:color="auto"/>
            <w:bottom w:val="none" w:sz="0" w:space="0" w:color="auto"/>
            <w:right w:val="none" w:sz="0" w:space="0" w:color="auto"/>
          </w:divBdr>
        </w:div>
        <w:div w:id="1842696857">
          <w:marLeft w:val="0"/>
          <w:marRight w:val="0"/>
          <w:marTop w:val="0"/>
          <w:marBottom w:val="0"/>
          <w:divBdr>
            <w:top w:val="none" w:sz="0" w:space="0" w:color="auto"/>
            <w:left w:val="none" w:sz="0" w:space="0" w:color="auto"/>
            <w:bottom w:val="none" w:sz="0" w:space="0" w:color="auto"/>
            <w:right w:val="none" w:sz="0" w:space="0" w:color="auto"/>
          </w:divBdr>
        </w:div>
        <w:div w:id="1851792245">
          <w:marLeft w:val="0"/>
          <w:marRight w:val="0"/>
          <w:marTop w:val="0"/>
          <w:marBottom w:val="0"/>
          <w:divBdr>
            <w:top w:val="none" w:sz="0" w:space="0" w:color="auto"/>
            <w:left w:val="none" w:sz="0" w:space="0" w:color="auto"/>
            <w:bottom w:val="none" w:sz="0" w:space="0" w:color="auto"/>
            <w:right w:val="none" w:sz="0" w:space="0" w:color="auto"/>
          </w:divBdr>
        </w:div>
        <w:div w:id="1885829134">
          <w:marLeft w:val="0"/>
          <w:marRight w:val="0"/>
          <w:marTop w:val="0"/>
          <w:marBottom w:val="0"/>
          <w:divBdr>
            <w:top w:val="none" w:sz="0" w:space="0" w:color="auto"/>
            <w:left w:val="none" w:sz="0" w:space="0" w:color="auto"/>
            <w:bottom w:val="none" w:sz="0" w:space="0" w:color="auto"/>
            <w:right w:val="none" w:sz="0" w:space="0" w:color="auto"/>
          </w:divBdr>
        </w:div>
        <w:div w:id="1912619289">
          <w:marLeft w:val="0"/>
          <w:marRight w:val="0"/>
          <w:marTop w:val="0"/>
          <w:marBottom w:val="0"/>
          <w:divBdr>
            <w:top w:val="none" w:sz="0" w:space="0" w:color="auto"/>
            <w:left w:val="none" w:sz="0" w:space="0" w:color="auto"/>
            <w:bottom w:val="none" w:sz="0" w:space="0" w:color="auto"/>
            <w:right w:val="none" w:sz="0" w:space="0" w:color="auto"/>
          </w:divBdr>
        </w:div>
        <w:div w:id="1935549880">
          <w:marLeft w:val="0"/>
          <w:marRight w:val="0"/>
          <w:marTop w:val="0"/>
          <w:marBottom w:val="0"/>
          <w:divBdr>
            <w:top w:val="none" w:sz="0" w:space="0" w:color="auto"/>
            <w:left w:val="none" w:sz="0" w:space="0" w:color="auto"/>
            <w:bottom w:val="none" w:sz="0" w:space="0" w:color="auto"/>
            <w:right w:val="none" w:sz="0" w:space="0" w:color="auto"/>
          </w:divBdr>
        </w:div>
        <w:div w:id="1986934041">
          <w:marLeft w:val="0"/>
          <w:marRight w:val="0"/>
          <w:marTop w:val="0"/>
          <w:marBottom w:val="0"/>
          <w:divBdr>
            <w:top w:val="none" w:sz="0" w:space="0" w:color="auto"/>
            <w:left w:val="none" w:sz="0" w:space="0" w:color="auto"/>
            <w:bottom w:val="none" w:sz="0" w:space="0" w:color="auto"/>
            <w:right w:val="none" w:sz="0" w:space="0" w:color="auto"/>
          </w:divBdr>
        </w:div>
        <w:div w:id="2048409593">
          <w:marLeft w:val="0"/>
          <w:marRight w:val="0"/>
          <w:marTop w:val="0"/>
          <w:marBottom w:val="0"/>
          <w:divBdr>
            <w:top w:val="none" w:sz="0" w:space="0" w:color="auto"/>
            <w:left w:val="none" w:sz="0" w:space="0" w:color="auto"/>
            <w:bottom w:val="none" w:sz="0" w:space="0" w:color="auto"/>
            <w:right w:val="none" w:sz="0" w:space="0" w:color="auto"/>
          </w:divBdr>
        </w:div>
      </w:divsChild>
    </w:div>
    <w:div w:id="1149791050">
      <w:bodyDiv w:val="1"/>
      <w:marLeft w:val="0"/>
      <w:marRight w:val="0"/>
      <w:marTop w:val="0"/>
      <w:marBottom w:val="0"/>
      <w:divBdr>
        <w:top w:val="none" w:sz="0" w:space="0" w:color="auto"/>
        <w:left w:val="none" w:sz="0" w:space="0" w:color="auto"/>
        <w:bottom w:val="none" w:sz="0" w:space="0" w:color="auto"/>
        <w:right w:val="none" w:sz="0" w:space="0" w:color="auto"/>
      </w:divBdr>
    </w:div>
    <w:div w:id="1167936748">
      <w:bodyDiv w:val="1"/>
      <w:marLeft w:val="0"/>
      <w:marRight w:val="0"/>
      <w:marTop w:val="0"/>
      <w:marBottom w:val="0"/>
      <w:divBdr>
        <w:top w:val="none" w:sz="0" w:space="0" w:color="auto"/>
        <w:left w:val="none" w:sz="0" w:space="0" w:color="auto"/>
        <w:bottom w:val="none" w:sz="0" w:space="0" w:color="auto"/>
        <w:right w:val="none" w:sz="0" w:space="0" w:color="auto"/>
      </w:divBdr>
    </w:div>
    <w:div w:id="1178691611">
      <w:bodyDiv w:val="1"/>
      <w:marLeft w:val="0"/>
      <w:marRight w:val="0"/>
      <w:marTop w:val="0"/>
      <w:marBottom w:val="0"/>
      <w:divBdr>
        <w:top w:val="none" w:sz="0" w:space="0" w:color="auto"/>
        <w:left w:val="none" w:sz="0" w:space="0" w:color="auto"/>
        <w:bottom w:val="none" w:sz="0" w:space="0" w:color="auto"/>
        <w:right w:val="none" w:sz="0" w:space="0" w:color="auto"/>
      </w:divBdr>
      <w:divsChild>
        <w:div w:id="1284003204">
          <w:marLeft w:val="0"/>
          <w:marRight w:val="0"/>
          <w:marTop w:val="0"/>
          <w:marBottom w:val="0"/>
          <w:divBdr>
            <w:top w:val="none" w:sz="0" w:space="0" w:color="auto"/>
            <w:left w:val="none" w:sz="0" w:space="0" w:color="auto"/>
            <w:bottom w:val="none" w:sz="0" w:space="0" w:color="auto"/>
            <w:right w:val="none" w:sz="0" w:space="0" w:color="auto"/>
          </w:divBdr>
        </w:div>
        <w:div w:id="1489127401">
          <w:marLeft w:val="0"/>
          <w:marRight w:val="0"/>
          <w:marTop w:val="0"/>
          <w:marBottom w:val="0"/>
          <w:divBdr>
            <w:top w:val="none" w:sz="0" w:space="0" w:color="auto"/>
            <w:left w:val="none" w:sz="0" w:space="0" w:color="auto"/>
            <w:bottom w:val="none" w:sz="0" w:space="0" w:color="auto"/>
            <w:right w:val="none" w:sz="0" w:space="0" w:color="auto"/>
          </w:divBdr>
        </w:div>
      </w:divsChild>
    </w:div>
    <w:div w:id="1196692320">
      <w:bodyDiv w:val="1"/>
      <w:marLeft w:val="0"/>
      <w:marRight w:val="0"/>
      <w:marTop w:val="0"/>
      <w:marBottom w:val="0"/>
      <w:divBdr>
        <w:top w:val="none" w:sz="0" w:space="0" w:color="auto"/>
        <w:left w:val="none" w:sz="0" w:space="0" w:color="auto"/>
        <w:bottom w:val="none" w:sz="0" w:space="0" w:color="auto"/>
        <w:right w:val="none" w:sz="0" w:space="0" w:color="auto"/>
      </w:divBdr>
      <w:divsChild>
        <w:div w:id="379400090">
          <w:marLeft w:val="0"/>
          <w:marRight w:val="0"/>
          <w:marTop w:val="0"/>
          <w:marBottom w:val="0"/>
          <w:divBdr>
            <w:top w:val="none" w:sz="0" w:space="0" w:color="auto"/>
            <w:left w:val="none" w:sz="0" w:space="0" w:color="auto"/>
            <w:bottom w:val="none" w:sz="0" w:space="0" w:color="auto"/>
            <w:right w:val="none" w:sz="0" w:space="0" w:color="auto"/>
          </w:divBdr>
          <w:divsChild>
            <w:div w:id="1013923118">
              <w:marLeft w:val="0"/>
              <w:marRight w:val="0"/>
              <w:marTop w:val="0"/>
              <w:marBottom w:val="0"/>
              <w:divBdr>
                <w:top w:val="none" w:sz="0" w:space="0" w:color="auto"/>
                <w:left w:val="none" w:sz="0" w:space="0" w:color="auto"/>
                <w:bottom w:val="none" w:sz="0" w:space="0" w:color="auto"/>
                <w:right w:val="none" w:sz="0" w:space="0" w:color="auto"/>
              </w:divBdr>
              <w:divsChild>
                <w:div w:id="16276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3384">
      <w:bodyDiv w:val="1"/>
      <w:marLeft w:val="0"/>
      <w:marRight w:val="0"/>
      <w:marTop w:val="0"/>
      <w:marBottom w:val="0"/>
      <w:divBdr>
        <w:top w:val="none" w:sz="0" w:space="0" w:color="auto"/>
        <w:left w:val="none" w:sz="0" w:space="0" w:color="auto"/>
        <w:bottom w:val="none" w:sz="0" w:space="0" w:color="auto"/>
        <w:right w:val="none" w:sz="0" w:space="0" w:color="auto"/>
      </w:divBdr>
      <w:divsChild>
        <w:div w:id="874469714">
          <w:marLeft w:val="0"/>
          <w:marRight w:val="0"/>
          <w:marTop w:val="0"/>
          <w:marBottom w:val="0"/>
          <w:divBdr>
            <w:top w:val="none" w:sz="0" w:space="0" w:color="auto"/>
            <w:left w:val="none" w:sz="0" w:space="0" w:color="auto"/>
            <w:bottom w:val="none" w:sz="0" w:space="0" w:color="auto"/>
            <w:right w:val="none" w:sz="0" w:space="0" w:color="auto"/>
          </w:divBdr>
          <w:divsChild>
            <w:div w:id="1051657528">
              <w:marLeft w:val="0"/>
              <w:marRight w:val="0"/>
              <w:marTop w:val="0"/>
              <w:marBottom w:val="0"/>
              <w:divBdr>
                <w:top w:val="none" w:sz="0" w:space="0" w:color="auto"/>
                <w:left w:val="none" w:sz="0" w:space="0" w:color="auto"/>
                <w:bottom w:val="none" w:sz="0" w:space="0" w:color="auto"/>
                <w:right w:val="none" w:sz="0" w:space="0" w:color="auto"/>
              </w:divBdr>
              <w:divsChild>
                <w:div w:id="15047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9062">
      <w:bodyDiv w:val="1"/>
      <w:marLeft w:val="0"/>
      <w:marRight w:val="0"/>
      <w:marTop w:val="0"/>
      <w:marBottom w:val="0"/>
      <w:divBdr>
        <w:top w:val="none" w:sz="0" w:space="0" w:color="auto"/>
        <w:left w:val="none" w:sz="0" w:space="0" w:color="auto"/>
        <w:bottom w:val="none" w:sz="0" w:space="0" w:color="auto"/>
        <w:right w:val="none" w:sz="0" w:space="0" w:color="auto"/>
      </w:divBdr>
    </w:div>
    <w:div w:id="1204559500">
      <w:bodyDiv w:val="1"/>
      <w:marLeft w:val="0"/>
      <w:marRight w:val="0"/>
      <w:marTop w:val="0"/>
      <w:marBottom w:val="0"/>
      <w:divBdr>
        <w:top w:val="none" w:sz="0" w:space="0" w:color="auto"/>
        <w:left w:val="none" w:sz="0" w:space="0" w:color="auto"/>
        <w:bottom w:val="none" w:sz="0" w:space="0" w:color="auto"/>
        <w:right w:val="none" w:sz="0" w:space="0" w:color="auto"/>
      </w:divBdr>
      <w:divsChild>
        <w:div w:id="133302214">
          <w:marLeft w:val="0"/>
          <w:marRight w:val="0"/>
          <w:marTop w:val="0"/>
          <w:marBottom w:val="0"/>
          <w:divBdr>
            <w:top w:val="none" w:sz="0" w:space="0" w:color="auto"/>
            <w:left w:val="none" w:sz="0" w:space="0" w:color="auto"/>
            <w:bottom w:val="none" w:sz="0" w:space="0" w:color="auto"/>
            <w:right w:val="none" w:sz="0" w:space="0" w:color="auto"/>
          </w:divBdr>
          <w:divsChild>
            <w:div w:id="1740666458">
              <w:marLeft w:val="0"/>
              <w:marRight w:val="0"/>
              <w:marTop w:val="0"/>
              <w:marBottom w:val="0"/>
              <w:divBdr>
                <w:top w:val="none" w:sz="0" w:space="0" w:color="auto"/>
                <w:left w:val="none" w:sz="0" w:space="0" w:color="auto"/>
                <w:bottom w:val="none" w:sz="0" w:space="0" w:color="auto"/>
                <w:right w:val="none" w:sz="0" w:space="0" w:color="auto"/>
              </w:divBdr>
              <w:divsChild>
                <w:div w:id="10925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3459">
      <w:bodyDiv w:val="1"/>
      <w:marLeft w:val="0"/>
      <w:marRight w:val="0"/>
      <w:marTop w:val="0"/>
      <w:marBottom w:val="0"/>
      <w:divBdr>
        <w:top w:val="none" w:sz="0" w:space="0" w:color="auto"/>
        <w:left w:val="none" w:sz="0" w:space="0" w:color="auto"/>
        <w:bottom w:val="none" w:sz="0" w:space="0" w:color="auto"/>
        <w:right w:val="none" w:sz="0" w:space="0" w:color="auto"/>
      </w:divBdr>
    </w:div>
    <w:div w:id="1238395511">
      <w:bodyDiv w:val="1"/>
      <w:marLeft w:val="0"/>
      <w:marRight w:val="0"/>
      <w:marTop w:val="0"/>
      <w:marBottom w:val="0"/>
      <w:divBdr>
        <w:top w:val="none" w:sz="0" w:space="0" w:color="auto"/>
        <w:left w:val="none" w:sz="0" w:space="0" w:color="auto"/>
        <w:bottom w:val="none" w:sz="0" w:space="0" w:color="auto"/>
        <w:right w:val="none" w:sz="0" w:space="0" w:color="auto"/>
      </w:divBdr>
    </w:div>
    <w:div w:id="1240947706">
      <w:bodyDiv w:val="1"/>
      <w:marLeft w:val="0"/>
      <w:marRight w:val="0"/>
      <w:marTop w:val="0"/>
      <w:marBottom w:val="0"/>
      <w:divBdr>
        <w:top w:val="none" w:sz="0" w:space="0" w:color="auto"/>
        <w:left w:val="none" w:sz="0" w:space="0" w:color="auto"/>
        <w:bottom w:val="none" w:sz="0" w:space="0" w:color="auto"/>
        <w:right w:val="none" w:sz="0" w:space="0" w:color="auto"/>
      </w:divBdr>
      <w:divsChild>
        <w:div w:id="90398715">
          <w:marLeft w:val="0"/>
          <w:marRight w:val="0"/>
          <w:marTop w:val="0"/>
          <w:marBottom w:val="0"/>
          <w:divBdr>
            <w:top w:val="none" w:sz="0" w:space="0" w:color="auto"/>
            <w:left w:val="none" w:sz="0" w:space="0" w:color="auto"/>
            <w:bottom w:val="none" w:sz="0" w:space="0" w:color="auto"/>
            <w:right w:val="none" w:sz="0" w:space="0" w:color="auto"/>
          </w:divBdr>
          <w:divsChild>
            <w:div w:id="2070960912">
              <w:marLeft w:val="0"/>
              <w:marRight w:val="0"/>
              <w:marTop w:val="0"/>
              <w:marBottom w:val="0"/>
              <w:divBdr>
                <w:top w:val="none" w:sz="0" w:space="0" w:color="auto"/>
                <w:left w:val="none" w:sz="0" w:space="0" w:color="auto"/>
                <w:bottom w:val="none" w:sz="0" w:space="0" w:color="auto"/>
                <w:right w:val="none" w:sz="0" w:space="0" w:color="auto"/>
              </w:divBdr>
              <w:divsChild>
                <w:div w:id="521554028">
                  <w:marLeft w:val="0"/>
                  <w:marRight w:val="0"/>
                  <w:marTop w:val="0"/>
                  <w:marBottom w:val="0"/>
                  <w:divBdr>
                    <w:top w:val="none" w:sz="0" w:space="0" w:color="auto"/>
                    <w:left w:val="none" w:sz="0" w:space="0" w:color="auto"/>
                    <w:bottom w:val="none" w:sz="0" w:space="0" w:color="auto"/>
                    <w:right w:val="none" w:sz="0" w:space="0" w:color="auto"/>
                  </w:divBdr>
                  <w:divsChild>
                    <w:div w:id="3143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75582">
      <w:bodyDiv w:val="1"/>
      <w:marLeft w:val="0"/>
      <w:marRight w:val="0"/>
      <w:marTop w:val="0"/>
      <w:marBottom w:val="0"/>
      <w:divBdr>
        <w:top w:val="none" w:sz="0" w:space="0" w:color="auto"/>
        <w:left w:val="none" w:sz="0" w:space="0" w:color="auto"/>
        <w:bottom w:val="none" w:sz="0" w:space="0" w:color="auto"/>
        <w:right w:val="none" w:sz="0" w:space="0" w:color="auto"/>
      </w:divBdr>
    </w:div>
    <w:div w:id="1264268371">
      <w:bodyDiv w:val="1"/>
      <w:marLeft w:val="0"/>
      <w:marRight w:val="0"/>
      <w:marTop w:val="0"/>
      <w:marBottom w:val="0"/>
      <w:divBdr>
        <w:top w:val="none" w:sz="0" w:space="0" w:color="auto"/>
        <w:left w:val="none" w:sz="0" w:space="0" w:color="auto"/>
        <w:bottom w:val="none" w:sz="0" w:space="0" w:color="auto"/>
        <w:right w:val="none" w:sz="0" w:space="0" w:color="auto"/>
      </w:divBdr>
    </w:div>
    <w:div w:id="1266767704">
      <w:bodyDiv w:val="1"/>
      <w:marLeft w:val="0"/>
      <w:marRight w:val="0"/>
      <w:marTop w:val="0"/>
      <w:marBottom w:val="0"/>
      <w:divBdr>
        <w:top w:val="none" w:sz="0" w:space="0" w:color="auto"/>
        <w:left w:val="none" w:sz="0" w:space="0" w:color="auto"/>
        <w:bottom w:val="none" w:sz="0" w:space="0" w:color="auto"/>
        <w:right w:val="none" w:sz="0" w:space="0" w:color="auto"/>
      </w:divBdr>
      <w:divsChild>
        <w:div w:id="286662013">
          <w:marLeft w:val="0"/>
          <w:marRight w:val="0"/>
          <w:marTop w:val="0"/>
          <w:marBottom w:val="0"/>
          <w:divBdr>
            <w:top w:val="none" w:sz="0" w:space="0" w:color="auto"/>
            <w:left w:val="none" w:sz="0" w:space="0" w:color="auto"/>
            <w:bottom w:val="none" w:sz="0" w:space="0" w:color="auto"/>
            <w:right w:val="none" w:sz="0" w:space="0" w:color="auto"/>
          </w:divBdr>
          <w:divsChild>
            <w:div w:id="1267037319">
              <w:marLeft w:val="0"/>
              <w:marRight w:val="0"/>
              <w:marTop w:val="0"/>
              <w:marBottom w:val="0"/>
              <w:divBdr>
                <w:top w:val="none" w:sz="0" w:space="0" w:color="auto"/>
                <w:left w:val="none" w:sz="0" w:space="0" w:color="auto"/>
                <w:bottom w:val="none" w:sz="0" w:space="0" w:color="auto"/>
                <w:right w:val="none" w:sz="0" w:space="0" w:color="auto"/>
              </w:divBdr>
              <w:divsChild>
                <w:div w:id="57239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20433">
          <w:marLeft w:val="0"/>
          <w:marRight w:val="0"/>
          <w:marTop w:val="0"/>
          <w:marBottom w:val="0"/>
          <w:divBdr>
            <w:top w:val="none" w:sz="0" w:space="0" w:color="auto"/>
            <w:left w:val="none" w:sz="0" w:space="0" w:color="auto"/>
            <w:bottom w:val="none" w:sz="0" w:space="0" w:color="auto"/>
            <w:right w:val="none" w:sz="0" w:space="0" w:color="auto"/>
          </w:divBdr>
          <w:divsChild>
            <w:div w:id="16659649">
              <w:marLeft w:val="0"/>
              <w:marRight w:val="0"/>
              <w:marTop w:val="0"/>
              <w:marBottom w:val="0"/>
              <w:divBdr>
                <w:top w:val="none" w:sz="0" w:space="0" w:color="auto"/>
                <w:left w:val="none" w:sz="0" w:space="0" w:color="auto"/>
                <w:bottom w:val="none" w:sz="0" w:space="0" w:color="auto"/>
                <w:right w:val="none" w:sz="0" w:space="0" w:color="auto"/>
              </w:divBdr>
              <w:divsChild>
                <w:div w:id="726997948">
                  <w:marLeft w:val="0"/>
                  <w:marRight w:val="0"/>
                  <w:marTop w:val="0"/>
                  <w:marBottom w:val="0"/>
                  <w:divBdr>
                    <w:top w:val="none" w:sz="0" w:space="0" w:color="auto"/>
                    <w:left w:val="none" w:sz="0" w:space="0" w:color="auto"/>
                    <w:bottom w:val="none" w:sz="0" w:space="0" w:color="auto"/>
                    <w:right w:val="none" w:sz="0" w:space="0" w:color="auto"/>
                  </w:divBdr>
                </w:div>
              </w:divsChild>
            </w:div>
            <w:div w:id="153423185">
              <w:marLeft w:val="0"/>
              <w:marRight w:val="0"/>
              <w:marTop w:val="0"/>
              <w:marBottom w:val="0"/>
              <w:divBdr>
                <w:top w:val="none" w:sz="0" w:space="0" w:color="auto"/>
                <w:left w:val="none" w:sz="0" w:space="0" w:color="auto"/>
                <w:bottom w:val="none" w:sz="0" w:space="0" w:color="auto"/>
                <w:right w:val="none" w:sz="0" w:space="0" w:color="auto"/>
              </w:divBdr>
              <w:divsChild>
                <w:div w:id="16884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89338">
      <w:bodyDiv w:val="1"/>
      <w:marLeft w:val="0"/>
      <w:marRight w:val="0"/>
      <w:marTop w:val="0"/>
      <w:marBottom w:val="0"/>
      <w:divBdr>
        <w:top w:val="none" w:sz="0" w:space="0" w:color="auto"/>
        <w:left w:val="none" w:sz="0" w:space="0" w:color="auto"/>
        <w:bottom w:val="none" w:sz="0" w:space="0" w:color="auto"/>
        <w:right w:val="none" w:sz="0" w:space="0" w:color="auto"/>
      </w:divBdr>
      <w:divsChild>
        <w:div w:id="1359358921">
          <w:marLeft w:val="0"/>
          <w:marRight w:val="0"/>
          <w:marTop w:val="0"/>
          <w:marBottom w:val="0"/>
          <w:divBdr>
            <w:top w:val="none" w:sz="0" w:space="0" w:color="auto"/>
            <w:left w:val="none" w:sz="0" w:space="0" w:color="auto"/>
            <w:bottom w:val="none" w:sz="0" w:space="0" w:color="auto"/>
            <w:right w:val="none" w:sz="0" w:space="0" w:color="auto"/>
          </w:divBdr>
          <w:divsChild>
            <w:div w:id="1930236618">
              <w:marLeft w:val="0"/>
              <w:marRight w:val="0"/>
              <w:marTop w:val="0"/>
              <w:marBottom w:val="0"/>
              <w:divBdr>
                <w:top w:val="none" w:sz="0" w:space="0" w:color="auto"/>
                <w:left w:val="none" w:sz="0" w:space="0" w:color="auto"/>
                <w:bottom w:val="none" w:sz="0" w:space="0" w:color="auto"/>
                <w:right w:val="none" w:sz="0" w:space="0" w:color="auto"/>
              </w:divBdr>
              <w:divsChild>
                <w:div w:id="1813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956634">
      <w:bodyDiv w:val="1"/>
      <w:marLeft w:val="0"/>
      <w:marRight w:val="0"/>
      <w:marTop w:val="0"/>
      <w:marBottom w:val="0"/>
      <w:divBdr>
        <w:top w:val="none" w:sz="0" w:space="0" w:color="auto"/>
        <w:left w:val="none" w:sz="0" w:space="0" w:color="auto"/>
        <w:bottom w:val="none" w:sz="0" w:space="0" w:color="auto"/>
        <w:right w:val="none" w:sz="0" w:space="0" w:color="auto"/>
      </w:divBdr>
      <w:divsChild>
        <w:div w:id="221720605">
          <w:marLeft w:val="0"/>
          <w:marRight w:val="0"/>
          <w:marTop w:val="0"/>
          <w:marBottom w:val="0"/>
          <w:divBdr>
            <w:top w:val="none" w:sz="0" w:space="0" w:color="auto"/>
            <w:left w:val="none" w:sz="0" w:space="0" w:color="auto"/>
            <w:bottom w:val="none" w:sz="0" w:space="0" w:color="auto"/>
            <w:right w:val="none" w:sz="0" w:space="0" w:color="auto"/>
          </w:divBdr>
          <w:divsChild>
            <w:div w:id="491991484">
              <w:marLeft w:val="0"/>
              <w:marRight w:val="0"/>
              <w:marTop w:val="0"/>
              <w:marBottom w:val="0"/>
              <w:divBdr>
                <w:top w:val="none" w:sz="0" w:space="0" w:color="auto"/>
                <w:left w:val="none" w:sz="0" w:space="0" w:color="auto"/>
                <w:bottom w:val="none" w:sz="0" w:space="0" w:color="auto"/>
                <w:right w:val="none" w:sz="0" w:space="0" w:color="auto"/>
              </w:divBdr>
              <w:divsChild>
                <w:div w:id="3172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5625">
      <w:bodyDiv w:val="1"/>
      <w:marLeft w:val="0"/>
      <w:marRight w:val="0"/>
      <w:marTop w:val="0"/>
      <w:marBottom w:val="0"/>
      <w:divBdr>
        <w:top w:val="none" w:sz="0" w:space="0" w:color="auto"/>
        <w:left w:val="none" w:sz="0" w:space="0" w:color="auto"/>
        <w:bottom w:val="none" w:sz="0" w:space="0" w:color="auto"/>
        <w:right w:val="none" w:sz="0" w:space="0" w:color="auto"/>
      </w:divBdr>
    </w:div>
    <w:div w:id="1338190424">
      <w:bodyDiv w:val="1"/>
      <w:marLeft w:val="0"/>
      <w:marRight w:val="0"/>
      <w:marTop w:val="0"/>
      <w:marBottom w:val="0"/>
      <w:divBdr>
        <w:top w:val="none" w:sz="0" w:space="0" w:color="auto"/>
        <w:left w:val="none" w:sz="0" w:space="0" w:color="auto"/>
        <w:bottom w:val="none" w:sz="0" w:space="0" w:color="auto"/>
        <w:right w:val="none" w:sz="0" w:space="0" w:color="auto"/>
      </w:divBdr>
    </w:div>
    <w:div w:id="1362050223">
      <w:bodyDiv w:val="1"/>
      <w:marLeft w:val="0"/>
      <w:marRight w:val="0"/>
      <w:marTop w:val="0"/>
      <w:marBottom w:val="0"/>
      <w:divBdr>
        <w:top w:val="none" w:sz="0" w:space="0" w:color="auto"/>
        <w:left w:val="none" w:sz="0" w:space="0" w:color="auto"/>
        <w:bottom w:val="none" w:sz="0" w:space="0" w:color="auto"/>
        <w:right w:val="none" w:sz="0" w:space="0" w:color="auto"/>
      </w:divBdr>
    </w:div>
    <w:div w:id="1379547274">
      <w:bodyDiv w:val="1"/>
      <w:marLeft w:val="0"/>
      <w:marRight w:val="0"/>
      <w:marTop w:val="0"/>
      <w:marBottom w:val="0"/>
      <w:divBdr>
        <w:top w:val="none" w:sz="0" w:space="0" w:color="auto"/>
        <w:left w:val="none" w:sz="0" w:space="0" w:color="auto"/>
        <w:bottom w:val="none" w:sz="0" w:space="0" w:color="auto"/>
        <w:right w:val="none" w:sz="0" w:space="0" w:color="auto"/>
      </w:divBdr>
    </w:div>
    <w:div w:id="1419717194">
      <w:bodyDiv w:val="1"/>
      <w:marLeft w:val="0"/>
      <w:marRight w:val="0"/>
      <w:marTop w:val="0"/>
      <w:marBottom w:val="0"/>
      <w:divBdr>
        <w:top w:val="none" w:sz="0" w:space="0" w:color="auto"/>
        <w:left w:val="none" w:sz="0" w:space="0" w:color="auto"/>
        <w:bottom w:val="none" w:sz="0" w:space="0" w:color="auto"/>
        <w:right w:val="none" w:sz="0" w:space="0" w:color="auto"/>
      </w:divBdr>
      <w:divsChild>
        <w:div w:id="161941511">
          <w:marLeft w:val="0"/>
          <w:marRight w:val="0"/>
          <w:marTop w:val="0"/>
          <w:marBottom w:val="0"/>
          <w:divBdr>
            <w:top w:val="none" w:sz="0" w:space="0" w:color="auto"/>
            <w:left w:val="none" w:sz="0" w:space="0" w:color="auto"/>
            <w:bottom w:val="none" w:sz="0" w:space="0" w:color="auto"/>
            <w:right w:val="none" w:sz="0" w:space="0" w:color="auto"/>
          </w:divBdr>
        </w:div>
        <w:div w:id="1369916970">
          <w:marLeft w:val="0"/>
          <w:marRight w:val="0"/>
          <w:marTop w:val="0"/>
          <w:marBottom w:val="0"/>
          <w:divBdr>
            <w:top w:val="none" w:sz="0" w:space="0" w:color="auto"/>
            <w:left w:val="none" w:sz="0" w:space="0" w:color="auto"/>
            <w:bottom w:val="none" w:sz="0" w:space="0" w:color="auto"/>
            <w:right w:val="none" w:sz="0" w:space="0" w:color="auto"/>
          </w:divBdr>
        </w:div>
        <w:div w:id="1490559816">
          <w:marLeft w:val="0"/>
          <w:marRight w:val="0"/>
          <w:marTop w:val="0"/>
          <w:marBottom w:val="0"/>
          <w:divBdr>
            <w:top w:val="none" w:sz="0" w:space="0" w:color="auto"/>
            <w:left w:val="none" w:sz="0" w:space="0" w:color="auto"/>
            <w:bottom w:val="none" w:sz="0" w:space="0" w:color="auto"/>
            <w:right w:val="none" w:sz="0" w:space="0" w:color="auto"/>
          </w:divBdr>
        </w:div>
        <w:div w:id="1955012218">
          <w:marLeft w:val="0"/>
          <w:marRight w:val="0"/>
          <w:marTop w:val="0"/>
          <w:marBottom w:val="0"/>
          <w:divBdr>
            <w:top w:val="none" w:sz="0" w:space="0" w:color="auto"/>
            <w:left w:val="none" w:sz="0" w:space="0" w:color="auto"/>
            <w:bottom w:val="none" w:sz="0" w:space="0" w:color="auto"/>
            <w:right w:val="none" w:sz="0" w:space="0" w:color="auto"/>
          </w:divBdr>
        </w:div>
        <w:div w:id="2074619656">
          <w:marLeft w:val="0"/>
          <w:marRight w:val="0"/>
          <w:marTop w:val="0"/>
          <w:marBottom w:val="0"/>
          <w:divBdr>
            <w:top w:val="none" w:sz="0" w:space="0" w:color="auto"/>
            <w:left w:val="none" w:sz="0" w:space="0" w:color="auto"/>
            <w:bottom w:val="none" w:sz="0" w:space="0" w:color="auto"/>
            <w:right w:val="none" w:sz="0" w:space="0" w:color="auto"/>
          </w:divBdr>
        </w:div>
        <w:div w:id="2146504841">
          <w:marLeft w:val="0"/>
          <w:marRight w:val="0"/>
          <w:marTop w:val="0"/>
          <w:marBottom w:val="0"/>
          <w:divBdr>
            <w:top w:val="none" w:sz="0" w:space="0" w:color="auto"/>
            <w:left w:val="none" w:sz="0" w:space="0" w:color="auto"/>
            <w:bottom w:val="none" w:sz="0" w:space="0" w:color="auto"/>
            <w:right w:val="none" w:sz="0" w:space="0" w:color="auto"/>
          </w:divBdr>
        </w:div>
      </w:divsChild>
    </w:div>
    <w:div w:id="1439905408">
      <w:bodyDiv w:val="1"/>
      <w:marLeft w:val="0"/>
      <w:marRight w:val="0"/>
      <w:marTop w:val="0"/>
      <w:marBottom w:val="0"/>
      <w:divBdr>
        <w:top w:val="none" w:sz="0" w:space="0" w:color="auto"/>
        <w:left w:val="none" w:sz="0" w:space="0" w:color="auto"/>
        <w:bottom w:val="none" w:sz="0" w:space="0" w:color="auto"/>
        <w:right w:val="none" w:sz="0" w:space="0" w:color="auto"/>
      </w:divBdr>
      <w:divsChild>
        <w:div w:id="570695592">
          <w:marLeft w:val="1397"/>
          <w:marRight w:val="0"/>
          <w:marTop w:val="80"/>
          <w:marBottom w:val="0"/>
          <w:divBdr>
            <w:top w:val="none" w:sz="0" w:space="0" w:color="auto"/>
            <w:left w:val="none" w:sz="0" w:space="0" w:color="auto"/>
            <w:bottom w:val="none" w:sz="0" w:space="0" w:color="auto"/>
            <w:right w:val="none" w:sz="0" w:space="0" w:color="auto"/>
          </w:divBdr>
        </w:div>
        <w:div w:id="692270417">
          <w:marLeft w:val="1397"/>
          <w:marRight w:val="0"/>
          <w:marTop w:val="80"/>
          <w:marBottom w:val="0"/>
          <w:divBdr>
            <w:top w:val="none" w:sz="0" w:space="0" w:color="auto"/>
            <w:left w:val="none" w:sz="0" w:space="0" w:color="auto"/>
            <w:bottom w:val="none" w:sz="0" w:space="0" w:color="auto"/>
            <w:right w:val="none" w:sz="0" w:space="0" w:color="auto"/>
          </w:divBdr>
        </w:div>
        <w:div w:id="1086150377">
          <w:marLeft w:val="1397"/>
          <w:marRight w:val="0"/>
          <w:marTop w:val="80"/>
          <w:marBottom w:val="0"/>
          <w:divBdr>
            <w:top w:val="none" w:sz="0" w:space="0" w:color="auto"/>
            <w:left w:val="none" w:sz="0" w:space="0" w:color="auto"/>
            <w:bottom w:val="none" w:sz="0" w:space="0" w:color="auto"/>
            <w:right w:val="none" w:sz="0" w:space="0" w:color="auto"/>
          </w:divBdr>
        </w:div>
        <w:div w:id="1175926447">
          <w:marLeft w:val="1397"/>
          <w:marRight w:val="0"/>
          <w:marTop w:val="80"/>
          <w:marBottom w:val="0"/>
          <w:divBdr>
            <w:top w:val="none" w:sz="0" w:space="0" w:color="auto"/>
            <w:left w:val="none" w:sz="0" w:space="0" w:color="auto"/>
            <w:bottom w:val="none" w:sz="0" w:space="0" w:color="auto"/>
            <w:right w:val="none" w:sz="0" w:space="0" w:color="auto"/>
          </w:divBdr>
        </w:div>
        <w:div w:id="1220364420">
          <w:marLeft w:val="1397"/>
          <w:marRight w:val="0"/>
          <w:marTop w:val="80"/>
          <w:marBottom w:val="0"/>
          <w:divBdr>
            <w:top w:val="none" w:sz="0" w:space="0" w:color="auto"/>
            <w:left w:val="none" w:sz="0" w:space="0" w:color="auto"/>
            <w:bottom w:val="none" w:sz="0" w:space="0" w:color="auto"/>
            <w:right w:val="none" w:sz="0" w:space="0" w:color="auto"/>
          </w:divBdr>
        </w:div>
      </w:divsChild>
    </w:div>
    <w:div w:id="1441022609">
      <w:bodyDiv w:val="1"/>
      <w:marLeft w:val="0"/>
      <w:marRight w:val="0"/>
      <w:marTop w:val="0"/>
      <w:marBottom w:val="0"/>
      <w:divBdr>
        <w:top w:val="none" w:sz="0" w:space="0" w:color="auto"/>
        <w:left w:val="none" w:sz="0" w:space="0" w:color="auto"/>
        <w:bottom w:val="none" w:sz="0" w:space="0" w:color="auto"/>
        <w:right w:val="none" w:sz="0" w:space="0" w:color="auto"/>
      </w:divBdr>
    </w:div>
    <w:div w:id="1447697385">
      <w:bodyDiv w:val="1"/>
      <w:marLeft w:val="0"/>
      <w:marRight w:val="0"/>
      <w:marTop w:val="0"/>
      <w:marBottom w:val="0"/>
      <w:divBdr>
        <w:top w:val="none" w:sz="0" w:space="0" w:color="auto"/>
        <w:left w:val="none" w:sz="0" w:space="0" w:color="auto"/>
        <w:bottom w:val="none" w:sz="0" w:space="0" w:color="auto"/>
        <w:right w:val="none" w:sz="0" w:space="0" w:color="auto"/>
      </w:divBdr>
      <w:divsChild>
        <w:div w:id="740058728">
          <w:marLeft w:val="0"/>
          <w:marRight w:val="0"/>
          <w:marTop w:val="0"/>
          <w:marBottom w:val="0"/>
          <w:divBdr>
            <w:top w:val="none" w:sz="0" w:space="0" w:color="auto"/>
            <w:left w:val="none" w:sz="0" w:space="0" w:color="auto"/>
            <w:bottom w:val="none" w:sz="0" w:space="0" w:color="auto"/>
            <w:right w:val="none" w:sz="0" w:space="0" w:color="auto"/>
          </w:divBdr>
          <w:divsChild>
            <w:div w:id="1049912144">
              <w:marLeft w:val="0"/>
              <w:marRight w:val="0"/>
              <w:marTop w:val="0"/>
              <w:marBottom w:val="0"/>
              <w:divBdr>
                <w:top w:val="none" w:sz="0" w:space="0" w:color="auto"/>
                <w:left w:val="none" w:sz="0" w:space="0" w:color="auto"/>
                <w:bottom w:val="none" w:sz="0" w:space="0" w:color="auto"/>
                <w:right w:val="none" w:sz="0" w:space="0" w:color="auto"/>
              </w:divBdr>
              <w:divsChild>
                <w:div w:id="15696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40406">
      <w:bodyDiv w:val="1"/>
      <w:marLeft w:val="0"/>
      <w:marRight w:val="0"/>
      <w:marTop w:val="0"/>
      <w:marBottom w:val="0"/>
      <w:divBdr>
        <w:top w:val="none" w:sz="0" w:space="0" w:color="auto"/>
        <w:left w:val="none" w:sz="0" w:space="0" w:color="auto"/>
        <w:bottom w:val="none" w:sz="0" w:space="0" w:color="auto"/>
        <w:right w:val="none" w:sz="0" w:space="0" w:color="auto"/>
      </w:divBdr>
      <w:divsChild>
        <w:div w:id="1913849001">
          <w:marLeft w:val="0"/>
          <w:marRight w:val="0"/>
          <w:marTop w:val="0"/>
          <w:marBottom w:val="0"/>
          <w:divBdr>
            <w:top w:val="none" w:sz="0" w:space="0" w:color="auto"/>
            <w:left w:val="none" w:sz="0" w:space="0" w:color="auto"/>
            <w:bottom w:val="none" w:sz="0" w:space="0" w:color="auto"/>
            <w:right w:val="none" w:sz="0" w:space="0" w:color="auto"/>
          </w:divBdr>
          <w:divsChild>
            <w:div w:id="1722358862">
              <w:marLeft w:val="0"/>
              <w:marRight w:val="0"/>
              <w:marTop w:val="0"/>
              <w:marBottom w:val="0"/>
              <w:divBdr>
                <w:top w:val="none" w:sz="0" w:space="0" w:color="auto"/>
                <w:left w:val="none" w:sz="0" w:space="0" w:color="auto"/>
                <w:bottom w:val="none" w:sz="0" w:space="0" w:color="auto"/>
                <w:right w:val="none" w:sz="0" w:space="0" w:color="auto"/>
              </w:divBdr>
              <w:divsChild>
                <w:div w:id="10744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1090">
      <w:bodyDiv w:val="1"/>
      <w:marLeft w:val="0"/>
      <w:marRight w:val="0"/>
      <w:marTop w:val="0"/>
      <w:marBottom w:val="0"/>
      <w:divBdr>
        <w:top w:val="none" w:sz="0" w:space="0" w:color="auto"/>
        <w:left w:val="none" w:sz="0" w:space="0" w:color="auto"/>
        <w:bottom w:val="none" w:sz="0" w:space="0" w:color="auto"/>
        <w:right w:val="none" w:sz="0" w:space="0" w:color="auto"/>
      </w:divBdr>
    </w:div>
    <w:div w:id="1480465455">
      <w:bodyDiv w:val="1"/>
      <w:marLeft w:val="0"/>
      <w:marRight w:val="0"/>
      <w:marTop w:val="0"/>
      <w:marBottom w:val="0"/>
      <w:divBdr>
        <w:top w:val="none" w:sz="0" w:space="0" w:color="auto"/>
        <w:left w:val="none" w:sz="0" w:space="0" w:color="auto"/>
        <w:bottom w:val="none" w:sz="0" w:space="0" w:color="auto"/>
        <w:right w:val="none" w:sz="0" w:space="0" w:color="auto"/>
      </w:divBdr>
      <w:divsChild>
        <w:div w:id="47507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741647">
      <w:bodyDiv w:val="1"/>
      <w:marLeft w:val="0"/>
      <w:marRight w:val="0"/>
      <w:marTop w:val="0"/>
      <w:marBottom w:val="0"/>
      <w:divBdr>
        <w:top w:val="none" w:sz="0" w:space="0" w:color="auto"/>
        <w:left w:val="none" w:sz="0" w:space="0" w:color="auto"/>
        <w:bottom w:val="none" w:sz="0" w:space="0" w:color="auto"/>
        <w:right w:val="none" w:sz="0" w:space="0" w:color="auto"/>
      </w:divBdr>
    </w:div>
    <w:div w:id="1526671376">
      <w:bodyDiv w:val="1"/>
      <w:marLeft w:val="0"/>
      <w:marRight w:val="0"/>
      <w:marTop w:val="0"/>
      <w:marBottom w:val="0"/>
      <w:divBdr>
        <w:top w:val="none" w:sz="0" w:space="0" w:color="auto"/>
        <w:left w:val="none" w:sz="0" w:space="0" w:color="auto"/>
        <w:bottom w:val="none" w:sz="0" w:space="0" w:color="auto"/>
        <w:right w:val="none" w:sz="0" w:space="0" w:color="auto"/>
      </w:divBdr>
    </w:div>
    <w:div w:id="1535537639">
      <w:bodyDiv w:val="1"/>
      <w:marLeft w:val="0"/>
      <w:marRight w:val="0"/>
      <w:marTop w:val="0"/>
      <w:marBottom w:val="0"/>
      <w:divBdr>
        <w:top w:val="none" w:sz="0" w:space="0" w:color="auto"/>
        <w:left w:val="none" w:sz="0" w:space="0" w:color="auto"/>
        <w:bottom w:val="none" w:sz="0" w:space="0" w:color="auto"/>
        <w:right w:val="none" w:sz="0" w:space="0" w:color="auto"/>
      </w:divBdr>
      <w:divsChild>
        <w:div w:id="179512646">
          <w:marLeft w:val="0"/>
          <w:marRight w:val="0"/>
          <w:marTop w:val="0"/>
          <w:marBottom w:val="0"/>
          <w:divBdr>
            <w:top w:val="none" w:sz="0" w:space="0" w:color="auto"/>
            <w:left w:val="none" w:sz="0" w:space="0" w:color="auto"/>
            <w:bottom w:val="none" w:sz="0" w:space="0" w:color="auto"/>
            <w:right w:val="none" w:sz="0" w:space="0" w:color="auto"/>
          </w:divBdr>
        </w:div>
        <w:div w:id="271984881">
          <w:marLeft w:val="0"/>
          <w:marRight w:val="0"/>
          <w:marTop w:val="0"/>
          <w:marBottom w:val="0"/>
          <w:divBdr>
            <w:top w:val="none" w:sz="0" w:space="0" w:color="auto"/>
            <w:left w:val="none" w:sz="0" w:space="0" w:color="auto"/>
            <w:bottom w:val="none" w:sz="0" w:space="0" w:color="auto"/>
            <w:right w:val="none" w:sz="0" w:space="0" w:color="auto"/>
          </w:divBdr>
        </w:div>
        <w:div w:id="342360846">
          <w:marLeft w:val="0"/>
          <w:marRight w:val="0"/>
          <w:marTop w:val="0"/>
          <w:marBottom w:val="0"/>
          <w:divBdr>
            <w:top w:val="none" w:sz="0" w:space="0" w:color="auto"/>
            <w:left w:val="none" w:sz="0" w:space="0" w:color="auto"/>
            <w:bottom w:val="none" w:sz="0" w:space="0" w:color="auto"/>
            <w:right w:val="none" w:sz="0" w:space="0" w:color="auto"/>
          </w:divBdr>
        </w:div>
        <w:div w:id="767582581">
          <w:marLeft w:val="0"/>
          <w:marRight w:val="0"/>
          <w:marTop w:val="0"/>
          <w:marBottom w:val="0"/>
          <w:divBdr>
            <w:top w:val="none" w:sz="0" w:space="0" w:color="auto"/>
            <w:left w:val="none" w:sz="0" w:space="0" w:color="auto"/>
            <w:bottom w:val="none" w:sz="0" w:space="0" w:color="auto"/>
            <w:right w:val="none" w:sz="0" w:space="0" w:color="auto"/>
          </w:divBdr>
        </w:div>
        <w:div w:id="931746652">
          <w:marLeft w:val="0"/>
          <w:marRight w:val="0"/>
          <w:marTop w:val="0"/>
          <w:marBottom w:val="0"/>
          <w:divBdr>
            <w:top w:val="none" w:sz="0" w:space="0" w:color="auto"/>
            <w:left w:val="none" w:sz="0" w:space="0" w:color="auto"/>
            <w:bottom w:val="none" w:sz="0" w:space="0" w:color="auto"/>
            <w:right w:val="none" w:sz="0" w:space="0" w:color="auto"/>
          </w:divBdr>
        </w:div>
        <w:div w:id="1930113613">
          <w:marLeft w:val="0"/>
          <w:marRight w:val="0"/>
          <w:marTop w:val="0"/>
          <w:marBottom w:val="0"/>
          <w:divBdr>
            <w:top w:val="none" w:sz="0" w:space="0" w:color="auto"/>
            <w:left w:val="none" w:sz="0" w:space="0" w:color="auto"/>
            <w:bottom w:val="none" w:sz="0" w:space="0" w:color="auto"/>
            <w:right w:val="none" w:sz="0" w:space="0" w:color="auto"/>
          </w:divBdr>
        </w:div>
      </w:divsChild>
    </w:div>
    <w:div w:id="1559438026">
      <w:bodyDiv w:val="1"/>
      <w:marLeft w:val="0"/>
      <w:marRight w:val="0"/>
      <w:marTop w:val="0"/>
      <w:marBottom w:val="0"/>
      <w:divBdr>
        <w:top w:val="none" w:sz="0" w:space="0" w:color="auto"/>
        <w:left w:val="none" w:sz="0" w:space="0" w:color="auto"/>
        <w:bottom w:val="none" w:sz="0" w:space="0" w:color="auto"/>
        <w:right w:val="none" w:sz="0" w:space="0" w:color="auto"/>
      </w:divBdr>
    </w:div>
    <w:div w:id="1573931404">
      <w:bodyDiv w:val="1"/>
      <w:marLeft w:val="0"/>
      <w:marRight w:val="0"/>
      <w:marTop w:val="0"/>
      <w:marBottom w:val="0"/>
      <w:divBdr>
        <w:top w:val="none" w:sz="0" w:space="0" w:color="auto"/>
        <w:left w:val="none" w:sz="0" w:space="0" w:color="auto"/>
        <w:bottom w:val="none" w:sz="0" w:space="0" w:color="auto"/>
        <w:right w:val="none" w:sz="0" w:space="0" w:color="auto"/>
      </w:divBdr>
    </w:div>
    <w:div w:id="1586186338">
      <w:bodyDiv w:val="1"/>
      <w:marLeft w:val="0"/>
      <w:marRight w:val="0"/>
      <w:marTop w:val="0"/>
      <w:marBottom w:val="0"/>
      <w:divBdr>
        <w:top w:val="none" w:sz="0" w:space="0" w:color="auto"/>
        <w:left w:val="none" w:sz="0" w:space="0" w:color="auto"/>
        <w:bottom w:val="none" w:sz="0" w:space="0" w:color="auto"/>
        <w:right w:val="none" w:sz="0" w:space="0" w:color="auto"/>
      </w:divBdr>
      <w:divsChild>
        <w:div w:id="125004123">
          <w:marLeft w:val="0"/>
          <w:marRight w:val="0"/>
          <w:marTop w:val="0"/>
          <w:marBottom w:val="0"/>
          <w:divBdr>
            <w:top w:val="none" w:sz="0" w:space="0" w:color="auto"/>
            <w:left w:val="none" w:sz="0" w:space="0" w:color="auto"/>
            <w:bottom w:val="none" w:sz="0" w:space="0" w:color="auto"/>
            <w:right w:val="none" w:sz="0" w:space="0" w:color="auto"/>
          </w:divBdr>
          <w:divsChild>
            <w:div w:id="1356034159">
              <w:marLeft w:val="0"/>
              <w:marRight w:val="0"/>
              <w:marTop w:val="0"/>
              <w:marBottom w:val="0"/>
              <w:divBdr>
                <w:top w:val="none" w:sz="0" w:space="0" w:color="auto"/>
                <w:left w:val="none" w:sz="0" w:space="0" w:color="auto"/>
                <w:bottom w:val="none" w:sz="0" w:space="0" w:color="auto"/>
                <w:right w:val="none" w:sz="0" w:space="0" w:color="auto"/>
              </w:divBdr>
              <w:divsChild>
                <w:div w:id="16026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2253">
      <w:bodyDiv w:val="1"/>
      <w:marLeft w:val="0"/>
      <w:marRight w:val="0"/>
      <w:marTop w:val="0"/>
      <w:marBottom w:val="0"/>
      <w:divBdr>
        <w:top w:val="none" w:sz="0" w:space="0" w:color="auto"/>
        <w:left w:val="none" w:sz="0" w:space="0" w:color="auto"/>
        <w:bottom w:val="none" w:sz="0" w:space="0" w:color="auto"/>
        <w:right w:val="none" w:sz="0" w:space="0" w:color="auto"/>
      </w:divBdr>
    </w:div>
    <w:div w:id="1632251780">
      <w:bodyDiv w:val="1"/>
      <w:marLeft w:val="0"/>
      <w:marRight w:val="0"/>
      <w:marTop w:val="0"/>
      <w:marBottom w:val="0"/>
      <w:divBdr>
        <w:top w:val="none" w:sz="0" w:space="0" w:color="auto"/>
        <w:left w:val="none" w:sz="0" w:space="0" w:color="auto"/>
        <w:bottom w:val="none" w:sz="0" w:space="0" w:color="auto"/>
        <w:right w:val="none" w:sz="0" w:space="0" w:color="auto"/>
      </w:divBdr>
      <w:divsChild>
        <w:div w:id="1366640751">
          <w:marLeft w:val="0"/>
          <w:marRight w:val="0"/>
          <w:marTop w:val="0"/>
          <w:marBottom w:val="0"/>
          <w:divBdr>
            <w:top w:val="none" w:sz="0" w:space="0" w:color="auto"/>
            <w:left w:val="none" w:sz="0" w:space="0" w:color="auto"/>
            <w:bottom w:val="none" w:sz="0" w:space="0" w:color="auto"/>
            <w:right w:val="none" w:sz="0" w:space="0" w:color="auto"/>
          </w:divBdr>
        </w:div>
      </w:divsChild>
    </w:div>
    <w:div w:id="1705712826">
      <w:bodyDiv w:val="1"/>
      <w:marLeft w:val="0"/>
      <w:marRight w:val="0"/>
      <w:marTop w:val="0"/>
      <w:marBottom w:val="0"/>
      <w:divBdr>
        <w:top w:val="none" w:sz="0" w:space="0" w:color="auto"/>
        <w:left w:val="none" w:sz="0" w:space="0" w:color="auto"/>
        <w:bottom w:val="none" w:sz="0" w:space="0" w:color="auto"/>
        <w:right w:val="none" w:sz="0" w:space="0" w:color="auto"/>
      </w:divBdr>
      <w:divsChild>
        <w:div w:id="1805613084">
          <w:marLeft w:val="0"/>
          <w:marRight w:val="0"/>
          <w:marTop w:val="0"/>
          <w:marBottom w:val="0"/>
          <w:divBdr>
            <w:top w:val="none" w:sz="0" w:space="0" w:color="auto"/>
            <w:left w:val="none" w:sz="0" w:space="0" w:color="auto"/>
            <w:bottom w:val="none" w:sz="0" w:space="0" w:color="auto"/>
            <w:right w:val="none" w:sz="0" w:space="0" w:color="auto"/>
          </w:divBdr>
          <w:divsChild>
            <w:div w:id="1228496759">
              <w:marLeft w:val="0"/>
              <w:marRight w:val="0"/>
              <w:marTop w:val="0"/>
              <w:marBottom w:val="0"/>
              <w:divBdr>
                <w:top w:val="none" w:sz="0" w:space="0" w:color="auto"/>
                <w:left w:val="none" w:sz="0" w:space="0" w:color="auto"/>
                <w:bottom w:val="none" w:sz="0" w:space="0" w:color="auto"/>
                <w:right w:val="none" w:sz="0" w:space="0" w:color="auto"/>
              </w:divBdr>
              <w:divsChild>
                <w:div w:id="12628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3472">
      <w:bodyDiv w:val="1"/>
      <w:marLeft w:val="0"/>
      <w:marRight w:val="0"/>
      <w:marTop w:val="0"/>
      <w:marBottom w:val="0"/>
      <w:divBdr>
        <w:top w:val="none" w:sz="0" w:space="0" w:color="auto"/>
        <w:left w:val="none" w:sz="0" w:space="0" w:color="auto"/>
        <w:bottom w:val="none" w:sz="0" w:space="0" w:color="auto"/>
        <w:right w:val="none" w:sz="0" w:space="0" w:color="auto"/>
      </w:divBdr>
    </w:div>
    <w:div w:id="1713534328">
      <w:bodyDiv w:val="1"/>
      <w:marLeft w:val="0"/>
      <w:marRight w:val="0"/>
      <w:marTop w:val="0"/>
      <w:marBottom w:val="0"/>
      <w:divBdr>
        <w:top w:val="none" w:sz="0" w:space="0" w:color="auto"/>
        <w:left w:val="none" w:sz="0" w:space="0" w:color="auto"/>
        <w:bottom w:val="none" w:sz="0" w:space="0" w:color="auto"/>
        <w:right w:val="none" w:sz="0" w:space="0" w:color="auto"/>
      </w:divBdr>
      <w:divsChild>
        <w:div w:id="1678532200">
          <w:marLeft w:val="0"/>
          <w:marRight w:val="0"/>
          <w:marTop w:val="0"/>
          <w:marBottom w:val="0"/>
          <w:divBdr>
            <w:top w:val="none" w:sz="0" w:space="0" w:color="auto"/>
            <w:left w:val="none" w:sz="0" w:space="0" w:color="auto"/>
            <w:bottom w:val="none" w:sz="0" w:space="0" w:color="auto"/>
            <w:right w:val="none" w:sz="0" w:space="0" w:color="auto"/>
          </w:divBdr>
          <w:divsChild>
            <w:div w:id="1811744461">
              <w:marLeft w:val="0"/>
              <w:marRight w:val="0"/>
              <w:marTop w:val="0"/>
              <w:marBottom w:val="0"/>
              <w:divBdr>
                <w:top w:val="none" w:sz="0" w:space="0" w:color="auto"/>
                <w:left w:val="none" w:sz="0" w:space="0" w:color="auto"/>
                <w:bottom w:val="none" w:sz="0" w:space="0" w:color="auto"/>
                <w:right w:val="none" w:sz="0" w:space="0" w:color="auto"/>
              </w:divBdr>
              <w:divsChild>
                <w:div w:id="14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30239">
      <w:bodyDiv w:val="1"/>
      <w:marLeft w:val="0"/>
      <w:marRight w:val="0"/>
      <w:marTop w:val="0"/>
      <w:marBottom w:val="0"/>
      <w:divBdr>
        <w:top w:val="none" w:sz="0" w:space="0" w:color="auto"/>
        <w:left w:val="none" w:sz="0" w:space="0" w:color="auto"/>
        <w:bottom w:val="none" w:sz="0" w:space="0" w:color="auto"/>
        <w:right w:val="none" w:sz="0" w:space="0" w:color="auto"/>
      </w:divBdr>
      <w:divsChild>
        <w:div w:id="914706113">
          <w:marLeft w:val="0"/>
          <w:marRight w:val="0"/>
          <w:marTop w:val="0"/>
          <w:marBottom w:val="0"/>
          <w:divBdr>
            <w:top w:val="none" w:sz="0" w:space="0" w:color="auto"/>
            <w:left w:val="none" w:sz="0" w:space="0" w:color="auto"/>
            <w:bottom w:val="none" w:sz="0" w:space="0" w:color="auto"/>
            <w:right w:val="none" w:sz="0" w:space="0" w:color="auto"/>
          </w:divBdr>
          <w:divsChild>
            <w:div w:id="1813062910">
              <w:marLeft w:val="0"/>
              <w:marRight w:val="0"/>
              <w:marTop w:val="0"/>
              <w:marBottom w:val="0"/>
              <w:divBdr>
                <w:top w:val="none" w:sz="0" w:space="0" w:color="auto"/>
                <w:left w:val="none" w:sz="0" w:space="0" w:color="auto"/>
                <w:bottom w:val="none" w:sz="0" w:space="0" w:color="auto"/>
                <w:right w:val="none" w:sz="0" w:space="0" w:color="auto"/>
              </w:divBdr>
              <w:divsChild>
                <w:div w:id="9640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491">
      <w:bodyDiv w:val="1"/>
      <w:marLeft w:val="0"/>
      <w:marRight w:val="0"/>
      <w:marTop w:val="0"/>
      <w:marBottom w:val="0"/>
      <w:divBdr>
        <w:top w:val="none" w:sz="0" w:space="0" w:color="auto"/>
        <w:left w:val="none" w:sz="0" w:space="0" w:color="auto"/>
        <w:bottom w:val="none" w:sz="0" w:space="0" w:color="auto"/>
        <w:right w:val="none" w:sz="0" w:space="0" w:color="auto"/>
      </w:divBdr>
    </w:div>
    <w:div w:id="1762098100">
      <w:bodyDiv w:val="1"/>
      <w:marLeft w:val="0"/>
      <w:marRight w:val="0"/>
      <w:marTop w:val="0"/>
      <w:marBottom w:val="0"/>
      <w:divBdr>
        <w:top w:val="none" w:sz="0" w:space="0" w:color="auto"/>
        <w:left w:val="none" w:sz="0" w:space="0" w:color="auto"/>
        <w:bottom w:val="none" w:sz="0" w:space="0" w:color="auto"/>
        <w:right w:val="none" w:sz="0" w:space="0" w:color="auto"/>
      </w:divBdr>
    </w:div>
    <w:div w:id="1767923819">
      <w:bodyDiv w:val="1"/>
      <w:marLeft w:val="0"/>
      <w:marRight w:val="0"/>
      <w:marTop w:val="0"/>
      <w:marBottom w:val="0"/>
      <w:divBdr>
        <w:top w:val="none" w:sz="0" w:space="0" w:color="auto"/>
        <w:left w:val="none" w:sz="0" w:space="0" w:color="auto"/>
        <w:bottom w:val="none" w:sz="0" w:space="0" w:color="auto"/>
        <w:right w:val="none" w:sz="0" w:space="0" w:color="auto"/>
      </w:divBdr>
    </w:div>
    <w:div w:id="1769887604">
      <w:bodyDiv w:val="1"/>
      <w:marLeft w:val="0"/>
      <w:marRight w:val="0"/>
      <w:marTop w:val="0"/>
      <w:marBottom w:val="0"/>
      <w:divBdr>
        <w:top w:val="none" w:sz="0" w:space="0" w:color="auto"/>
        <w:left w:val="none" w:sz="0" w:space="0" w:color="auto"/>
        <w:bottom w:val="none" w:sz="0" w:space="0" w:color="auto"/>
        <w:right w:val="none" w:sz="0" w:space="0" w:color="auto"/>
      </w:divBdr>
      <w:divsChild>
        <w:div w:id="365453471">
          <w:marLeft w:val="0"/>
          <w:marRight w:val="0"/>
          <w:marTop w:val="0"/>
          <w:marBottom w:val="0"/>
          <w:divBdr>
            <w:top w:val="none" w:sz="0" w:space="0" w:color="auto"/>
            <w:left w:val="none" w:sz="0" w:space="0" w:color="auto"/>
            <w:bottom w:val="none" w:sz="0" w:space="0" w:color="auto"/>
            <w:right w:val="none" w:sz="0" w:space="0" w:color="auto"/>
          </w:divBdr>
          <w:divsChild>
            <w:div w:id="259141686">
              <w:marLeft w:val="0"/>
              <w:marRight w:val="0"/>
              <w:marTop w:val="0"/>
              <w:marBottom w:val="0"/>
              <w:divBdr>
                <w:top w:val="none" w:sz="0" w:space="0" w:color="auto"/>
                <w:left w:val="none" w:sz="0" w:space="0" w:color="auto"/>
                <w:bottom w:val="none" w:sz="0" w:space="0" w:color="auto"/>
                <w:right w:val="none" w:sz="0" w:space="0" w:color="auto"/>
              </w:divBdr>
              <w:divsChild>
                <w:div w:id="1236160795">
                  <w:marLeft w:val="0"/>
                  <w:marRight w:val="0"/>
                  <w:marTop w:val="0"/>
                  <w:marBottom w:val="0"/>
                  <w:divBdr>
                    <w:top w:val="none" w:sz="0" w:space="0" w:color="auto"/>
                    <w:left w:val="none" w:sz="0" w:space="0" w:color="auto"/>
                    <w:bottom w:val="none" w:sz="0" w:space="0" w:color="auto"/>
                    <w:right w:val="none" w:sz="0" w:space="0" w:color="auto"/>
                  </w:divBdr>
                  <w:divsChild>
                    <w:div w:id="7899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65799">
      <w:bodyDiv w:val="1"/>
      <w:marLeft w:val="0"/>
      <w:marRight w:val="0"/>
      <w:marTop w:val="0"/>
      <w:marBottom w:val="0"/>
      <w:divBdr>
        <w:top w:val="none" w:sz="0" w:space="0" w:color="auto"/>
        <w:left w:val="none" w:sz="0" w:space="0" w:color="auto"/>
        <w:bottom w:val="none" w:sz="0" w:space="0" w:color="auto"/>
        <w:right w:val="none" w:sz="0" w:space="0" w:color="auto"/>
      </w:divBdr>
    </w:div>
    <w:div w:id="1781991397">
      <w:bodyDiv w:val="1"/>
      <w:marLeft w:val="0"/>
      <w:marRight w:val="0"/>
      <w:marTop w:val="0"/>
      <w:marBottom w:val="0"/>
      <w:divBdr>
        <w:top w:val="none" w:sz="0" w:space="0" w:color="auto"/>
        <w:left w:val="none" w:sz="0" w:space="0" w:color="auto"/>
        <w:bottom w:val="none" w:sz="0" w:space="0" w:color="auto"/>
        <w:right w:val="none" w:sz="0" w:space="0" w:color="auto"/>
      </w:divBdr>
    </w:div>
    <w:div w:id="1807162669">
      <w:bodyDiv w:val="1"/>
      <w:marLeft w:val="0"/>
      <w:marRight w:val="0"/>
      <w:marTop w:val="0"/>
      <w:marBottom w:val="0"/>
      <w:divBdr>
        <w:top w:val="none" w:sz="0" w:space="0" w:color="auto"/>
        <w:left w:val="none" w:sz="0" w:space="0" w:color="auto"/>
        <w:bottom w:val="none" w:sz="0" w:space="0" w:color="auto"/>
        <w:right w:val="none" w:sz="0" w:space="0" w:color="auto"/>
      </w:divBdr>
      <w:divsChild>
        <w:div w:id="830562677">
          <w:marLeft w:val="0"/>
          <w:marRight w:val="0"/>
          <w:marTop w:val="0"/>
          <w:marBottom w:val="0"/>
          <w:divBdr>
            <w:top w:val="none" w:sz="0" w:space="0" w:color="auto"/>
            <w:left w:val="none" w:sz="0" w:space="0" w:color="auto"/>
            <w:bottom w:val="none" w:sz="0" w:space="0" w:color="auto"/>
            <w:right w:val="none" w:sz="0" w:space="0" w:color="auto"/>
          </w:divBdr>
          <w:divsChild>
            <w:div w:id="1597209149">
              <w:marLeft w:val="0"/>
              <w:marRight w:val="0"/>
              <w:marTop w:val="0"/>
              <w:marBottom w:val="0"/>
              <w:divBdr>
                <w:top w:val="none" w:sz="0" w:space="0" w:color="auto"/>
                <w:left w:val="none" w:sz="0" w:space="0" w:color="auto"/>
                <w:bottom w:val="none" w:sz="0" w:space="0" w:color="auto"/>
                <w:right w:val="none" w:sz="0" w:space="0" w:color="auto"/>
              </w:divBdr>
              <w:divsChild>
                <w:div w:id="19114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716">
      <w:bodyDiv w:val="1"/>
      <w:marLeft w:val="0"/>
      <w:marRight w:val="0"/>
      <w:marTop w:val="0"/>
      <w:marBottom w:val="0"/>
      <w:divBdr>
        <w:top w:val="none" w:sz="0" w:space="0" w:color="auto"/>
        <w:left w:val="none" w:sz="0" w:space="0" w:color="auto"/>
        <w:bottom w:val="none" w:sz="0" w:space="0" w:color="auto"/>
        <w:right w:val="none" w:sz="0" w:space="0" w:color="auto"/>
      </w:divBdr>
    </w:div>
    <w:div w:id="1852183972">
      <w:bodyDiv w:val="1"/>
      <w:marLeft w:val="0"/>
      <w:marRight w:val="0"/>
      <w:marTop w:val="0"/>
      <w:marBottom w:val="0"/>
      <w:divBdr>
        <w:top w:val="none" w:sz="0" w:space="0" w:color="auto"/>
        <w:left w:val="none" w:sz="0" w:space="0" w:color="auto"/>
        <w:bottom w:val="none" w:sz="0" w:space="0" w:color="auto"/>
        <w:right w:val="none" w:sz="0" w:space="0" w:color="auto"/>
      </w:divBdr>
    </w:div>
    <w:div w:id="1857769238">
      <w:bodyDiv w:val="1"/>
      <w:marLeft w:val="0"/>
      <w:marRight w:val="0"/>
      <w:marTop w:val="0"/>
      <w:marBottom w:val="0"/>
      <w:divBdr>
        <w:top w:val="none" w:sz="0" w:space="0" w:color="auto"/>
        <w:left w:val="none" w:sz="0" w:space="0" w:color="auto"/>
        <w:bottom w:val="none" w:sz="0" w:space="0" w:color="auto"/>
        <w:right w:val="none" w:sz="0" w:space="0" w:color="auto"/>
      </w:divBdr>
      <w:divsChild>
        <w:div w:id="1768499319">
          <w:marLeft w:val="0"/>
          <w:marRight w:val="0"/>
          <w:marTop w:val="0"/>
          <w:marBottom w:val="0"/>
          <w:divBdr>
            <w:top w:val="none" w:sz="0" w:space="0" w:color="auto"/>
            <w:left w:val="none" w:sz="0" w:space="0" w:color="auto"/>
            <w:bottom w:val="none" w:sz="0" w:space="0" w:color="auto"/>
            <w:right w:val="none" w:sz="0" w:space="0" w:color="auto"/>
          </w:divBdr>
          <w:divsChild>
            <w:div w:id="1172065014">
              <w:marLeft w:val="0"/>
              <w:marRight w:val="0"/>
              <w:marTop w:val="0"/>
              <w:marBottom w:val="0"/>
              <w:divBdr>
                <w:top w:val="none" w:sz="0" w:space="0" w:color="auto"/>
                <w:left w:val="none" w:sz="0" w:space="0" w:color="auto"/>
                <w:bottom w:val="none" w:sz="0" w:space="0" w:color="auto"/>
                <w:right w:val="none" w:sz="0" w:space="0" w:color="auto"/>
              </w:divBdr>
              <w:divsChild>
                <w:div w:id="196014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65188">
      <w:bodyDiv w:val="1"/>
      <w:marLeft w:val="0"/>
      <w:marRight w:val="0"/>
      <w:marTop w:val="0"/>
      <w:marBottom w:val="0"/>
      <w:divBdr>
        <w:top w:val="none" w:sz="0" w:space="0" w:color="auto"/>
        <w:left w:val="none" w:sz="0" w:space="0" w:color="auto"/>
        <w:bottom w:val="none" w:sz="0" w:space="0" w:color="auto"/>
        <w:right w:val="none" w:sz="0" w:space="0" w:color="auto"/>
      </w:divBdr>
    </w:div>
    <w:div w:id="1875190239">
      <w:bodyDiv w:val="1"/>
      <w:marLeft w:val="0"/>
      <w:marRight w:val="0"/>
      <w:marTop w:val="0"/>
      <w:marBottom w:val="0"/>
      <w:divBdr>
        <w:top w:val="none" w:sz="0" w:space="0" w:color="auto"/>
        <w:left w:val="none" w:sz="0" w:space="0" w:color="auto"/>
        <w:bottom w:val="none" w:sz="0" w:space="0" w:color="auto"/>
        <w:right w:val="none" w:sz="0" w:space="0" w:color="auto"/>
      </w:divBdr>
      <w:divsChild>
        <w:div w:id="245968578">
          <w:marLeft w:val="0"/>
          <w:marRight w:val="0"/>
          <w:marTop w:val="0"/>
          <w:marBottom w:val="0"/>
          <w:divBdr>
            <w:top w:val="none" w:sz="0" w:space="0" w:color="auto"/>
            <w:left w:val="none" w:sz="0" w:space="0" w:color="auto"/>
            <w:bottom w:val="none" w:sz="0" w:space="0" w:color="auto"/>
            <w:right w:val="none" w:sz="0" w:space="0" w:color="auto"/>
          </w:divBdr>
          <w:divsChild>
            <w:div w:id="6049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3558">
      <w:bodyDiv w:val="1"/>
      <w:marLeft w:val="0"/>
      <w:marRight w:val="0"/>
      <w:marTop w:val="0"/>
      <w:marBottom w:val="0"/>
      <w:divBdr>
        <w:top w:val="none" w:sz="0" w:space="0" w:color="auto"/>
        <w:left w:val="none" w:sz="0" w:space="0" w:color="auto"/>
        <w:bottom w:val="none" w:sz="0" w:space="0" w:color="auto"/>
        <w:right w:val="none" w:sz="0" w:space="0" w:color="auto"/>
      </w:divBdr>
      <w:divsChild>
        <w:div w:id="549996358">
          <w:marLeft w:val="0"/>
          <w:marRight w:val="0"/>
          <w:marTop w:val="0"/>
          <w:marBottom w:val="0"/>
          <w:divBdr>
            <w:top w:val="none" w:sz="0" w:space="0" w:color="auto"/>
            <w:left w:val="none" w:sz="0" w:space="0" w:color="auto"/>
            <w:bottom w:val="none" w:sz="0" w:space="0" w:color="auto"/>
            <w:right w:val="none" w:sz="0" w:space="0" w:color="auto"/>
          </w:divBdr>
        </w:div>
        <w:div w:id="1976598094">
          <w:marLeft w:val="0"/>
          <w:marRight w:val="0"/>
          <w:marTop w:val="0"/>
          <w:marBottom w:val="0"/>
          <w:divBdr>
            <w:top w:val="none" w:sz="0" w:space="0" w:color="auto"/>
            <w:left w:val="none" w:sz="0" w:space="0" w:color="auto"/>
            <w:bottom w:val="none" w:sz="0" w:space="0" w:color="auto"/>
            <w:right w:val="none" w:sz="0" w:space="0" w:color="auto"/>
          </w:divBdr>
        </w:div>
      </w:divsChild>
    </w:div>
    <w:div w:id="1899895550">
      <w:bodyDiv w:val="1"/>
      <w:marLeft w:val="0"/>
      <w:marRight w:val="0"/>
      <w:marTop w:val="0"/>
      <w:marBottom w:val="0"/>
      <w:divBdr>
        <w:top w:val="none" w:sz="0" w:space="0" w:color="auto"/>
        <w:left w:val="none" w:sz="0" w:space="0" w:color="auto"/>
        <w:bottom w:val="none" w:sz="0" w:space="0" w:color="auto"/>
        <w:right w:val="none" w:sz="0" w:space="0" w:color="auto"/>
      </w:divBdr>
      <w:divsChild>
        <w:div w:id="1405296619">
          <w:marLeft w:val="0"/>
          <w:marRight w:val="0"/>
          <w:marTop w:val="0"/>
          <w:marBottom w:val="0"/>
          <w:divBdr>
            <w:top w:val="none" w:sz="0" w:space="0" w:color="auto"/>
            <w:left w:val="none" w:sz="0" w:space="0" w:color="auto"/>
            <w:bottom w:val="none" w:sz="0" w:space="0" w:color="auto"/>
            <w:right w:val="none" w:sz="0" w:space="0" w:color="auto"/>
          </w:divBdr>
          <w:divsChild>
            <w:div w:id="274020513">
              <w:marLeft w:val="0"/>
              <w:marRight w:val="0"/>
              <w:marTop w:val="0"/>
              <w:marBottom w:val="0"/>
              <w:divBdr>
                <w:top w:val="none" w:sz="0" w:space="0" w:color="auto"/>
                <w:left w:val="none" w:sz="0" w:space="0" w:color="auto"/>
                <w:bottom w:val="none" w:sz="0" w:space="0" w:color="auto"/>
                <w:right w:val="none" w:sz="0" w:space="0" w:color="auto"/>
              </w:divBdr>
              <w:divsChild>
                <w:div w:id="1508902452">
                  <w:marLeft w:val="0"/>
                  <w:marRight w:val="0"/>
                  <w:marTop w:val="0"/>
                  <w:marBottom w:val="0"/>
                  <w:divBdr>
                    <w:top w:val="none" w:sz="0" w:space="0" w:color="auto"/>
                    <w:left w:val="none" w:sz="0" w:space="0" w:color="auto"/>
                    <w:bottom w:val="none" w:sz="0" w:space="0" w:color="auto"/>
                    <w:right w:val="none" w:sz="0" w:space="0" w:color="auto"/>
                  </w:divBdr>
                </w:div>
              </w:divsChild>
            </w:div>
            <w:div w:id="725450323">
              <w:marLeft w:val="0"/>
              <w:marRight w:val="0"/>
              <w:marTop w:val="0"/>
              <w:marBottom w:val="0"/>
              <w:divBdr>
                <w:top w:val="none" w:sz="0" w:space="0" w:color="auto"/>
                <w:left w:val="none" w:sz="0" w:space="0" w:color="auto"/>
                <w:bottom w:val="none" w:sz="0" w:space="0" w:color="auto"/>
                <w:right w:val="none" w:sz="0" w:space="0" w:color="auto"/>
              </w:divBdr>
              <w:divsChild>
                <w:div w:id="6053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5638">
          <w:marLeft w:val="0"/>
          <w:marRight w:val="0"/>
          <w:marTop w:val="0"/>
          <w:marBottom w:val="0"/>
          <w:divBdr>
            <w:top w:val="none" w:sz="0" w:space="0" w:color="auto"/>
            <w:left w:val="none" w:sz="0" w:space="0" w:color="auto"/>
            <w:bottom w:val="none" w:sz="0" w:space="0" w:color="auto"/>
            <w:right w:val="none" w:sz="0" w:space="0" w:color="auto"/>
          </w:divBdr>
          <w:divsChild>
            <w:div w:id="448671243">
              <w:marLeft w:val="0"/>
              <w:marRight w:val="0"/>
              <w:marTop w:val="0"/>
              <w:marBottom w:val="0"/>
              <w:divBdr>
                <w:top w:val="none" w:sz="0" w:space="0" w:color="auto"/>
                <w:left w:val="none" w:sz="0" w:space="0" w:color="auto"/>
                <w:bottom w:val="none" w:sz="0" w:space="0" w:color="auto"/>
                <w:right w:val="none" w:sz="0" w:space="0" w:color="auto"/>
              </w:divBdr>
              <w:divsChild>
                <w:div w:id="21338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7053">
      <w:bodyDiv w:val="1"/>
      <w:marLeft w:val="0"/>
      <w:marRight w:val="0"/>
      <w:marTop w:val="0"/>
      <w:marBottom w:val="0"/>
      <w:divBdr>
        <w:top w:val="none" w:sz="0" w:space="0" w:color="auto"/>
        <w:left w:val="none" w:sz="0" w:space="0" w:color="auto"/>
        <w:bottom w:val="none" w:sz="0" w:space="0" w:color="auto"/>
        <w:right w:val="none" w:sz="0" w:space="0" w:color="auto"/>
      </w:divBdr>
      <w:divsChild>
        <w:div w:id="1554778593">
          <w:marLeft w:val="0"/>
          <w:marRight w:val="0"/>
          <w:marTop w:val="0"/>
          <w:marBottom w:val="0"/>
          <w:divBdr>
            <w:top w:val="none" w:sz="0" w:space="0" w:color="auto"/>
            <w:left w:val="none" w:sz="0" w:space="0" w:color="auto"/>
            <w:bottom w:val="none" w:sz="0" w:space="0" w:color="auto"/>
            <w:right w:val="none" w:sz="0" w:space="0" w:color="auto"/>
          </w:divBdr>
          <w:divsChild>
            <w:div w:id="669064607">
              <w:marLeft w:val="0"/>
              <w:marRight w:val="0"/>
              <w:marTop w:val="0"/>
              <w:marBottom w:val="0"/>
              <w:divBdr>
                <w:top w:val="none" w:sz="0" w:space="0" w:color="auto"/>
                <w:left w:val="none" w:sz="0" w:space="0" w:color="auto"/>
                <w:bottom w:val="none" w:sz="0" w:space="0" w:color="auto"/>
                <w:right w:val="none" w:sz="0" w:space="0" w:color="auto"/>
              </w:divBdr>
              <w:divsChild>
                <w:div w:id="1869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5414">
      <w:bodyDiv w:val="1"/>
      <w:marLeft w:val="0"/>
      <w:marRight w:val="0"/>
      <w:marTop w:val="0"/>
      <w:marBottom w:val="0"/>
      <w:divBdr>
        <w:top w:val="none" w:sz="0" w:space="0" w:color="auto"/>
        <w:left w:val="none" w:sz="0" w:space="0" w:color="auto"/>
        <w:bottom w:val="none" w:sz="0" w:space="0" w:color="auto"/>
        <w:right w:val="none" w:sz="0" w:space="0" w:color="auto"/>
      </w:divBdr>
      <w:divsChild>
        <w:div w:id="646856311">
          <w:marLeft w:val="0"/>
          <w:marRight w:val="0"/>
          <w:marTop w:val="0"/>
          <w:marBottom w:val="0"/>
          <w:divBdr>
            <w:top w:val="none" w:sz="0" w:space="0" w:color="auto"/>
            <w:left w:val="none" w:sz="0" w:space="0" w:color="auto"/>
            <w:bottom w:val="none" w:sz="0" w:space="0" w:color="auto"/>
            <w:right w:val="none" w:sz="0" w:space="0" w:color="auto"/>
          </w:divBdr>
        </w:div>
        <w:div w:id="1350252106">
          <w:marLeft w:val="0"/>
          <w:marRight w:val="0"/>
          <w:marTop w:val="0"/>
          <w:marBottom w:val="0"/>
          <w:divBdr>
            <w:top w:val="none" w:sz="0" w:space="0" w:color="auto"/>
            <w:left w:val="none" w:sz="0" w:space="0" w:color="auto"/>
            <w:bottom w:val="none" w:sz="0" w:space="0" w:color="auto"/>
            <w:right w:val="none" w:sz="0" w:space="0" w:color="auto"/>
          </w:divBdr>
        </w:div>
        <w:div w:id="1549759632">
          <w:marLeft w:val="0"/>
          <w:marRight w:val="0"/>
          <w:marTop w:val="0"/>
          <w:marBottom w:val="0"/>
          <w:divBdr>
            <w:top w:val="none" w:sz="0" w:space="0" w:color="auto"/>
            <w:left w:val="none" w:sz="0" w:space="0" w:color="auto"/>
            <w:bottom w:val="none" w:sz="0" w:space="0" w:color="auto"/>
            <w:right w:val="none" w:sz="0" w:space="0" w:color="auto"/>
          </w:divBdr>
        </w:div>
        <w:div w:id="1858156165">
          <w:marLeft w:val="0"/>
          <w:marRight w:val="0"/>
          <w:marTop w:val="0"/>
          <w:marBottom w:val="0"/>
          <w:divBdr>
            <w:top w:val="none" w:sz="0" w:space="0" w:color="auto"/>
            <w:left w:val="none" w:sz="0" w:space="0" w:color="auto"/>
            <w:bottom w:val="none" w:sz="0" w:space="0" w:color="auto"/>
            <w:right w:val="none" w:sz="0" w:space="0" w:color="auto"/>
          </w:divBdr>
        </w:div>
      </w:divsChild>
    </w:div>
    <w:div w:id="1989627859">
      <w:bodyDiv w:val="1"/>
      <w:marLeft w:val="0"/>
      <w:marRight w:val="0"/>
      <w:marTop w:val="0"/>
      <w:marBottom w:val="0"/>
      <w:divBdr>
        <w:top w:val="none" w:sz="0" w:space="0" w:color="auto"/>
        <w:left w:val="none" w:sz="0" w:space="0" w:color="auto"/>
        <w:bottom w:val="none" w:sz="0" w:space="0" w:color="auto"/>
        <w:right w:val="none" w:sz="0" w:space="0" w:color="auto"/>
      </w:divBdr>
    </w:div>
    <w:div w:id="2010450163">
      <w:bodyDiv w:val="1"/>
      <w:marLeft w:val="0"/>
      <w:marRight w:val="0"/>
      <w:marTop w:val="0"/>
      <w:marBottom w:val="0"/>
      <w:divBdr>
        <w:top w:val="none" w:sz="0" w:space="0" w:color="auto"/>
        <w:left w:val="none" w:sz="0" w:space="0" w:color="auto"/>
        <w:bottom w:val="none" w:sz="0" w:space="0" w:color="auto"/>
        <w:right w:val="none" w:sz="0" w:space="0" w:color="auto"/>
      </w:divBdr>
    </w:div>
    <w:div w:id="2011524825">
      <w:bodyDiv w:val="1"/>
      <w:marLeft w:val="0"/>
      <w:marRight w:val="0"/>
      <w:marTop w:val="0"/>
      <w:marBottom w:val="0"/>
      <w:divBdr>
        <w:top w:val="none" w:sz="0" w:space="0" w:color="auto"/>
        <w:left w:val="none" w:sz="0" w:space="0" w:color="auto"/>
        <w:bottom w:val="none" w:sz="0" w:space="0" w:color="auto"/>
        <w:right w:val="none" w:sz="0" w:space="0" w:color="auto"/>
      </w:divBdr>
      <w:divsChild>
        <w:div w:id="621607">
          <w:marLeft w:val="0"/>
          <w:marRight w:val="0"/>
          <w:marTop w:val="0"/>
          <w:marBottom w:val="0"/>
          <w:divBdr>
            <w:top w:val="none" w:sz="0" w:space="0" w:color="auto"/>
            <w:left w:val="none" w:sz="0" w:space="0" w:color="auto"/>
            <w:bottom w:val="none" w:sz="0" w:space="0" w:color="auto"/>
            <w:right w:val="none" w:sz="0" w:space="0" w:color="auto"/>
          </w:divBdr>
        </w:div>
        <w:div w:id="54932426">
          <w:marLeft w:val="0"/>
          <w:marRight w:val="0"/>
          <w:marTop w:val="0"/>
          <w:marBottom w:val="0"/>
          <w:divBdr>
            <w:top w:val="none" w:sz="0" w:space="0" w:color="auto"/>
            <w:left w:val="none" w:sz="0" w:space="0" w:color="auto"/>
            <w:bottom w:val="none" w:sz="0" w:space="0" w:color="auto"/>
            <w:right w:val="none" w:sz="0" w:space="0" w:color="auto"/>
          </w:divBdr>
        </w:div>
        <w:div w:id="83499112">
          <w:marLeft w:val="0"/>
          <w:marRight w:val="0"/>
          <w:marTop w:val="0"/>
          <w:marBottom w:val="0"/>
          <w:divBdr>
            <w:top w:val="none" w:sz="0" w:space="0" w:color="auto"/>
            <w:left w:val="none" w:sz="0" w:space="0" w:color="auto"/>
            <w:bottom w:val="none" w:sz="0" w:space="0" w:color="auto"/>
            <w:right w:val="none" w:sz="0" w:space="0" w:color="auto"/>
          </w:divBdr>
        </w:div>
        <w:div w:id="263995763">
          <w:marLeft w:val="0"/>
          <w:marRight w:val="0"/>
          <w:marTop w:val="0"/>
          <w:marBottom w:val="0"/>
          <w:divBdr>
            <w:top w:val="none" w:sz="0" w:space="0" w:color="auto"/>
            <w:left w:val="none" w:sz="0" w:space="0" w:color="auto"/>
            <w:bottom w:val="none" w:sz="0" w:space="0" w:color="auto"/>
            <w:right w:val="none" w:sz="0" w:space="0" w:color="auto"/>
          </w:divBdr>
        </w:div>
        <w:div w:id="719785406">
          <w:marLeft w:val="0"/>
          <w:marRight w:val="0"/>
          <w:marTop w:val="0"/>
          <w:marBottom w:val="0"/>
          <w:divBdr>
            <w:top w:val="none" w:sz="0" w:space="0" w:color="auto"/>
            <w:left w:val="none" w:sz="0" w:space="0" w:color="auto"/>
            <w:bottom w:val="none" w:sz="0" w:space="0" w:color="auto"/>
            <w:right w:val="none" w:sz="0" w:space="0" w:color="auto"/>
          </w:divBdr>
        </w:div>
        <w:div w:id="1219631115">
          <w:marLeft w:val="0"/>
          <w:marRight w:val="0"/>
          <w:marTop w:val="0"/>
          <w:marBottom w:val="0"/>
          <w:divBdr>
            <w:top w:val="none" w:sz="0" w:space="0" w:color="auto"/>
            <w:left w:val="none" w:sz="0" w:space="0" w:color="auto"/>
            <w:bottom w:val="none" w:sz="0" w:space="0" w:color="auto"/>
            <w:right w:val="none" w:sz="0" w:space="0" w:color="auto"/>
          </w:divBdr>
        </w:div>
        <w:div w:id="1670332130">
          <w:marLeft w:val="0"/>
          <w:marRight w:val="0"/>
          <w:marTop w:val="0"/>
          <w:marBottom w:val="0"/>
          <w:divBdr>
            <w:top w:val="none" w:sz="0" w:space="0" w:color="auto"/>
            <w:left w:val="none" w:sz="0" w:space="0" w:color="auto"/>
            <w:bottom w:val="none" w:sz="0" w:space="0" w:color="auto"/>
            <w:right w:val="none" w:sz="0" w:space="0" w:color="auto"/>
          </w:divBdr>
        </w:div>
        <w:div w:id="1733041535">
          <w:marLeft w:val="0"/>
          <w:marRight w:val="0"/>
          <w:marTop w:val="0"/>
          <w:marBottom w:val="0"/>
          <w:divBdr>
            <w:top w:val="none" w:sz="0" w:space="0" w:color="auto"/>
            <w:left w:val="none" w:sz="0" w:space="0" w:color="auto"/>
            <w:bottom w:val="none" w:sz="0" w:space="0" w:color="auto"/>
            <w:right w:val="none" w:sz="0" w:space="0" w:color="auto"/>
          </w:divBdr>
        </w:div>
        <w:div w:id="1817139270">
          <w:marLeft w:val="0"/>
          <w:marRight w:val="0"/>
          <w:marTop w:val="0"/>
          <w:marBottom w:val="0"/>
          <w:divBdr>
            <w:top w:val="none" w:sz="0" w:space="0" w:color="auto"/>
            <w:left w:val="none" w:sz="0" w:space="0" w:color="auto"/>
            <w:bottom w:val="none" w:sz="0" w:space="0" w:color="auto"/>
            <w:right w:val="none" w:sz="0" w:space="0" w:color="auto"/>
          </w:divBdr>
        </w:div>
        <w:div w:id="2120368990">
          <w:marLeft w:val="0"/>
          <w:marRight w:val="0"/>
          <w:marTop w:val="0"/>
          <w:marBottom w:val="0"/>
          <w:divBdr>
            <w:top w:val="none" w:sz="0" w:space="0" w:color="auto"/>
            <w:left w:val="none" w:sz="0" w:space="0" w:color="auto"/>
            <w:bottom w:val="none" w:sz="0" w:space="0" w:color="auto"/>
            <w:right w:val="none" w:sz="0" w:space="0" w:color="auto"/>
          </w:divBdr>
        </w:div>
      </w:divsChild>
    </w:div>
    <w:div w:id="2016229239">
      <w:bodyDiv w:val="1"/>
      <w:marLeft w:val="0"/>
      <w:marRight w:val="0"/>
      <w:marTop w:val="0"/>
      <w:marBottom w:val="0"/>
      <w:divBdr>
        <w:top w:val="none" w:sz="0" w:space="0" w:color="auto"/>
        <w:left w:val="none" w:sz="0" w:space="0" w:color="auto"/>
        <w:bottom w:val="none" w:sz="0" w:space="0" w:color="auto"/>
        <w:right w:val="none" w:sz="0" w:space="0" w:color="auto"/>
      </w:divBdr>
      <w:divsChild>
        <w:div w:id="690760793">
          <w:marLeft w:val="0"/>
          <w:marRight w:val="0"/>
          <w:marTop w:val="0"/>
          <w:marBottom w:val="0"/>
          <w:divBdr>
            <w:top w:val="none" w:sz="0" w:space="0" w:color="auto"/>
            <w:left w:val="none" w:sz="0" w:space="0" w:color="auto"/>
            <w:bottom w:val="none" w:sz="0" w:space="0" w:color="auto"/>
            <w:right w:val="none" w:sz="0" w:space="0" w:color="auto"/>
          </w:divBdr>
          <w:divsChild>
            <w:div w:id="589236336">
              <w:marLeft w:val="0"/>
              <w:marRight w:val="0"/>
              <w:marTop w:val="0"/>
              <w:marBottom w:val="0"/>
              <w:divBdr>
                <w:top w:val="none" w:sz="0" w:space="0" w:color="auto"/>
                <w:left w:val="none" w:sz="0" w:space="0" w:color="auto"/>
                <w:bottom w:val="none" w:sz="0" w:space="0" w:color="auto"/>
                <w:right w:val="none" w:sz="0" w:space="0" w:color="auto"/>
              </w:divBdr>
              <w:divsChild>
                <w:div w:id="18628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99462">
      <w:bodyDiv w:val="1"/>
      <w:marLeft w:val="0"/>
      <w:marRight w:val="0"/>
      <w:marTop w:val="0"/>
      <w:marBottom w:val="0"/>
      <w:divBdr>
        <w:top w:val="none" w:sz="0" w:space="0" w:color="auto"/>
        <w:left w:val="none" w:sz="0" w:space="0" w:color="auto"/>
        <w:bottom w:val="none" w:sz="0" w:space="0" w:color="auto"/>
        <w:right w:val="none" w:sz="0" w:space="0" w:color="auto"/>
      </w:divBdr>
      <w:divsChild>
        <w:div w:id="33697581">
          <w:marLeft w:val="0"/>
          <w:marRight w:val="0"/>
          <w:marTop w:val="0"/>
          <w:marBottom w:val="0"/>
          <w:divBdr>
            <w:top w:val="none" w:sz="0" w:space="0" w:color="auto"/>
            <w:left w:val="none" w:sz="0" w:space="0" w:color="auto"/>
            <w:bottom w:val="none" w:sz="0" w:space="0" w:color="auto"/>
            <w:right w:val="none" w:sz="0" w:space="0" w:color="auto"/>
          </w:divBdr>
          <w:divsChild>
            <w:div w:id="1497571307">
              <w:marLeft w:val="0"/>
              <w:marRight w:val="0"/>
              <w:marTop w:val="0"/>
              <w:marBottom w:val="0"/>
              <w:divBdr>
                <w:top w:val="none" w:sz="0" w:space="0" w:color="auto"/>
                <w:left w:val="none" w:sz="0" w:space="0" w:color="auto"/>
                <w:bottom w:val="none" w:sz="0" w:space="0" w:color="auto"/>
                <w:right w:val="none" w:sz="0" w:space="0" w:color="auto"/>
              </w:divBdr>
              <w:divsChild>
                <w:div w:id="5321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05465">
      <w:bodyDiv w:val="1"/>
      <w:marLeft w:val="0"/>
      <w:marRight w:val="0"/>
      <w:marTop w:val="0"/>
      <w:marBottom w:val="0"/>
      <w:divBdr>
        <w:top w:val="none" w:sz="0" w:space="0" w:color="auto"/>
        <w:left w:val="none" w:sz="0" w:space="0" w:color="auto"/>
        <w:bottom w:val="none" w:sz="0" w:space="0" w:color="auto"/>
        <w:right w:val="none" w:sz="0" w:space="0" w:color="auto"/>
      </w:divBdr>
      <w:divsChild>
        <w:div w:id="2115704069">
          <w:marLeft w:val="0"/>
          <w:marRight w:val="0"/>
          <w:marTop w:val="0"/>
          <w:marBottom w:val="0"/>
          <w:divBdr>
            <w:top w:val="none" w:sz="0" w:space="0" w:color="auto"/>
            <w:left w:val="none" w:sz="0" w:space="0" w:color="auto"/>
            <w:bottom w:val="none" w:sz="0" w:space="0" w:color="auto"/>
            <w:right w:val="none" w:sz="0" w:space="0" w:color="auto"/>
          </w:divBdr>
          <w:divsChild>
            <w:div w:id="105662812">
              <w:marLeft w:val="0"/>
              <w:marRight w:val="0"/>
              <w:marTop w:val="0"/>
              <w:marBottom w:val="0"/>
              <w:divBdr>
                <w:top w:val="none" w:sz="0" w:space="0" w:color="auto"/>
                <w:left w:val="none" w:sz="0" w:space="0" w:color="auto"/>
                <w:bottom w:val="none" w:sz="0" w:space="0" w:color="auto"/>
                <w:right w:val="none" w:sz="0" w:space="0" w:color="auto"/>
              </w:divBdr>
              <w:divsChild>
                <w:div w:id="508258041">
                  <w:marLeft w:val="0"/>
                  <w:marRight w:val="0"/>
                  <w:marTop w:val="0"/>
                  <w:marBottom w:val="0"/>
                  <w:divBdr>
                    <w:top w:val="none" w:sz="0" w:space="0" w:color="auto"/>
                    <w:left w:val="none" w:sz="0" w:space="0" w:color="auto"/>
                    <w:bottom w:val="none" w:sz="0" w:space="0" w:color="auto"/>
                    <w:right w:val="none" w:sz="0" w:space="0" w:color="auto"/>
                  </w:divBdr>
                  <w:divsChild>
                    <w:div w:id="2528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39087">
      <w:bodyDiv w:val="1"/>
      <w:marLeft w:val="0"/>
      <w:marRight w:val="0"/>
      <w:marTop w:val="0"/>
      <w:marBottom w:val="0"/>
      <w:divBdr>
        <w:top w:val="none" w:sz="0" w:space="0" w:color="auto"/>
        <w:left w:val="none" w:sz="0" w:space="0" w:color="auto"/>
        <w:bottom w:val="none" w:sz="0" w:space="0" w:color="auto"/>
        <w:right w:val="none" w:sz="0" w:space="0" w:color="auto"/>
      </w:divBdr>
    </w:div>
    <w:div w:id="2077126599">
      <w:bodyDiv w:val="1"/>
      <w:marLeft w:val="0"/>
      <w:marRight w:val="0"/>
      <w:marTop w:val="0"/>
      <w:marBottom w:val="0"/>
      <w:divBdr>
        <w:top w:val="none" w:sz="0" w:space="0" w:color="auto"/>
        <w:left w:val="none" w:sz="0" w:space="0" w:color="auto"/>
        <w:bottom w:val="none" w:sz="0" w:space="0" w:color="auto"/>
        <w:right w:val="none" w:sz="0" w:space="0" w:color="auto"/>
      </w:divBdr>
      <w:divsChild>
        <w:div w:id="181477312">
          <w:marLeft w:val="0"/>
          <w:marRight w:val="0"/>
          <w:marTop w:val="0"/>
          <w:marBottom w:val="0"/>
          <w:divBdr>
            <w:top w:val="none" w:sz="0" w:space="0" w:color="auto"/>
            <w:left w:val="none" w:sz="0" w:space="0" w:color="auto"/>
            <w:bottom w:val="none" w:sz="0" w:space="0" w:color="auto"/>
            <w:right w:val="none" w:sz="0" w:space="0" w:color="auto"/>
          </w:divBdr>
        </w:div>
        <w:div w:id="311183803">
          <w:marLeft w:val="0"/>
          <w:marRight w:val="0"/>
          <w:marTop w:val="0"/>
          <w:marBottom w:val="0"/>
          <w:divBdr>
            <w:top w:val="none" w:sz="0" w:space="0" w:color="auto"/>
            <w:left w:val="none" w:sz="0" w:space="0" w:color="auto"/>
            <w:bottom w:val="none" w:sz="0" w:space="0" w:color="auto"/>
            <w:right w:val="none" w:sz="0" w:space="0" w:color="auto"/>
          </w:divBdr>
        </w:div>
        <w:div w:id="445926864">
          <w:marLeft w:val="0"/>
          <w:marRight w:val="0"/>
          <w:marTop w:val="0"/>
          <w:marBottom w:val="0"/>
          <w:divBdr>
            <w:top w:val="none" w:sz="0" w:space="0" w:color="auto"/>
            <w:left w:val="none" w:sz="0" w:space="0" w:color="auto"/>
            <w:bottom w:val="none" w:sz="0" w:space="0" w:color="auto"/>
            <w:right w:val="none" w:sz="0" w:space="0" w:color="auto"/>
          </w:divBdr>
        </w:div>
        <w:div w:id="579754773">
          <w:marLeft w:val="0"/>
          <w:marRight w:val="0"/>
          <w:marTop w:val="0"/>
          <w:marBottom w:val="0"/>
          <w:divBdr>
            <w:top w:val="none" w:sz="0" w:space="0" w:color="auto"/>
            <w:left w:val="none" w:sz="0" w:space="0" w:color="auto"/>
            <w:bottom w:val="none" w:sz="0" w:space="0" w:color="auto"/>
            <w:right w:val="none" w:sz="0" w:space="0" w:color="auto"/>
          </w:divBdr>
        </w:div>
        <w:div w:id="851341313">
          <w:marLeft w:val="0"/>
          <w:marRight w:val="0"/>
          <w:marTop w:val="0"/>
          <w:marBottom w:val="0"/>
          <w:divBdr>
            <w:top w:val="none" w:sz="0" w:space="0" w:color="auto"/>
            <w:left w:val="none" w:sz="0" w:space="0" w:color="auto"/>
            <w:bottom w:val="none" w:sz="0" w:space="0" w:color="auto"/>
            <w:right w:val="none" w:sz="0" w:space="0" w:color="auto"/>
          </w:divBdr>
        </w:div>
        <w:div w:id="121439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poa.org.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5" Type="http://schemas.openxmlformats.org/officeDocument/2006/relationships/webSettings" Target="webSettings.xml"/><Relationship Id="rId15" Type="http://schemas.openxmlformats.org/officeDocument/2006/relationships/hyperlink" Target="http://wwda.org.au/wp-content/uploads/2019/12/The-Status-of-Women-and-Girls-with-Disability-Asutralia.pdf" TargetMode="External"/><Relationship Id="rId10" Type="http://schemas.openxmlformats.org/officeDocument/2006/relationships/hyperlink" Target="http://www.wwda.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6" Type="http://schemas.openxmlformats.org/officeDocument/2006/relationships/hyperlink" Target="https://www.publicadvocate.vic.gov.au/resources/submissions/royal-commission-into-violence-abuse-neglect-and-exploitation-in-disability-care/647-preventing-and-responding-to-violence-and-abuse-between-co-residents-in-group-homes/file" TargetMode="External"/><Relationship Id="rId21" Type="http://schemas.openxmlformats.org/officeDocument/2006/relationships/hyperlink" Target="https://www.aph.gov.au/Parliamentary_Business/Committees/Joint/National_Disability_Insurance_Scheme/Independentliving/Report" TargetMode="External"/><Relationship Id="rId42" Type="http://schemas.openxmlformats.org/officeDocument/2006/relationships/hyperlink" Target="https://www.dss.gov.au/our-responsibilities/disability-and-carers/program-services/government-international/national-disability-strategy-initiatives/livable-housing-design/livable-housing-design-guidelines" TargetMode="External"/><Relationship Id="rId47" Type="http://schemas.openxmlformats.org/officeDocument/2006/relationships/hyperlink" Target="https://www.ohchr.org/EN/HRBodies/CRPD/Pages/GC.aspx" TargetMode="External"/><Relationship Id="rId63" Type="http://schemas.openxmlformats.org/officeDocument/2006/relationships/hyperlink" Target="https://www.abs.gov.au/ausstats/abs@.nsf/Lookup/by%20Subject/4906.0~2016~Main%20Features~About%20the%20Personal%20Safety%20Survey%20~2" TargetMode="External"/><Relationship Id="rId68" Type="http://schemas.openxmlformats.org/officeDocument/2006/relationships/hyperlink" Target="https://undocs.org/CRPD/C/AUS/CO/2-3" TargetMode="External"/><Relationship Id="rId84" Type="http://schemas.openxmlformats.org/officeDocument/2006/relationships/hyperlink" Target="https://www.anrows.org.au/publications/horizons/women-disability-and-violence-barriers-accessing-justice-final-report" TargetMode="External"/><Relationship Id="rId89" Type="http://schemas.openxmlformats.org/officeDocument/2006/relationships/hyperlink" Target="https://tbinternet.ohchr.org/_layouts/15/treatybodyexternal/Download.aspx?symbolno=CEDAW/C/AUS/CO/8&amp;Lang=En" TargetMode="External"/><Relationship Id="rId112" Type="http://schemas.openxmlformats.org/officeDocument/2006/relationships/hyperlink" Target="https://undocs.org/en/CCPR/C/AUS/CO/6" TargetMode="External"/><Relationship Id="rId16" Type="http://schemas.openxmlformats.org/officeDocument/2006/relationships/hyperlink" Target="https://undocs.org/A/RES/217(III)" TargetMode="External"/><Relationship Id="rId107" Type="http://schemas.openxmlformats.org/officeDocument/2006/relationships/hyperlink" Target="https://undocs.org/CRC/C/AUS/CO/5-6" TargetMode="External"/><Relationship Id="rId11" Type="http://schemas.openxmlformats.org/officeDocument/2006/relationships/hyperlink" Target="http://wwda.org.au/papers/subs/subs2011/" TargetMode="External"/><Relationship Id="rId32" Type="http://schemas.openxmlformats.org/officeDocument/2006/relationships/hyperlink" Target="https://www.pwc.com.au/industry/government/assets/disability-in-australia.pdf" TargetMode="External"/><Relationship Id="rId37" Type="http://schemas.openxmlformats.org/officeDocument/2006/relationships/hyperlink" Target="https://www.sdgdata.gov.au/sites/default/files/voluntary_national_review.pdf" TargetMode="External"/><Relationship Id="rId53" Type="http://schemas.openxmlformats.org/officeDocument/2006/relationships/hyperlink" Target="http://wwda.org.au/wp-content/uploads/2013/12/Think_Piece_Revised_Edition.pdf" TargetMode="External"/><Relationship Id="rId58" Type="http://schemas.openxmlformats.org/officeDocument/2006/relationships/hyperlink" Target="https://www.dss.gov.au/women/programs-services/reducing-violence/the-national-plan-to-reduce-violence-against-women-and-their-children-2010-2022" TargetMode="External"/><Relationship Id="rId74" Type="http://schemas.openxmlformats.org/officeDocument/2006/relationships/hyperlink" Target="https://pwd.org.au/our-work/projects/building-access/" TargetMode="External"/><Relationship Id="rId79" Type="http://schemas.openxmlformats.org/officeDocument/2006/relationships/hyperlink" Target="https://dpoa.org.au/position-opcat-npm/" TargetMode="External"/><Relationship Id="rId102" Type="http://schemas.openxmlformats.org/officeDocument/2006/relationships/hyperlink" Target="https://undocs.org/CRC/C/AUS/CO/5-6" TargetMode="External"/><Relationship Id="rId5" Type="http://schemas.openxmlformats.org/officeDocument/2006/relationships/hyperlink" Target="https://disability.royalcommission.gov.au/about/Pages/Terms-of-reference.aspx" TargetMode="External"/><Relationship Id="rId90" Type="http://schemas.openxmlformats.org/officeDocument/2006/relationships/hyperlink" Target="https://undocs.org/CRC/C/AUS/CO/5-6" TargetMode="External"/><Relationship Id="rId95" Type="http://schemas.openxmlformats.org/officeDocument/2006/relationships/hyperlink" Target="https://tbinternet.ohchr.org/_layouts/15/treatybodyexternal/Download.aspx?symbolno=CEDAW/C/AUS/CO/8&amp;Lang=En" TargetMode="External"/><Relationship Id="rId22" Type="http://schemas.openxmlformats.org/officeDocument/2006/relationships/hyperlink" Target="https://www.ohchr.org/EN/NewsEvents/Pages/DisplayNews.aspx?NewsID=24989&amp;LangID=E" TargetMode="External"/><Relationship Id="rId27" Type="http://schemas.openxmlformats.org/officeDocument/2006/relationships/hyperlink" Target="https://www.ndis.gov.au/providers/housing-and-living-supports-and-services/housing/specialist-disability-accommodation/sda-provider-and-investor-brief" TargetMode="External"/><Relationship Id="rId43" Type="http://schemas.openxmlformats.org/officeDocument/2006/relationships/hyperlink" Target="https://www.smh.com.au/national/royal-commission-neglect-and-abuse-in-group-homes-leaves-deep-scars-20191202-p53g2x.html" TargetMode="External"/><Relationship Id="rId48" Type="http://schemas.openxmlformats.org/officeDocument/2006/relationships/hyperlink" Target="https://doi.org/10.3390/laws5030035" TargetMode="External"/><Relationship Id="rId64" Type="http://schemas.openxmlformats.org/officeDocument/2006/relationships/hyperlink" Target="https://media.ourwatch.org.au/resource/personal-safety-survey-2016/" TargetMode="External"/><Relationship Id="rId69" Type="http://schemas.openxmlformats.org/officeDocument/2006/relationships/hyperlink" Target="https://pwd.org.au/services/training/sexuality-and-respectful-relationships/" TargetMode="External"/><Relationship Id="rId113" Type="http://schemas.openxmlformats.org/officeDocument/2006/relationships/hyperlink" Target="https://tbinternet.ohchr.org/_layouts/15/treatybodyexternal/Download.aspx?symbolno=CAT/C/AUS/CO/4-5&amp;Lang=En" TargetMode="External"/><Relationship Id="rId80" Type="http://schemas.openxmlformats.org/officeDocument/2006/relationships/hyperlink" Target="https://reliefweb.int/report/australia/implementation-opcat-australia" TargetMode="External"/><Relationship Id="rId85" Type="http://schemas.openxmlformats.org/officeDocument/2006/relationships/hyperlink" Target="https://www.ndis.gov.au/participants/working-providers/safeguards" TargetMode="External"/><Relationship Id="rId12" Type="http://schemas.openxmlformats.org/officeDocument/2006/relationships/hyperlink" Target="http://wwda.org.au/wp-content/uploads/2013/12/Think_Piece_Revised_Edition.pdf" TargetMode="External"/><Relationship Id="rId17" Type="http://schemas.openxmlformats.org/officeDocument/2006/relationships/hyperlink" Target="https://www.ohchr.org/EN/ProfessionalInterest/Pages/CCPR.aspx" TargetMode="External"/><Relationship Id="rId33" Type="http://schemas.openxmlformats.org/officeDocument/2006/relationships/hyperlink" Target="http://wwda.org.au/wp-content/uploads/2019/12/The-Status-of-Women-and-Girls-with-Disability-Asutralia.pdf" TargetMode="External"/><Relationship Id="rId38" Type="http://schemas.openxmlformats.org/officeDocument/2006/relationships/hyperlink" Target="https://www.dss.gov.au/review-of-implementation-of-the-national-disability-strategy-2010-2020" TargetMode="External"/><Relationship Id="rId59" Type="http://schemas.openxmlformats.org/officeDocument/2006/relationships/hyperlink" Target="https://www.ourwatch.org.au/What-We-Do" TargetMode="External"/><Relationship Id="rId103" Type="http://schemas.openxmlformats.org/officeDocument/2006/relationships/hyperlink" Target="https://undocs.org/en/E/C.12/AUS/CO/5" TargetMode="External"/><Relationship Id="rId108" Type="http://schemas.openxmlformats.org/officeDocument/2006/relationships/hyperlink" Target="https://undocs.org/CRPD/C/AUS/CO/2-3" TargetMode="External"/><Relationship Id="rId54" Type="http://schemas.openxmlformats.org/officeDocument/2006/relationships/hyperlink" Target="https://www.cyda.org.au/enabling-and-protecting" TargetMode="External"/><Relationship Id="rId70" Type="http://schemas.openxmlformats.org/officeDocument/2006/relationships/hyperlink" Target="https://www.slrr.com.au" TargetMode="External"/><Relationship Id="rId75" Type="http://schemas.openxmlformats.org/officeDocument/2006/relationships/hyperlink" Target="http://dvnsw.org.au/pwd_doc1.pdf" TargetMode="External"/><Relationship Id="rId91" Type="http://schemas.openxmlformats.org/officeDocument/2006/relationships/hyperlink" Target="https://undocs.org/en/E/C.12/AUS/CO/5" TargetMode="External"/><Relationship Id="rId96" Type="http://schemas.openxmlformats.org/officeDocument/2006/relationships/hyperlink" Target="https://undocs.org/CEDAW/C/AUS/8" TargetMode="External"/><Relationship Id="rId1" Type="http://schemas.openxmlformats.org/officeDocument/2006/relationships/hyperlink" Target="https://dpoa.org.au/our-work/ending-violence/" TargetMode="External"/><Relationship Id="rId6" Type="http://schemas.openxmlformats.org/officeDocument/2006/relationships/hyperlink" Target="https://www.ohchr.org/EN/HRBodies/CRPD/Pages/ConventionRightsPersonsWithDisabilities.aspx" TargetMode="External"/><Relationship Id="rId15" Type="http://schemas.openxmlformats.org/officeDocument/2006/relationships/hyperlink" Target="https://www.ohchr.org/EN/HRBodies/CRPD/Pages/ConventionRightsPersonsWithDisabilities.aspx" TargetMode="External"/><Relationship Id="rId23" Type="http://schemas.openxmlformats.org/officeDocument/2006/relationships/hyperlink" Target="https://www.alrc.gov.au/publication/equality-capacity-and-disability-in-commonwealth-laws-alrc-report-124/" TargetMode="External"/><Relationship Id="rId28" Type="http://schemas.openxmlformats.org/officeDocument/2006/relationships/hyperlink" Target="https://dpoa.org.au/wp-content/uploads/2018/05/Joint-Statement-on-the-NDIA&#8217;s-SDA-Provider-Investor-Brief.pdf" TargetMode="External"/><Relationship Id="rId36" Type="http://schemas.openxmlformats.org/officeDocument/2006/relationships/hyperlink" Target="https://www.dss.gov.au/disability-and-carers-a-new-national-disability-strategy/about-the-current-national-disability-strategy" TargetMode="External"/><Relationship Id="rId49" Type="http://schemas.openxmlformats.org/officeDocument/2006/relationships/hyperlink" Target="https://disability.royalcommission.gov.au/system/files/2020-04/Transcript%20Day%203%20-%20Homes%20and%20living%2C%20Melbourne_0.pdf" TargetMode="External"/><Relationship Id="rId57" Type="http://schemas.openxmlformats.org/officeDocument/2006/relationships/hyperlink" Target="https://d2bb010tdzqaq7.cloudfront.net/wp-content/uploads/sites/2/2019/06/27043538/OurWatch_Counting-on-Change_AA.pdf" TargetMode="External"/><Relationship Id="rId106" Type="http://schemas.openxmlformats.org/officeDocument/2006/relationships/hyperlink" Target="https://tbinternet.ohchr.org/_layouts/15/treatybodyexternal/Download.aspx?symbolno=CEDAW/C/AUS/CO/8&amp;Lang=En" TargetMode="External"/><Relationship Id="rId114" Type="http://schemas.openxmlformats.org/officeDocument/2006/relationships/hyperlink" Target="https://undocs.org/CRPD/C/AUS/CO/2-3" TargetMode="External"/><Relationship Id="rId10" Type="http://schemas.openxmlformats.org/officeDocument/2006/relationships/hyperlink" Target="https://www.anrows.org.au/publications/horizons/women-disability-and-violence-barriers-accessing-justice-final-report" TargetMode="External"/><Relationship Id="rId31" Type="http://schemas.openxmlformats.org/officeDocument/2006/relationships/hyperlink" Target="https://www.socialventures.com.au/assets/Specialist-Disability-Accommodation-Supply-in-Australia-March-2020-webres.pdf" TargetMode="External"/><Relationship Id="rId44" Type="http://schemas.openxmlformats.org/officeDocument/2006/relationships/hyperlink" Target="https://www.abc.net.au/news/2019-12-04/disability-royal-commission-hears-woman-punished-for-united-shoe/11762870" TargetMode="External"/><Relationship Id="rId52" Type="http://schemas.openxmlformats.org/officeDocument/2006/relationships/hyperlink" Target="http://wwda.org.au/papers/subs/subs2011/" TargetMode="External"/><Relationship Id="rId60" Type="http://schemas.openxmlformats.org/officeDocument/2006/relationships/hyperlink" Target="https://www.respect.gov.au" TargetMode="External"/><Relationship Id="rId65" Type="http://schemas.openxmlformats.org/officeDocument/2006/relationships/hyperlink" Target="https://disability.royalcommission.gov.au/publications/transcript-5-december-2019" TargetMode="External"/><Relationship Id="rId73" Type="http://schemas.openxmlformats.org/officeDocument/2006/relationships/hyperlink" Target="https://www.wdv.org.au/our-work/our-work-with-organisations/safeguards/" TargetMode="External"/><Relationship Id="rId78" Type="http://schemas.openxmlformats.org/officeDocument/2006/relationships/hyperlink" Target="https://doi.org/10.1080/1323238X.2018.1441611" TargetMode="External"/><Relationship Id="rId81" Type="http://schemas.openxmlformats.org/officeDocument/2006/relationships/hyperlink" Target="https://www.ombudsman.gov.au/what-we-do/monitoring-places-of-detention-opcat" TargetMode="External"/><Relationship Id="rId86" Type="http://schemas.openxmlformats.org/officeDocument/2006/relationships/hyperlink" Target="https://undocs.org/CRPD/C/AUS/CO/2-3" TargetMode="External"/><Relationship Id="rId94" Type="http://schemas.openxmlformats.org/officeDocument/2006/relationships/hyperlink" Target="https://undocs.org/CRPD/C/AUS/CO/2-3" TargetMode="External"/><Relationship Id="rId99" Type="http://schemas.openxmlformats.org/officeDocument/2006/relationships/hyperlink" Target="https://tbinternet.ohchr.org/_layouts/15/treatybodyexternal/Download.aspx?symbolno=CCPR%2FC%2FAUS%2F6&amp;Lang=en" TargetMode="External"/><Relationship Id="rId101" Type="http://schemas.openxmlformats.org/officeDocument/2006/relationships/hyperlink" Target="https://tbinternet.ohchr.org/_layouts/15/treatybodyexternal/Download.aspx?symbolno=CEDAW/C/AUS/CO/8&amp;Lang=En" TargetMode="External"/><Relationship Id="rId4" Type="http://schemas.openxmlformats.org/officeDocument/2006/relationships/hyperlink" Target="https://www.aph.gov.au/Parliamentary_Business/Committees/Senate/Community_Affairs/Violence_abuse_neglect/Report" TargetMode="External"/><Relationship Id="rId9" Type="http://schemas.openxmlformats.org/officeDocument/2006/relationships/hyperlink" Target="https://www.anrows.org.au/publication/whatever-it-takes-access-for-women-with-disabilities-to-domestic-and-family-violence-services-key-findings-and-future-directions/" TargetMode="External"/><Relationship Id="rId13" Type="http://schemas.openxmlformats.org/officeDocument/2006/relationships/hyperlink" Target="https://disability.royalcommission.gov.au/publications/group-homes" TargetMode="External"/><Relationship Id="rId18" Type="http://schemas.openxmlformats.org/officeDocument/2006/relationships/hyperlink" Target="https://www.ohchr.org/EN/ProfessionalInterest/Pages/CESCR.aspx" TargetMode="External"/><Relationship Id="rId39" Type="http://schemas.openxmlformats.org/officeDocument/2006/relationships/hyperlink" Target="https://www.aph.gov.au/Parliamentary_Business/Committees/Senate/Community_Affairs/AccessibleCommunities/Report" TargetMode="External"/><Relationship Id="rId109" Type="http://schemas.openxmlformats.org/officeDocument/2006/relationships/hyperlink" Target="https://tbinternet.ohchr.org/_layouts/15/treatybodyexternal/Download.aspx?symbolno=CEDAW/C/AUS/CO/8&amp;Lang=En" TargetMode="External"/><Relationship Id="rId34" Type="http://schemas.openxmlformats.org/officeDocument/2006/relationships/hyperlink" Target="https://humanrights.gov.au/our-work/age-discrimination/projects/risk-homelessness-older-women" TargetMode="External"/><Relationship Id="rId50" Type="http://schemas.openxmlformats.org/officeDocument/2006/relationships/hyperlink" Target="https://www.researchgate.net/publication/335349534_The_Experiences_of_Microaggressions_against_Women_with_Visible_and_Invisible_Disabilities" TargetMode="External"/><Relationship Id="rId55" Type="http://schemas.openxmlformats.org/officeDocument/2006/relationships/hyperlink" Target="https://www.researchgate.net/publication/309728772_Disability_and_child_sexual_abuse_in_institutional_contexts_Royal_Commission_into_Institutional_Responses_to_Child_Sexual_Abuse" TargetMode="External"/><Relationship Id="rId76" Type="http://schemas.openxmlformats.org/officeDocument/2006/relationships/hyperlink" Target="http://wwda.org.au/sunny/" TargetMode="External"/><Relationship Id="rId97" Type="http://schemas.openxmlformats.org/officeDocument/2006/relationships/hyperlink" Target="https://undocs.org/CRC/C/AUS/CO/5-6" TargetMode="External"/><Relationship Id="rId104" Type="http://schemas.openxmlformats.org/officeDocument/2006/relationships/hyperlink" Target="https://undocs.org/en/CCPR/C/AUS/CO/6" TargetMode="External"/><Relationship Id="rId7" Type="http://schemas.openxmlformats.org/officeDocument/2006/relationships/hyperlink" Target="https://disability.royalcommission.gov.au/about/Pages/accessibility-inclusion-strategy.aspx" TargetMode="External"/><Relationship Id="rId71" Type="http://schemas.openxmlformats.org/officeDocument/2006/relationships/hyperlink" Target="https://www.nds.org.au/resources/zero-tolerance" TargetMode="External"/><Relationship Id="rId92" Type="http://schemas.openxmlformats.org/officeDocument/2006/relationships/hyperlink" Target="https://dfat.gov.au/about-us/publications/Documents/final-icescr-report.pdf" TargetMode="External"/><Relationship Id="rId2" Type="http://schemas.openxmlformats.org/officeDocument/2006/relationships/hyperlink" Target="http://dpoa.org.au/civil-society-statement-rc/" TargetMode="External"/><Relationship Id="rId29" Type="http://schemas.openxmlformats.org/officeDocument/2006/relationships/hyperlink" Target="https://www.ohchr.org/EN/HRBodies/CRPD/Pages/GC.aspx" TargetMode="External"/><Relationship Id="rId24" Type="http://schemas.openxmlformats.org/officeDocument/2006/relationships/hyperlink" Target="https://pwd.org.au/resources/library/reports/" TargetMode="External"/><Relationship Id="rId40" Type="http://schemas.openxmlformats.org/officeDocument/2006/relationships/hyperlink" Target="http://wwda.org.au/wp-content/uploads/2013/12/WWDA_Sub_NDS_Review2014.pdf" TargetMode="External"/><Relationship Id="rId45" Type="http://schemas.openxmlformats.org/officeDocument/2006/relationships/hyperlink" Target="https://www.publicadvocate.vic.gov.au/resources/submissions/royal-commission-into-violence-abuse-neglect-and-exploitation-in-disability-care/647-preventing-and-responding-to-violence-and-abuse-between-co-residents-in-group-homes/file" TargetMode="External"/><Relationship Id="rId66" Type="http://schemas.openxmlformats.org/officeDocument/2006/relationships/hyperlink" Target="http://wwda.org.au/wp-content/uploads/2013/12/Final_Draft_DPO_Sub_DV_Senate2014.pdf" TargetMode="External"/><Relationship Id="rId87" Type="http://schemas.openxmlformats.org/officeDocument/2006/relationships/hyperlink" Target="https://tbinternet.ohchr.org/_layouts/15/treatybodyexternal/Download.aspx?symbolno=CRPD/C/AUS/2-3&amp;Lang=en" TargetMode="External"/><Relationship Id="rId110" Type="http://schemas.openxmlformats.org/officeDocument/2006/relationships/hyperlink" Target="https://undocs.org/CRC/C/AUS/CO/5-6" TargetMode="External"/><Relationship Id="rId115" Type="http://schemas.openxmlformats.org/officeDocument/2006/relationships/hyperlink" Target="https://tbinternet.ohchr.org/_layouts/15/treatybodyexternal/Download.aspx?symbolno=CEDAW/C/AUS/CO/8&amp;Lang=En" TargetMode="External"/><Relationship Id="rId61" Type="http://schemas.openxmlformats.org/officeDocument/2006/relationships/hyperlink" Target="https://www.education.vic.gov.au/about/programs/Pages/respectfulrelationships.aspx" TargetMode="External"/><Relationship Id="rId82" Type="http://schemas.openxmlformats.org/officeDocument/2006/relationships/hyperlink" Target="http://wwda.org.au/wp-content/uploads/2013/12/STV_Outcomes_Paper.pdf" TargetMode="External"/><Relationship Id="rId19" Type="http://schemas.openxmlformats.org/officeDocument/2006/relationships/hyperlink" Target="https://www.ohchr.org/EN/HRBodies/CRPD/Pages/GC.aspx" TargetMode="External"/><Relationship Id="rId14" Type="http://schemas.openxmlformats.org/officeDocument/2006/relationships/hyperlink" Target="https://www.ohchr.org/EN/HRBodies/CRPD/Pages/GC.aspx" TargetMode="External"/><Relationship Id="rId30" Type="http://schemas.openxmlformats.org/officeDocument/2006/relationships/hyperlink" Target="https://www.ndis.gov.au/providers/housing-and-living-supports-and-services/housing/specialist-disability-accommodation" TargetMode="External"/><Relationship Id="rId35" Type="http://schemas.openxmlformats.org/officeDocument/2006/relationships/hyperlink" Target="https://sustainabledevelopment.un.org/sdgs" TargetMode="External"/><Relationship Id="rId56" Type="http://schemas.openxmlformats.org/officeDocument/2006/relationships/hyperlink" Target="https://www.ourwatch.org.au/Preventing-Violence/Women" TargetMode="External"/><Relationship Id="rId77" Type="http://schemas.openxmlformats.org/officeDocument/2006/relationships/hyperlink" Target="https://disability.royalcommission.gov.au/system/files/2020-04/Transcript%20Day%202%20-%20Homes%20and%20living%2C%20Melbourne_0.pdf" TargetMode="External"/><Relationship Id="rId100" Type="http://schemas.openxmlformats.org/officeDocument/2006/relationships/hyperlink" Target="https://undocs.org/CRPD/C/AUS/CO/2-3" TargetMode="External"/><Relationship Id="rId105" Type="http://schemas.openxmlformats.org/officeDocument/2006/relationships/hyperlink" Target="https://undocs.org/CRPD/C/AUS/CO/2-3" TargetMode="External"/><Relationship Id="rId8" Type="http://schemas.openxmlformats.org/officeDocument/2006/relationships/hyperlink" Target="http://wwda.org.au/wp-content/uploads/2013/12/STV_Background_Paper_FINAL.pdf" TargetMode="External"/><Relationship Id="rId51" Type="http://schemas.openxmlformats.org/officeDocument/2006/relationships/hyperlink" Target="https://www.abs.gov.au/ausstats/abs@.nsf/Latestproducts/4430.0Main%20Features52018?opendocument&amp;tabname=Summary&amp;prodno=4430.0&amp;issue=2018&amp;num=&amp;view" TargetMode="External"/><Relationship Id="rId72" Type="http://schemas.openxmlformats.org/officeDocument/2006/relationships/hyperlink" Target="https://oursite.wwda.org.au" TargetMode="External"/><Relationship Id="rId93" Type="http://schemas.openxmlformats.org/officeDocument/2006/relationships/hyperlink" Target="https://undocs.org/en/CERD/C/AUS/CO/18-20" TargetMode="External"/><Relationship Id="rId98" Type="http://schemas.openxmlformats.org/officeDocument/2006/relationships/hyperlink" Target="https://undocs.org/en/CCPR/C/AUS/CO/6" TargetMode="External"/><Relationship Id="rId3" Type="http://schemas.openxmlformats.org/officeDocument/2006/relationships/hyperlink" Target="https://www.aph.gov.au/Parliamentary_Business/Committees/Senate/Community_Affairs/Violence_abuse_neglect" TargetMode="External"/><Relationship Id="rId25" Type="http://schemas.openxmlformats.org/officeDocument/2006/relationships/hyperlink" Target="https://disability.royalcommission.gov.au/publications/transcript-5-december-2019" TargetMode="External"/><Relationship Id="rId46" Type="http://schemas.openxmlformats.org/officeDocument/2006/relationships/hyperlink" Target="https://www.ombo.nsw.gov.au/__data/assets/pdf_file/0003/62139/Abuse-and-neglect-of-vulnerable-adults-in-NSW-November-2018.pdf" TargetMode="External"/><Relationship Id="rId67" Type="http://schemas.openxmlformats.org/officeDocument/2006/relationships/hyperlink" Target="https://dpoa.org.au/rights-of-people-with-disability-routinely-ignored-new-report/" TargetMode="External"/><Relationship Id="rId116" Type="http://schemas.openxmlformats.org/officeDocument/2006/relationships/hyperlink" Target="https://undocs.org/CRC/C/AUS/CO/5-6" TargetMode="External"/><Relationship Id="rId20" Type="http://schemas.openxmlformats.org/officeDocument/2006/relationships/hyperlink" Target="https://pwd.org.au/resources/library/reports/" TargetMode="External"/><Relationship Id="rId41" Type="http://schemas.openxmlformats.org/officeDocument/2006/relationships/hyperlink" Target="https://www.ohchr.org/EN/HRBodies/CRPD/Pages/GC.aspx" TargetMode="External"/><Relationship Id="rId62" Type="http://schemas.openxmlformats.org/officeDocument/2006/relationships/hyperlink" Target="http://wwda.org.au/wp-content/uploads/2019/12/The-Status-of-Women-and-Girls-with-Disability-Asutralia.pdf" TargetMode="External"/><Relationship Id="rId83" Type="http://schemas.openxmlformats.org/officeDocument/2006/relationships/hyperlink" Target="https://www.anrows.org.au/publication/whatever-it-takes-access-for-women-with-disabilities-to-domestic-and-family-violence-services-key-findings-and-future-directions/" TargetMode="External"/><Relationship Id="rId88" Type="http://schemas.openxmlformats.org/officeDocument/2006/relationships/hyperlink" Target="https://undocs.org/CEDAW/C/AUS/8" TargetMode="External"/><Relationship Id="rId111" Type="http://schemas.openxmlformats.org/officeDocument/2006/relationships/hyperlink" Target="https://undocs.org/en/E/C.12/AUS/CO/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FCB29-E1D0-6B44-8AA2-408B1079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64</Pages>
  <Words>23521</Words>
  <Characters>134075</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Comms - Women With Disabilities Australia</cp:lastModifiedBy>
  <cp:revision>3</cp:revision>
  <cp:lastPrinted>2018-06-11T02:39:00Z</cp:lastPrinted>
  <dcterms:created xsi:type="dcterms:W3CDTF">2020-07-04T02:43:00Z</dcterms:created>
  <dcterms:modified xsi:type="dcterms:W3CDTF">2020-07-04T02:53:00Z</dcterms:modified>
</cp:coreProperties>
</file>