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7E5D" w14:textId="77777777" w:rsidR="007B5DE5" w:rsidRPr="00F60C09" w:rsidRDefault="007B5DE5" w:rsidP="00121931">
      <w:pPr>
        <w:pStyle w:val="Heading2"/>
        <w:jc w:val="left"/>
        <w:rPr>
          <w:rFonts w:ascii="Calibri" w:hAnsi="Calibri" w:cs="Calibri"/>
          <w:b w:val="0"/>
          <w:bCs/>
          <w:sz w:val="20"/>
          <w:szCs w:val="20"/>
        </w:rPr>
      </w:pPr>
    </w:p>
    <w:p w14:paraId="3432637E" w14:textId="77777777" w:rsidR="007B5DE5" w:rsidRPr="00F60C09" w:rsidRDefault="007B5DE5" w:rsidP="00121931">
      <w:pPr>
        <w:pStyle w:val="Heading2"/>
        <w:jc w:val="left"/>
        <w:rPr>
          <w:rFonts w:ascii="Calibri" w:hAnsi="Calibri" w:cs="Calibri"/>
          <w:b w:val="0"/>
          <w:bCs/>
          <w:sz w:val="20"/>
          <w:szCs w:val="20"/>
        </w:rPr>
      </w:pPr>
    </w:p>
    <w:p w14:paraId="0C1FAAF9" w14:textId="05E386F4" w:rsidR="007B5DE5" w:rsidRPr="00A16838" w:rsidRDefault="00F60C09" w:rsidP="001B7180">
      <w:pPr>
        <w:spacing w:line="276" w:lineRule="auto"/>
        <w:jc w:val="center"/>
        <w:rPr>
          <w:rFonts w:ascii="Calibri" w:hAnsi="Calibri" w:cs="Calibri"/>
          <w:sz w:val="22"/>
        </w:rPr>
      </w:pPr>
      <w:r>
        <w:rPr>
          <w:rFonts w:ascii="Calibri" w:hAnsi="Calibri" w:cs="Calibri"/>
          <w:noProof/>
          <w:sz w:val="22"/>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1C5E14" w:rsidRDefault="007B5DE5" w:rsidP="00121931">
      <w:pPr>
        <w:spacing w:line="276" w:lineRule="auto"/>
        <w:rPr>
          <w:rFonts w:ascii="Avenir Book" w:hAnsi="Avenir Book" w:cs="Calibri"/>
          <w:sz w:val="22"/>
        </w:rPr>
      </w:pPr>
    </w:p>
    <w:p w14:paraId="25AA824C" w14:textId="71281DFA" w:rsidR="007B5DE5" w:rsidRPr="001C5E14" w:rsidRDefault="007B5DE5" w:rsidP="00121931">
      <w:pPr>
        <w:spacing w:line="276" w:lineRule="auto"/>
        <w:rPr>
          <w:rFonts w:ascii="Avenir Book" w:hAnsi="Avenir Book" w:cs="Calibri"/>
          <w:sz w:val="22"/>
        </w:rPr>
      </w:pPr>
    </w:p>
    <w:p w14:paraId="2B12EA08" w14:textId="77777777" w:rsidR="001C5E14" w:rsidRPr="001C5E14" w:rsidRDefault="001C5E14" w:rsidP="00121931">
      <w:pPr>
        <w:spacing w:line="276" w:lineRule="auto"/>
        <w:rPr>
          <w:rFonts w:ascii="Avenir Book" w:hAnsi="Avenir Book" w:cs="Calibri"/>
          <w:sz w:val="22"/>
        </w:rPr>
      </w:pPr>
    </w:p>
    <w:p w14:paraId="79C54B52" w14:textId="77777777" w:rsidR="00104730" w:rsidRPr="001C5E14" w:rsidRDefault="00104730" w:rsidP="00121931">
      <w:pPr>
        <w:spacing w:line="276" w:lineRule="auto"/>
        <w:rPr>
          <w:rFonts w:ascii="Avenir Book" w:hAnsi="Avenir Book" w:cs="Calibri"/>
          <w:sz w:val="22"/>
        </w:rPr>
      </w:pPr>
    </w:p>
    <w:p w14:paraId="19556BFD" w14:textId="77777777" w:rsidR="007B5DE5" w:rsidRPr="001C5E14" w:rsidRDefault="007B5DE5" w:rsidP="001B7180">
      <w:pPr>
        <w:pStyle w:val="Heading1"/>
        <w:spacing w:line="276" w:lineRule="auto"/>
        <w:jc w:val="center"/>
        <w:rPr>
          <w:rFonts w:ascii="Avenir Book" w:hAnsi="Avenir Book" w:cs="Calibri"/>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r w:rsidRPr="001C5E14">
        <w:rPr>
          <w:rFonts w:ascii="Avenir Book" w:hAnsi="Avenir Book" w:cs="Calibri"/>
          <w:color w:val="004479"/>
          <w:sz w:val="40"/>
          <w:szCs w:val="40"/>
        </w:rPr>
        <w:t>Women With Disabilities Australia (WWDA)</w:t>
      </w:r>
      <w:bookmarkEnd w:id="0"/>
      <w:bookmarkEnd w:id="1"/>
      <w:bookmarkEnd w:id="2"/>
      <w:bookmarkEnd w:id="3"/>
      <w:bookmarkEnd w:id="4"/>
      <w:bookmarkEnd w:id="5"/>
      <w:bookmarkEnd w:id="6"/>
      <w:bookmarkEnd w:id="7"/>
      <w:bookmarkEnd w:id="8"/>
    </w:p>
    <w:p w14:paraId="7D1C7C3C" w14:textId="77777777" w:rsidR="007B5DE5" w:rsidRPr="001C5E14" w:rsidRDefault="007B5DE5" w:rsidP="001B7180">
      <w:pPr>
        <w:pStyle w:val="Heading1"/>
        <w:spacing w:line="276" w:lineRule="auto"/>
        <w:jc w:val="center"/>
        <w:rPr>
          <w:rFonts w:ascii="Avenir Book" w:hAnsi="Avenir Book" w:cs="Calibri"/>
          <w:b w:val="0"/>
          <w:color w:val="17365D"/>
          <w:sz w:val="32"/>
        </w:rPr>
      </w:pPr>
    </w:p>
    <w:p w14:paraId="48D6F3E5" w14:textId="77777777" w:rsidR="00C8338C" w:rsidRPr="001C5E14" w:rsidRDefault="00C8338C" w:rsidP="001B7180">
      <w:pPr>
        <w:pStyle w:val="Heading1"/>
        <w:pBdr>
          <w:top w:val="single" w:sz="4" w:space="1" w:color="auto"/>
        </w:pBdr>
        <w:spacing w:line="276" w:lineRule="auto"/>
        <w:jc w:val="center"/>
        <w:rPr>
          <w:rFonts w:ascii="Avenir Book" w:hAnsi="Avenir Book" w:cs="Calibri"/>
          <w:b w:val="0"/>
          <w:color w:val="17365D"/>
          <w:sz w:val="20"/>
          <w:szCs w:val="20"/>
        </w:rPr>
      </w:pPr>
      <w:bookmarkStart w:id="9" w:name="_Toc509920821"/>
    </w:p>
    <w:bookmarkEnd w:id="9"/>
    <w:p w14:paraId="0B517ED8" w14:textId="2FA35FA5" w:rsidR="000E657D" w:rsidRPr="001C5E14" w:rsidRDefault="000E657D" w:rsidP="000E657D">
      <w:pPr>
        <w:jc w:val="center"/>
        <w:rPr>
          <w:rFonts w:ascii="Avenir Book" w:hAnsi="Avenir Book" w:cs="Calibri"/>
          <w:color w:val="004479"/>
          <w:sz w:val="36"/>
          <w:szCs w:val="36"/>
          <w:lang w:val="en-GB"/>
        </w:rPr>
      </w:pPr>
      <w:r w:rsidRPr="001C5E14">
        <w:rPr>
          <w:rFonts w:ascii="Avenir Book" w:hAnsi="Avenir Book" w:cs="Calibri"/>
          <w:color w:val="004479"/>
          <w:sz w:val="36"/>
          <w:szCs w:val="36"/>
          <w:lang w:val="en-GB"/>
        </w:rPr>
        <w:t>Royal Commission into Violence, Abuse, Neglect and Exploitation of People with Disability</w:t>
      </w:r>
    </w:p>
    <w:p w14:paraId="299903D3" w14:textId="26807A00" w:rsidR="00E5691A" w:rsidRDefault="00E5691A" w:rsidP="000E657D">
      <w:pPr>
        <w:jc w:val="center"/>
        <w:rPr>
          <w:rFonts w:ascii="Avenir Book" w:hAnsi="Avenir Book" w:cs="Calibri"/>
          <w:sz w:val="20"/>
          <w:szCs w:val="20"/>
          <w:lang w:val="en-GB"/>
        </w:rPr>
      </w:pPr>
    </w:p>
    <w:p w14:paraId="29D52639" w14:textId="77777777" w:rsidR="001C5E14" w:rsidRPr="001C5E14" w:rsidRDefault="001C5E14" w:rsidP="000E657D">
      <w:pPr>
        <w:jc w:val="center"/>
        <w:rPr>
          <w:rFonts w:ascii="Avenir Book" w:hAnsi="Avenir Book" w:cs="Calibri"/>
          <w:sz w:val="20"/>
          <w:szCs w:val="20"/>
          <w:lang w:val="en-GB"/>
        </w:rPr>
      </w:pPr>
    </w:p>
    <w:p w14:paraId="2463AA35" w14:textId="4F1F673F" w:rsidR="00E5691A" w:rsidRPr="00387713" w:rsidRDefault="00E5691A" w:rsidP="00E5691A">
      <w:pPr>
        <w:pStyle w:val="Heading1"/>
        <w:spacing w:line="276" w:lineRule="auto"/>
        <w:jc w:val="center"/>
        <w:rPr>
          <w:rFonts w:ascii="Avenir Book" w:hAnsi="Avenir Book" w:cs="Calibri"/>
          <w:bCs/>
          <w:color w:val="AC1F79"/>
          <w:sz w:val="32"/>
          <w:lang w:val="en-GB"/>
        </w:rPr>
      </w:pPr>
      <w:bookmarkStart w:id="10" w:name="_Toc510523708"/>
      <w:bookmarkStart w:id="11" w:name="_Toc512603438"/>
      <w:bookmarkStart w:id="12" w:name="_Toc512604444"/>
      <w:bookmarkStart w:id="13" w:name="_Toc32420642"/>
      <w:bookmarkStart w:id="14" w:name="_Toc32738097"/>
      <w:bookmarkStart w:id="15" w:name="_Toc32738159"/>
      <w:bookmarkStart w:id="16" w:name="_Toc32757936"/>
      <w:bookmarkStart w:id="17" w:name="_Toc32759977"/>
      <w:r w:rsidRPr="00387713">
        <w:rPr>
          <w:rFonts w:ascii="Avenir Book" w:hAnsi="Avenir Book" w:cs="Calibri"/>
          <w:bCs/>
          <w:color w:val="AC1F79"/>
          <w:sz w:val="32"/>
        </w:rPr>
        <w:t xml:space="preserve">WWDA Response to </w:t>
      </w:r>
      <w:bookmarkEnd w:id="10"/>
      <w:bookmarkEnd w:id="11"/>
      <w:bookmarkEnd w:id="12"/>
      <w:r w:rsidRPr="00387713">
        <w:rPr>
          <w:rFonts w:ascii="Avenir Book" w:hAnsi="Avenir Book" w:cs="Calibri"/>
          <w:bCs/>
          <w:color w:val="AC1F79"/>
          <w:sz w:val="32"/>
          <w:lang w:val="en-GB"/>
        </w:rPr>
        <w:t>Education and Learning Issues Paper</w:t>
      </w:r>
      <w:bookmarkEnd w:id="13"/>
      <w:bookmarkEnd w:id="14"/>
      <w:bookmarkEnd w:id="15"/>
      <w:bookmarkEnd w:id="16"/>
      <w:bookmarkEnd w:id="17"/>
    </w:p>
    <w:p w14:paraId="707A7191" w14:textId="77777777" w:rsidR="00E5691A" w:rsidRPr="001C5E14" w:rsidRDefault="00E5691A" w:rsidP="000E657D">
      <w:pPr>
        <w:jc w:val="center"/>
        <w:rPr>
          <w:rFonts w:ascii="Avenir Book" w:hAnsi="Avenir Book" w:cs="Calibri"/>
          <w:sz w:val="20"/>
          <w:szCs w:val="20"/>
          <w:lang w:val="en-GB"/>
        </w:rPr>
      </w:pPr>
    </w:p>
    <w:p w14:paraId="2BE96121" w14:textId="0F0EC899" w:rsidR="00C8338C" w:rsidRPr="001C5E14" w:rsidRDefault="00C8338C" w:rsidP="001B7180">
      <w:pPr>
        <w:pStyle w:val="Heading1"/>
        <w:pBdr>
          <w:bottom w:val="single" w:sz="4" w:space="1" w:color="auto"/>
        </w:pBdr>
        <w:spacing w:line="276" w:lineRule="auto"/>
        <w:jc w:val="center"/>
        <w:rPr>
          <w:rFonts w:ascii="Avenir Book" w:hAnsi="Avenir Book" w:cs="Calibri"/>
          <w:b w:val="0"/>
          <w:color w:val="17365D"/>
          <w:sz w:val="20"/>
          <w:szCs w:val="20"/>
        </w:rPr>
      </w:pPr>
    </w:p>
    <w:p w14:paraId="45325F89" w14:textId="77777777" w:rsidR="00E5691A" w:rsidRPr="00E5691A" w:rsidRDefault="00E5691A" w:rsidP="00E5691A"/>
    <w:p w14:paraId="334001EF" w14:textId="77777777" w:rsidR="007B5DE5" w:rsidRPr="001C5E14" w:rsidRDefault="007B5DE5" w:rsidP="001B7180">
      <w:pPr>
        <w:pStyle w:val="Heading1"/>
        <w:spacing w:line="276" w:lineRule="auto"/>
        <w:jc w:val="center"/>
        <w:rPr>
          <w:rFonts w:ascii="Avenir Book" w:hAnsi="Avenir Book" w:cs="Calibri"/>
          <w:b w:val="0"/>
          <w:color w:val="17365D"/>
          <w:sz w:val="32"/>
        </w:rPr>
      </w:pPr>
    </w:p>
    <w:p w14:paraId="39970A96" w14:textId="48C62ECB" w:rsidR="007B5DE5" w:rsidRDefault="007E0C2E" w:rsidP="001B7180">
      <w:pPr>
        <w:pStyle w:val="Heading1"/>
        <w:spacing w:line="276" w:lineRule="auto"/>
        <w:jc w:val="center"/>
        <w:rPr>
          <w:rFonts w:ascii="Avenir Book" w:hAnsi="Avenir Book" w:cs="Calibri"/>
          <w:b w:val="0"/>
          <w:color w:val="17365D"/>
          <w:sz w:val="32"/>
        </w:rPr>
      </w:pPr>
      <w:bookmarkStart w:id="18" w:name="_Toc32420643"/>
      <w:bookmarkStart w:id="19" w:name="_Toc32738098"/>
      <w:bookmarkStart w:id="20" w:name="_Toc32738160"/>
      <w:bookmarkStart w:id="21" w:name="_Toc32757937"/>
      <w:bookmarkStart w:id="22" w:name="_Toc32759978"/>
      <w:bookmarkStart w:id="23" w:name="_Toc509911746"/>
      <w:r>
        <w:rPr>
          <w:rFonts w:ascii="Avenir Book" w:hAnsi="Avenir Book" w:cs="Calibri"/>
          <w:b w:val="0"/>
          <w:color w:val="17365D"/>
          <w:sz w:val="32"/>
        </w:rPr>
        <w:t>March</w:t>
      </w:r>
      <w:r w:rsidR="000E657D" w:rsidRPr="001C5E14">
        <w:rPr>
          <w:rFonts w:ascii="Avenir Book" w:hAnsi="Avenir Book" w:cs="Calibri"/>
          <w:b w:val="0"/>
          <w:color w:val="17365D"/>
          <w:sz w:val="32"/>
        </w:rPr>
        <w:t xml:space="preserve"> 2020</w:t>
      </w:r>
      <w:bookmarkEnd w:id="18"/>
      <w:bookmarkEnd w:id="19"/>
      <w:bookmarkEnd w:id="20"/>
      <w:bookmarkEnd w:id="21"/>
      <w:bookmarkEnd w:id="22"/>
    </w:p>
    <w:p w14:paraId="332A3A51" w14:textId="760C0CF1" w:rsidR="001C5E14" w:rsidRPr="001C5E14" w:rsidRDefault="001C5E14" w:rsidP="001C5E14">
      <w:pPr>
        <w:rPr>
          <w:rFonts w:ascii="Avenir Book" w:hAnsi="Avenir Book"/>
        </w:rPr>
      </w:pPr>
    </w:p>
    <w:p w14:paraId="475967C5" w14:textId="4BEED1E6" w:rsidR="001C5E14" w:rsidRPr="001C5E14" w:rsidRDefault="001C5E14" w:rsidP="001C5E14">
      <w:pPr>
        <w:rPr>
          <w:rFonts w:ascii="Avenir Book" w:hAnsi="Avenir Book"/>
        </w:rPr>
      </w:pPr>
    </w:p>
    <w:p w14:paraId="23F73C86" w14:textId="77777777" w:rsidR="001C5E14" w:rsidRPr="001C5E14" w:rsidRDefault="001C5E14" w:rsidP="001C5E14">
      <w:pPr>
        <w:rPr>
          <w:rFonts w:ascii="Avenir Book" w:hAnsi="Avenir Book"/>
        </w:rPr>
      </w:pPr>
    </w:p>
    <w:p w14:paraId="727DF162" w14:textId="77777777" w:rsidR="007B5DE5" w:rsidRPr="00A16838" w:rsidRDefault="007B5DE5" w:rsidP="00121931">
      <w:pPr>
        <w:spacing w:line="276" w:lineRule="auto"/>
        <w:rPr>
          <w:rFonts w:ascii="Calibri" w:hAnsi="Calibri" w:cs="Calibri"/>
          <w:sz w:val="22"/>
        </w:rPr>
      </w:pPr>
      <w:r w:rsidRPr="00A16838">
        <w:rPr>
          <w:rFonts w:ascii="Calibri" w:hAnsi="Calibri" w:cs="Calibri"/>
          <w:sz w:val="22"/>
        </w:rPr>
        <w:br w:type="page"/>
      </w:r>
    </w:p>
    <w:p w14:paraId="64A23516" w14:textId="77777777" w:rsidR="0040289D" w:rsidRPr="00363830" w:rsidRDefault="0040289D" w:rsidP="00640BE6">
      <w:pPr>
        <w:pStyle w:val="Heading2"/>
        <w:spacing w:line="240" w:lineRule="auto"/>
        <w:rPr>
          <w:rFonts w:ascii="Avenir Book" w:hAnsi="Avenir Book" w:cs="Calibri"/>
          <w:color w:val="AC1F79"/>
        </w:rPr>
      </w:pPr>
      <w:bookmarkStart w:id="24" w:name="_Toc509920823"/>
      <w:bookmarkStart w:id="25" w:name="_Toc510523710"/>
      <w:bookmarkStart w:id="26" w:name="_Toc512603440"/>
      <w:bookmarkStart w:id="27" w:name="_Toc512604446"/>
      <w:bookmarkStart w:id="28" w:name="_Toc32738099"/>
      <w:bookmarkStart w:id="29" w:name="_Toc32759979"/>
      <w:r w:rsidRPr="00363830">
        <w:rPr>
          <w:rFonts w:ascii="Avenir Book" w:hAnsi="Avenir Book" w:cs="Calibri"/>
          <w:color w:val="AC1F79"/>
        </w:rPr>
        <w:lastRenderedPageBreak/>
        <w:t>Publishing Information</w:t>
      </w:r>
      <w:bookmarkEnd w:id="23"/>
      <w:bookmarkEnd w:id="24"/>
      <w:bookmarkEnd w:id="25"/>
      <w:bookmarkEnd w:id="26"/>
      <w:bookmarkEnd w:id="27"/>
      <w:bookmarkEnd w:id="28"/>
      <w:bookmarkEnd w:id="29"/>
    </w:p>
    <w:p w14:paraId="3DDB69D4" w14:textId="77777777" w:rsidR="007B5DE5" w:rsidRPr="00363830" w:rsidRDefault="007B5DE5" w:rsidP="00640BE6">
      <w:pPr>
        <w:rPr>
          <w:rFonts w:ascii="Avenir Book" w:hAnsi="Avenir Book" w:cs="Calibri"/>
          <w:bCs/>
          <w:color w:val="CC0099"/>
          <w:sz w:val="22"/>
          <w:szCs w:val="22"/>
        </w:rPr>
      </w:pPr>
    </w:p>
    <w:p w14:paraId="7EEF16BC" w14:textId="07ADA1C6" w:rsidR="00AC3A5E" w:rsidRPr="00363830" w:rsidRDefault="009D2DCA" w:rsidP="00640BE6">
      <w:pPr>
        <w:rPr>
          <w:rFonts w:ascii="Avenir Book" w:hAnsi="Avenir Book" w:cs="Calibri"/>
          <w:b/>
          <w:sz w:val="22"/>
          <w:szCs w:val="22"/>
        </w:rPr>
      </w:pPr>
      <w:bookmarkStart w:id="30" w:name="_Toc468803767"/>
      <w:bookmarkStart w:id="31" w:name="_Toc350082565"/>
      <w:bookmarkStart w:id="32" w:name="_Toc501535864"/>
      <w:bookmarkStart w:id="33" w:name="_Toc501535946"/>
      <w:bookmarkStart w:id="34" w:name="_Toc501537209"/>
      <w:bookmarkStart w:id="35" w:name="_Toc501537273"/>
      <w:bookmarkStart w:id="36" w:name="_Toc501542224"/>
      <w:bookmarkStart w:id="37" w:name="_Toc501542266"/>
      <w:r w:rsidRPr="00363830">
        <w:rPr>
          <w:rFonts w:ascii="Avenir Book" w:hAnsi="Avenir Book" w:cs="Calibri"/>
          <w:b/>
          <w:sz w:val="22"/>
          <w:szCs w:val="22"/>
        </w:rPr>
        <w:t>Women with Disabilities Australia (WWDA) (20</w:t>
      </w:r>
      <w:r w:rsidR="000E657D" w:rsidRPr="00363830">
        <w:rPr>
          <w:rFonts w:ascii="Avenir Book" w:hAnsi="Avenir Book" w:cs="Calibri"/>
          <w:b/>
          <w:sz w:val="22"/>
          <w:szCs w:val="22"/>
        </w:rPr>
        <w:t>20</w:t>
      </w:r>
      <w:r w:rsidRPr="00363830">
        <w:rPr>
          <w:rFonts w:ascii="Avenir Book" w:hAnsi="Avenir Book" w:cs="Calibri"/>
          <w:b/>
          <w:sz w:val="22"/>
          <w:szCs w:val="22"/>
        </w:rPr>
        <w:t xml:space="preserve">). </w:t>
      </w:r>
      <w:r w:rsidR="00310AC4" w:rsidRPr="00363830">
        <w:rPr>
          <w:rFonts w:ascii="Avenir Book" w:hAnsi="Avenir Book" w:cs="Calibri"/>
          <w:b/>
          <w:i/>
          <w:iCs/>
          <w:sz w:val="22"/>
          <w:szCs w:val="22"/>
        </w:rPr>
        <w:t>‘</w:t>
      </w:r>
      <w:r w:rsidR="00D7106F" w:rsidRPr="00363830">
        <w:rPr>
          <w:rFonts w:ascii="Avenir Book" w:hAnsi="Avenir Book" w:cs="Calibri"/>
          <w:b/>
          <w:i/>
          <w:iCs/>
          <w:sz w:val="22"/>
          <w:szCs w:val="22"/>
        </w:rPr>
        <w:t xml:space="preserve">Response to </w:t>
      </w:r>
      <w:r w:rsidR="000E657D" w:rsidRPr="00363830">
        <w:rPr>
          <w:rFonts w:ascii="Avenir Book" w:hAnsi="Avenir Book" w:cs="Calibri"/>
          <w:b/>
          <w:i/>
          <w:iCs/>
          <w:sz w:val="22"/>
          <w:szCs w:val="22"/>
        </w:rPr>
        <w:t>the Education and Learning Issues Paper of the Royal Commission into Violence, Abuse, Neglect and Exploitation of People with Disability’</w:t>
      </w:r>
      <w:r w:rsidR="000E657D" w:rsidRPr="00363830">
        <w:rPr>
          <w:rFonts w:ascii="Avenir Book" w:hAnsi="Avenir Book" w:cs="Calibri"/>
          <w:b/>
          <w:sz w:val="22"/>
          <w:szCs w:val="22"/>
        </w:rPr>
        <w:t xml:space="preserve">. </w:t>
      </w:r>
      <w:r w:rsidR="00234364">
        <w:rPr>
          <w:rFonts w:ascii="Avenir Book" w:hAnsi="Avenir Book" w:cs="Calibri"/>
          <w:b/>
          <w:sz w:val="22"/>
          <w:szCs w:val="22"/>
        </w:rPr>
        <w:t>March</w:t>
      </w:r>
      <w:r w:rsidR="000E657D" w:rsidRPr="00363830">
        <w:rPr>
          <w:rFonts w:ascii="Avenir Book" w:hAnsi="Avenir Book" w:cs="Calibri"/>
          <w:b/>
          <w:sz w:val="22"/>
          <w:szCs w:val="22"/>
        </w:rPr>
        <w:t xml:space="preserve"> 2020. </w:t>
      </w:r>
      <w:r w:rsidR="00310AC4" w:rsidRPr="00363830">
        <w:rPr>
          <w:rFonts w:ascii="Avenir Book" w:hAnsi="Avenir Book" w:cs="Calibri"/>
          <w:b/>
          <w:sz w:val="22"/>
          <w:szCs w:val="22"/>
        </w:rPr>
        <w:t>WWDA: Hobart, Tasmania.</w:t>
      </w:r>
    </w:p>
    <w:p w14:paraId="35482DDF" w14:textId="77777777" w:rsidR="009D2DCA" w:rsidRPr="00363830" w:rsidRDefault="009D2DCA" w:rsidP="00640BE6">
      <w:pPr>
        <w:rPr>
          <w:rFonts w:ascii="Avenir Book" w:hAnsi="Avenir Book" w:cs="Calibri"/>
          <w:sz w:val="22"/>
          <w:szCs w:val="22"/>
        </w:rPr>
      </w:pPr>
    </w:p>
    <w:p w14:paraId="2D149C5B" w14:textId="77777777" w:rsidR="007B5DE5" w:rsidRPr="00363830" w:rsidRDefault="009D2DCA" w:rsidP="00640BE6">
      <w:pPr>
        <w:pStyle w:val="Heading3"/>
        <w:spacing w:line="240" w:lineRule="auto"/>
        <w:jc w:val="left"/>
        <w:rPr>
          <w:rFonts w:ascii="Avenir Book" w:hAnsi="Avenir Book" w:cs="Calibri"/>
          <w:color w:val="AC1F79"/>
        </w:rPr>
      </w:pPr>
      <w:bookmarkStart w:id="38" w:name="_Toc509920824"/>
      <w:bookmarkStart w:id="39" w:name="_Toc510523711"/>
      <w:bookmarkStart w:id="40" w:name="_Toc512603441"/>
      <w:bookmarkStart w:id="41" w:name="_Toc512604447"/>
      <w:bookmarkStart w:id="42" w:name="_Toc32738100"/>
      <w:bookmarkStart w:id="43" w:name="_Toc32757939"/>
      <w:bookmarkStart w:id="44" w:name="_Toc32759980"/>
      <w:r w:rsidRPr="00363830">
        <w:rPr>
          <w:rFonts w:ascii="Avenir Book" w:hAnsi="Avenir Book" w:cs="Calibri"/>
          <w:color w:val="AC1F79"/>
        </w:rPr>
        <w:t>Acknowledg</w:t>
      </w:r>
      <w:r w:rsidR="007B5DE5" w:rsidRPr="00363830">
        <w:rPr>
          <w:rFonts w:ascii="Avenir Book" w:hAnsi="Avenir Book" w:cs="Calibri"/>
          <w:color w:val="AC1F79"/>
        </w:rPr>
        <w:t>ments</w:t>
      </w:r>
      <w:bookmarkEnd w:id="38"/>
      <w:bookmarkEnd w:id="39"/>
      <w:bookmarkEnd w:id="40"/>
      <w:bookmarkEnd w:id="41"/>
      <w:bookmarkEnd w:id="42"/>
      <w:bookmarkEnd w:id="43"/>
      <w:bookmarkEnd w:id="44"/>
    </w:p>
    <w:p w14:paraId="639E5CCD" w14:textId="3DD1F889" w:rsidR="00310AC4" w:rsidRPr="00363830" w:rsidRDefault="00310AC4" w:rsidP="00640BE6">
      <w:pPr>
        <w:rPr>
          <w:rFonts w:ascii="Avenir Book" w:hAnsi="Avenir Book" w:cs="Calibri"/>
          <w:sz w:val="20"/>
          <w:szCs w:val="20"/>
        </w:rPr>
      </w:pPr>
    </w:p>
    <w:p w14:paraId="4D5B104B" w14:textId="77777777" w:rsidR="00310AC4" w:rsidRPr="00363830" w:rsidRDefault="00310AC4" w:rsidP="00363830">
      <w:pPr>
        <w:rPr>
          <w:rFonts w:ascii="Avenir Book" w:hAnsi="Avenir Book" w:cs="Calibri"/>
          <w:sz w:val="20"/>
          <w:szCs w:val="20"/>
        </w:rPr>
      </w:pPr>
      <w:r w:rsidRPr="00363830">
        <w:rPr>
          <w:rFonts w:ascii="Avenir Book" w:hAnsi="Avenir Book" w:cs="Calibri"/>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398CF5B2" w14:textId="462DC2B7" w:rsidR="00310AC4" w:rsidRPr="00363830" w:rsidRDefault="00310AC4" w:rsidP="00363830">
      <w:pPr>
        <w:rPr>
          <w:rFonts w:ascii="Avenir Book" w:hAnsi="Avenir Book" w:cs="Calibri"/>
          <w:sz w:val="20"/>
          <w:szCs w:val="20"/>
        </w:rPr>
      </w:pPr>
    </w:p>
    <w:p w14:paraId="1146497D" w14:textId="69639F3C" w:rsidR="0071331C" w:rsidRPr="00363830" w:rsidRDefault="0071331C" w:rsidP="00363830">
      <w:pPr>
        <w:rPr>
          <w:rFonts w:ascii="Avenir Book" w:eastAsiaTheme="minorHAnsi" w:hAnsi="Avenir Book" w:cs="Calibri"/>
          <w:sz w:val="20"/>
          <w:szCs w:val="20"/>
        </w:rPr>
      </w:pPr>
      <w:r w:rsidRPr="00363830">
        <w:rPr>
          <w:rFonts w:ascii="Avenir Book" w:hAnsi="Avenir Book" w:cs="Calibri"/>
          <w:sz w:val="20"/>
          <w:szCs w:val="20"/>
        </w:rPr>
        <w:t xml:space="preserve">This document was </w:t>
      </w:r>
      <w:r w:rsidR="00944977">
        <w:rPr>
          <w:rFonts w:ascii="Avenir Book" w:hAnsi="Avenir Book" w:cs="Calibri"/>
          <w:sz w:val="20"/>
          <w:szCs w:val="20"/>
        </w:rPr>
        <w:t>written</w:t>
      </w:r>
      <w:r w:rsidRPr="00363830">
        <w:rPr>
          <w:rFonts w:ascii="Avenir Book" w:hAnsi="Avenir Book" w:cs="Calibri"/>
          <w:sz w:val="20"/>
          <w:szCs w:val="20"/>
        </w:rPr>
        <w:t xml:space="preserve"> by Therese Sands for and on behalf of Women with Disabilities Australia (WWDA). </w:t>
      </w:r>
    </w:p>
    <w:p w14:paraId="6493B2FC" w14:textId="77777777" w:rsidR="0071331C" w:rsidRPr="00363830" w:rsidRDefault="0071331C" w:rsidP="00363830">
      <w:pPr>
        <w:rPr>
          <w:rFonts w:ascii="Avenir Book" w:hAnsi="Avenir Book" w:cs="Calibri"/>
          <w:sz w:val="20"/>
          <w:szCs w:val="20"/>
        </w:rPr>
      </w:pPr>
    </w:p>
    <w:p w14:paraId="631DE3D3" w14:textId="13891A8F" w:rsidR="00AC3A5E" w:rsidRPr="00363830" w:rsidRDefault="009D2DCA" w:rsidP="00363830">
      <w:pPr>
        <w:rPr>
          <w:rFonts w:ascii="Avenir Book" w:hAnsi="Avenir Book" w:cs="Calibri"/>
          <w:sz w:val="20"/>
          <w:szCs w:val="20"/>
        </w:rPr>
      </w:pPr>
      <w:r w:rsidRPr="00363830">
        <w:rPr>
          <w:rFonts w:ascii="Avenir Book" w:hAnsi="Avenir Book" w:cs="Calibri"/>
          <w:sz w:val="20"/>
          <w:szCs w:val="20"/>
        </w:rPr>
        <w:t xml:space="preserve">Women with Disabilities Australia (WWDA) receives </w:t>
      </w:r>
      <w:r w:rsidR="00D7106F" w:rsidRPr="00363830">
        <w:rPr>
          <w:rFonts w:ascii="Avenir Book" w:hAnsi="Avenir Book" w:cs="Calibri"/>
          <w:sz w:val="20"/>
          <w:szCs w:val="20"/>
        </w:rPr>
        <w:t xml:space="preserve">part of its </w:t>
      </w:r>
      <w:r w:rsidRPr="00363830">
        <w:rPr>
          <w:rFonts w:ascii="Avenir Book" w:hAnsi="Avenir Book" w:cs="Calibri"/>
          <w:sz w:val="20"/>
          <w:szCs w:val="20"/>
        </w:rPr>
        <w:t>funding from the Australian Government</w:t>
      </w:r>
      <w:r w:rsidR="00E528DD" w:rsidRPr="00363830">
        <w:rPr>
          <w:rFonts w:ascii="Avenir Book" w:hAnsi="Avenir Book" w:cs="Calibri"/>
          <w:sz w:val="20"/>
          <w:szCs w:val="20"/>
        </w:rPr>
        <w:t>, Department of Social Services.</w:t>
      </w:r>
    </w:p>
    <w:p w14:paraId="0CBA0693" w14:textId="77777777" w:rsidR="00AC3A5E" w:rsidRPr="00363830" w:rsidRDefault="00AC3A5E" w:rsidP="00363830">
      <w:pPr>
        <w:rPr>
          <w:rFonts w:ascii="Avenir Book" w:hAnsi="Avenir Book" w:cs="Calibri"/>
          <w:sz w:val="20"/>
          <w:szCs w:val="20"/>
        </w:rPr>
      </w:pPr>
    </w:p>
    <w:p w14:paraId="579ADE9D" w14:textId="77777777" w:rsidR="00310AC4" w:rsidRPr="00363830" w:rsidRDefault="007B5DE5" w:rsidP="00BF1474">
      <w:pPr>
        <w:pStyle w:val="Heading3"/>
        <w:spacing w:line="240" w:lineRule="auto"/>
        <w:jc w:val="left"/>
        <w:rPr>
          <w:rFonts w:ascii="Avenir Book" w:hAnsi="Avenir Book" w:cs="Calibri"/>
          <w:color w:val="AC1F79"/>
        </w:rPr>
      </w:pPr>
      <w:bookmarkStart w:id="45" w:name="_Toc468803765"/>
      <w:bookmarkStart w:id="46" w:name="_Toc350082564"/>
      <w:bookmarkStart w:id="47" w:name="_Toc501535863"/>
      <w:bookmarkStart w:id="48" w:name="_Toc501535945"/>
      <w:bookmarkStart w:id="49" w:name="_Toc501537208"/>
      <w:bookmarkStart w:id="50" w:name="_Toc501537272"/>
      <w:bookmarkStart w:id="51" w:name="_Toc501542223"/>
      <w:bookmarkStart w:id="52" w:name="_Toc501542265"/>
      <w:bookmarkStart w:id="53" w:name="_Toc509920825"/>
      <w:bookmarkStart w:id="54" w:name="_Toc510523712"/>
      <w:bookmarkStart w:id="55" w:name="_Toc512603442"/>
      <w:bookmarkStart w:id="56" w:name="_Toc512604448"/>
      <w:bookmarkStart w:id="57" w:name="_Toc32738101"/>
      <w:bookmarkStart w:id="58" w:name="_Toc32738163"/>
      <w:bookmarkStart w:id="59" w:name="_Toc32757940"/>
      <w:bookmarkStart w:id="60" w:name="_Toc32759981"/>
      <w:r w:rsidRPr="00363830">
        <w:rPr>
          <w:rFonts w:ascii="Avenir Book" w:hAnsi="Avenir Book" w:cs="Calibri"/>
          <w:color w:val="AC1F79"/>
        </w:rPr>
        <w:t>Contact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363830">
        <w:rPr>
          <w:rFonts w:ascii="Avenir Book" w:hAnsi="Avenir Book" w:cs="Calibri"/>
          <w:color w:val="AC1F79"/>
        </w:rPr>
        <w:t xml:space="preserve"> </w:t>
      </w:r>
    </w:p>
    <w:p w14:paraId="6B5B0320" w14:textId="77777777" w:rsidR="000233A0" w:rsidRPr="00640BE6" w:rsidRDefault="000233A0" w:rsidP="00BF1474">
      <w:pPr>
        <w:rPr>
          <w:rFonts w:ascii="Avenir Book" w:hAnsi="Avenir Book" w:cs="Calibri"/>
          <w:sz w:val="20"/>
          <w:szCs w:val="20"/>
        </w:rPr>
      </w:pPr>
    </w:p>
    <w:p w14:paraId="1D93D784" w14:textId="77777777" w:rsidR="00310AC4" w:rsidRPr="00363830" w:rsidRDefault="00310AC4" w:rsidP="0071331C">
      <w:pPr>
        <w:rPr>
          <w:rFonts w:ascii="Avenir Book" w:hAnsi="Avenir Book" w:cs="Calibri"/>
          <w:sz w:val="18"/>
          <w:szCs w:val="18"/>
        </w:rPr>
      </w:pPr>
      <w:r w:rsidRPr="00363830">
        <w:rPr>
          <w:rFonts w:ascii="Avenir Book" w:hAnsi="Avenir Book" w:cs="Calibri"/>
          <w:sz w:val="18"/>
          <w:szCs w:val="18"/>
        </w:rPr>
        <w:t>Women with Disabilities Australia (WWDA)</w:t>
      </w:r>
    </w:p>
    <w:p w14:paraId="4BBFA437" w14:textId="77777777" w:rsidR="00F42993" w:rsidRPr="00363830" w:rsidRDefault="00F42993" w:rsidP="0071331C">
      <w:pPr>
        <w:rPr>
          <w:rFonts w:ascii="Avenir Book" w:hAnsi="Avenir Book" w:cs="Calibri"/>
          <w:sz w:val="18"/>
          <w:szCs w:val="18"/>
        </w:rPr>
      </w:pPr>
      <w:r w:rsidRPr="00363830">
        <w:rPr>
          <w:rFonts w:ascii="Avenir Book" w:hAnsi="Avenir Book" w:cs="Calibri"/>
          <w:sz w:val="18"/>
          <w:szCs w:val="18"/>
        </w:rPr>
        <w:t>Contact: Carolyn Frohmader, Executive Director</w:t>
      </w:r>
    </w:p>
    <w:p w14:paraId="120BB3D7" w14:textId="77777777" w:rsidR="00310AC4" w:rsidRPr="00363830" w:rsidRDefault="00310AC4" w:rsidP="0071331C">
      <w:pPr>
        <w:rPr>
          <w:rFonts w:ascii="Avenir Book" w:hAnsi="Avenir Book" w:cs="Calibri"/>
          <w:iCs/>
          <w:sz w:val="18"/>
          <w:szCs w:val="18"/>
        </w:rPr>
      </w:pPr>
      <w:r w:rsidRPr="00363830">
        <w:rPr>
          <w:rFonts w:ascii="Avenir Book" w:hAnsi="Avenir Book" w:cs="Calibri"/>
          <w:iCs/>
          <w:sz w:val="18"/>
          <w:szCs w:val="18"/>
        </w:rPr>
        <w:t>PO Box 407, Lenah Valley, 7008 Tasmania</w:t>
      </w:r>
      <w:r w:rsidR="00F22E4B" w:rsidRPr="00363830">
        <w:rPr>
          <w:rFonts w:ascii="Avenir Book" w:hAnsi="Avenir Book" w:cs="Calibri"/>
          <w:iCs/>
          <w:sz w:val="18"/>
          <w:szCs w:val="18"/>
        </w:rPr>
        <w:t>, Australia</w:t>
      </w:r>
    </w:p>
    <w:p w14:paraId="65FEFB1F" w14:textId="77777777" w:rsidR="00310AC4" w:rsidRPr="00363830" w:rsidRDefault="00310AC4" w:rsidP="0071331C">
      <w:pPr>
        <w:rPr>
          <w:rFonts w:ascii="Avenir Book" w:hAnsi="Avenir Book" w:cs="Calibri"/>
          <w:iCs/>
          <w:sz w:val="18"/>
          <w:szCs w:val="18"/>
        </w:rPr>
      </w:pPr>
      <w:r w:rsidRPr="00363830">
        <w:rPr>
          <w:rFonts w:ascii="Avenir Book" w:hAnsi="Avenir Book" w:cs="Calibri"/>
          <w:iCs/>
          <w:sz w:val="18"/>
          <w:szCs w:val="18"/>
        </w:rPr>
        <w:t>Phone: +61 438 535 123</w:t>
      </w:r>
    </w:p>
    <w:p w14:paraId="01F4C110" w14:textId="77777777" w:rsidR="00310AC4" w:rsidRPr="00363830" w:rsidRDefault="00310AC4" w:rsidP="0071331C">
      <w:pPr>
        <w:rPr>
          <w:rFonts w:ascii="Avenir Book" w:hAnsi="Avenir Book" w:cs="Calibri"/>
          <w:sz w:val="18"/>
          <w:szCs w:val="18"/>
        </w:rPr>
      </w:pPr>
      <w:r w:rsidRPr="00363830">
        <w:rPr>
          <w:rFonts w:ascii="Avenir Book" w:hAnsi="Avenir Book" w:cs="Calibri"/>
          <w:iCs/>
          <w:sz w:val="18"/>
          <w:szCs w:val="18"/>
        </w:rPr>
        <w:t xml:space="preserve">Email: </w:t>
      </w:r>
      <w:hyperlink r:id="rId9" w:history="1">
        <w:r w:rsidRPr="00363830">
          <w:rPr>
            <w:rStyle w:val="Hyperlink"/>
            <w:rFonts w:ascii="Avenir Book" w:hAnsi="Avenir Book" w:cs="Calibri"/>
            <w:sz w:val="18"/>
            <w:szCs w:val="18"/>
          </w:rPr>
          <w:t>carolyn@wwda.org.au</w:t>
        </w:r>
      </w:hyperlink>
    </w:p>
    <w:p w14:paraId="259F2C66" w14:textId="77777777" w:rsidR="00310AC4" w:rsidRPr="00363830" w:rsidRDefault="00310AC4" w:rsidP="0071331C">
      <w:pPr>
        <w:rPr>
          <w:rFonts w:ascii="Avenir Book" w:hAnsi="Avenir Book" w:cs="Calibri"/>
          <w:sz w:val="18"/>
          <w:szCs w:val="18"/>
          <w:u w:val="single"/>
        </w:rPr>
      </w:pPr>
      <w:r w:rsidRPr="00363830">
        <w:rPr>
          <w:rFonts w:ascii="Avenir Book" w:hAnsi="Avenir Book" w:cs="Calibri"/>
          <w:iCs/>
          <w:sz w:val="18"/>
          <w:szCs w:val="18"/>
        </w:rPr>
        <w:t xml:space="preserve">Web: </w:t>
      </w:r>
      <w:hyperlink r:id="rId10" w:history="1">
        <w:r w:rsidRPr="00363830">
          <w:rPr>
            <w:rStyle w:val="Hyperlink"/>
            <w:rFonts w:ascii="Avenir Book" w:hAnsi="Avenir Book" w:cs="Calibri"/>
            <w:sz w:val="18"/>
            <w:szCs w:val="18"/>
          </w:rPr>
          <w:t>www.wwda.org.au</w:t>
        </w:r>
      </w:hyperlink>
    </w:p>
    <w:p w14:paraId="667717A0" w14:textId="77777777" w:rsidR="00310AC4" w:rsidRPr="00363830" w:rsidRDefault="00310AC4" w:rsidP="0071331C">
      <w:pPr>
        <w:rPr>
          <w:rFonts w:ascii="Avenir Book" w:hAnsi="Avenir Book" w:cs="Calibri"/>
          <w:sz w:val="18"/>
          <w:szCs w:val="18"/>
          <w:lang w:val="en-US"/>
        </w:rPr>
      </w:pPr>
      <w:r w:rsidRPr="00363830">
        <w:rPr>
          <w:rFonts w:ascii="Avenir Book" w:hAnsi="Avenir Book" w:cs="Calibri"/>
          <w:sz w:val="18"/>
          <w:szCs w:val="18"/>
          <w:lang w:val="en-US"/>
        </w:rPr>
        <w:t>Facebook: </w:t>
      </w:r>
      <w:hyperlink r:id="rId11" w:history="1">
        <w:r w:rsidRPr="00363830">
          <w:rPr>
            <w:rStyle w:val="Hyperlink"/>
            <w:rFonts w:ascii="Avenir Book" w:hAnsi="Avenir Book" w:cs="Calibri"/>
            <w:sz w:val="18"/>
            <w:szCs w:val="18"/>
            <w:lang w:val="en-US"/>
          </w:rPr>
          <w:t>www.facebook.com/WWDA.Australia</w:t>
        </w:r>
      </w:hyperlink>
    </w:p>
    <w:p w14:paraId="01D24C6A" w14:textId="77777777" w:rsidR="00310AC4" w:rsidRPr="00363830" w:rsidRDefault="00310AC4" w:rsidP="0071331C">
      <w:pPr>
        <w:rPr>
          <w:rFonts w:ascii="Avenir Book" w:hAnsi="Avenir Book" w:cs="Calibri"/>
          <w:sz w:val="18"/>
          <w:szCs w:val="18"/>
        </w:rPr>
      </w:pPr>
      <w:r w:rsidRPr="00363830">
        <w:rPr>
          <w:rFonts w:ascii="Avenir Book" w:hAnsi="Avenir Book" w:cs="Calibri"/>
          <w:sz w:val="18"/>
          <w:szCs w:val="18"/>
          <w:lang w:val="en-US"/>
        </w:rPr>
        <w:t>Twitter: </w:t>
      </w:r>
      <w:hyperlink r:id="rId12" w:history="1">
        <w:r w:rsidRPr="00363830">
          <w:rPr>
            <w:rStyle w:val="Hyperlink"/>
            <w:rFonts w:ascii="Avenir Book" w:hAnsi="Avenir Book" w:cs="Calibri"/>
            <w:sz w:val="18"/>
            <w:szCs w:val="18"/>
            <w:lang w:val="en-US"/>
          </w:rPr>
          <w:t>www.twitter.com/WWDA_AU</w:t>
        </w:r>
      </w:hyperlink>
    </w:p>
    <w:p w14:paraId="7BCA3893" w14:textId="77777777" w:rsidR="00F42993" w:rsidRPr="00363830" w:rsidRDefault="00F42993" w:rsidP="00121931">
      <w:pPr>
        <w:spacing w:line="276" w:lineRule="auto"/>
        <w:rPr>
          <w:rFonts w:ascii="Avenir Book" w:hAnsi="Avenir Book" w:cs="Calibri"/>
          <w:sz w:val="18"/>
          <w:szCs w:val="18"/>
        </w:rPr>
      </w:pPr>
    </w:p>
    <w:p w14:paraId="17E956D8"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National Human Rights Award 2001</w:t>
      </w:r>
    </w:p>
    <w:p w14:paraId="6DB55530"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National Violence Prevention Award 1999</w:t>
      </w:r>
    </w:p>
    <w:p w14:paraId="6091FF88"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Tasmanian Women's Safety Award 2008</w:t>
      </w:r>
    </w:p>
    <w:p w14:paraId="5C04F03A" w14:textId="37C286BF"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Certificate of Merit</w:t>
      </w:r>
      <w:r w:rsidRPr="00363830">
        <w:rPr>
          <w:rFonts w:ascii="Avenir Book" w:hAnsi="Avenir Book" w:cs="Calibri"/>
          <w:sz w:val="16"/>
          <w:szCs w:val="16"/>
        </w:rPr>
        <w:t>, Australian Crime &amp; Violence Prevention Awards 2008</w:t>
      </w:r>
    </w:p>
    <w:p w14:paraId="3CB829C6" w14:textId="17B25888" w:rsidR="00940EFA" w:rsidRPr="00363830" w:rsidRDefault="00940EFA" w:rsidP="0071331C">
      <w:pPr>
        <w:rPr>
          <w:rFonts w:ascii="Avenir Book" w:hAnsi="Avenir Book" w:cs="Calibri"/>
          <w:sz w:val="16"/>
          <w:szCs w:val="16"/>
        </w:rPr>
      </w:pPr>
      <w:r w:rsidRPr="00363830">
        <w:rPr>
          <w:rFonts w:ascii="Avenir Book" w:hAnsi="Avenir Book" w:cs="Calibri"/>
          <w:i/>
          <w:iCs/>
          <w:sz w:val="16"/>
          <w:szCs w:val="16"/>
        </w:rPr>
        <w:t>Nominee,</w:t>
      </w:r>
      <w:r w:rsidRPr="00363830">
        <w:rPr>
          <w:rFonts w:ascii="Avenir Book" w:hAnsi="Avenir Book" w:cs="Calibri"/>
          <w:sz w:val="16"/>
          <w:szCs w:val="16"/>
        </w:rPr>
        <w:t xml:space="preserve"> National Disability Awards 2017</w:t>
      </w:r>
    </w:p>
    <w:p w14:paraId="4480C985"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Nominee</w:t>
      </w:r>
      <w:r w:rsidRPr="00363830">
        <w:rPr>
          <w:rFonts w:ascii="Avenir Book" w:hAnsi="Avenir Book" w:cs="Calibri"/>
          <w:sz w:val="16"/>
          <w:szCs w:val="16"/>
        </w:rPr>
        <w:t>, French Republic's Human Rights Prize 2003</w:t>
      </w:r>
    </w:p>
    <w:p w14:paraId="1BBFD51A" w14:textId="66FA1EB1"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Nominee</w:t>
      </w:r>
      <w:r w:rsidRPr="00363830">
        <w:rPr>
          <w:rFonts w:ascii="Avenir Book" w:hAnsi="Avenir Book" w:cs="Calibri"/>
          <w:sz w:val="16"/>
          <w:szCs w:val="16"/>
        </w:rPr>
        <w:t>, UN Millennium Peace Prize for Women 2000</w:t>
      </w:r>
    </w:p>
    <w:p w14:paraId="769FF2DA" w14:textId="71349C97" w:rsidR="00BE3470" w:rsidRPr="00363830" w:rsidRDefault="00BE3470" w:rsidP="00640BE6">
      <w:pPr>
        <w:rPr>
          <w:rFonts w:ascii="Avenir Book" w:hAnsi="Avenir Book" w:cs="Calibri"/>
          <w:sz w:val="20"/>
          <w:szCs w:val="20"/>
        </w:rPr>
      </w:pPr>
    </w:p>
    <w:p w14:paraId="313B17D8" w14:textId="77777777" w:rsidR="00BE3470" w:rsidRPr="00363830" w:rsidRDefault="00BE3470" w:rsidP="00640BE6">
      <w:pPr>
        <w:rPr>
          <w:rFonts w:ascii="Avenir Book" w:hAnsi="Avenir Book" w:cs="Calibri Light"/>
          <w:b/>
          <w:bCs/>
          <w:color w:val="AC1F79"/>
        </w:rPr>
      </w:pPr>
      <w:r w:rsidRPr="00363830">
        <w:rPr>
          <w:rFonts w:ascii="Avenir Book" w:hAnsi="Avenir Book" w:cs="Calibri Light"/>
          <w:b/>
          <w:bCs/>
          <w:color w:val="AC1F79"/>
          <w:sz w:val="22"/>
          <w:szCs w:val="22"/>
        </w:rPr>
        <w:t>Disclaimer</w:t>
      </w:r>
    </w:p>
    <w:p w14:paraId="430E7689" w14:textId="77777777" w:rsidR="00BE3470" w:rsidRPr="00363830" w:rsidRDefault="00BE3470" w:rsidP="00640BE6">
      <w:pPr>
        <w:jc w:val="both"/>
        <w:rPr>
          <w:rFonts w:ascii="Avenir Book" w:hAnsi="Avenir Book" w:cs="Calibri Light"/>
          <w:sz w:val="18"/>
          <w:szCs w:val="18"/>
        </w:rPr>
      </w:pPr>
    </w:p>
    <w:p w14:paraId="1CE64109" w14:textId="46029899" w:rsidR="00BE3470" w:rsidRPr="00363830" w:rsidRDefault="00BE3470" w:rsidP="00363830">
      <w:pPr>
        <w:jc w:val="both"/>
        <w:rPr>
          <w:rFonts w:ascii="Avenir Book" w:hAnsi="Avenir Book" w:cs="Calibri Light"/>
          <w:sz w:val="18"/>
          <w:szCs w:val="18"/>
        </w:rPr>
      </w:pPr>
      <w:r w:rsidRPr="00363830">
        <w:rPr>
          <w:rFonts w:ascii="Avenir Book" w:hAnsi="Avenir Book" w:cs="Calibri Light"/>
          <w:sz w:val="18"/>
          <w:szCs w:val="18"/>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A5B6B06" w14:textId="558B2BDB" w:rsidR="00BE3470" w:rsidRDefault="00BE3470" w:rsidP="00172C86">
      <w:pPr>
        <w:rPr>
          <w:rFonts w:ascii="Avenir Book" w:hAnsi="Avenir Book" w:cs="Calibri"/>
          <w:sz w:val="20"/>
          <w:szCs w:val="20"/>
        </w:rPr>
      </w:pPr>
    </w:p>
    <w:p w14:paraId="652F1D85" w14:textId="77777777" w:rsidR="00640BE6" w:rsidRPr="00640BE6" w:rsidRDefault="00640BE6" w:rsidP="00640BE6">
      <w:pPr>
        <w:rPr>
          <w:rFonts w:ascii="Avenir Book" w:hAnsi="Avenir Book" w:cs="Calibri"/>
          <w:b/>
          <w:sz w:val="20"/>
          <w:szCs w:val="20"/>
        </w:rPr>
      </w:pPr>
      <w:bookmarkStart w:id="61" w:name="_Toc468803771"/>
      <w:r w:rsidRPr="00640BE6">
        <w:rPr>
          <w:rFonts w:ascii="Avenir Book" w:hAnsi="Avenir Book" w:cs="Calibri"/>
          <w:sz w:val="20"/>
          <w:szCs w:val="20"/>
        </w:rPr>
        <w:t>This work is copyright. Apart from any use as permitted under the Copyright Act 1968, no part may be reproduced without written permission from Women With Disabilities Australia (WWDA).</w:t>
      </w:r>
      <w:bookmarkEnd w:id="61"/>
    </w:p>
    <w:p w14:paraId="5B8C671C" w14:textId="77777777" w:rsidR="00640BE6" w:rsidRPr="00640BE6" w:rsidRDefault="00640BE6" w:rsidP="00640BE6">
      <w:pPr>
        <w:rPr>
          <w:rFonts w:ascii="Avenir Book" w:hAnsi="Avenir Book" w:cs="Calibri"/>
          <w:sz w:val="20"/>
          <w:szCs w:val="20"/>
        </w:rPr>
      </w:pPr>
    </w:p>
    <w:p w14:paraId="345C7750" w14:textId="77777777" w:rsidR="00640BE6" w:rsidRPr="00640BE6" w:rsidRDefault="00640BE6" w:rsidP="00640BE6">
      <w:pPr>
        <w:rPr>
          <w:rFonts w:ascii="Avenir Book" w:hAnsi="Avenir Book" w:cs="Calibri"/>
          <w:sz w:val="20"/>
          <w:szCs w:val="20"/>
        </w:rPr>
      </w:pPr>
      <w:bookmarkStart w:id="62" w:name="_Toc468803773"/>
      <w:r w:rsidRPr="00640BE6">
        <w:rPr>
          <w:rFonts w:ascii="Avenir Book" w:hAnsi="Avenir Book" w:cs="Calibri"/>
          <w:sz w:val="20"/>
          <w:szCs w:val="20"/>
        </w:rPr>
        <w:t>© 2020 Women With Disabilities Australia (WWDA).</w:t>
      </w:r>
      <w:bookmarkEnd w:id="62"/>
      <w:r w:rsidRPr="00640BE6">
        <w:rPr>
          <w:rFonts w:ascii="Avenir Book" w:hAnsi="Avenir Book" w:cs="Calibri"/>
          <w:sz w:val="20"/>
          <w:szCs w:val="20"/>
        </w:rPr>
        <w:t xml:space="preserve"> </w:t>
      </w:r>
    </w:p>
    <w:p w14:paraId="5A59FF3E" w14:textId="77777777" w:rsidR="00640BE6" w:rsidRPr="00640BE6" w:rsidRDefault="00640BE6" w:rsidP="00640BE6">
      <w:pPr>
        <w:rPr>
          <w:rFonts w:ascii="Avenir Book" w:hAnsi="Avenir Book" w:cs="Calibri"/>
          <w:sz w:val="20"/>
          <w:szCs w:val="20"/>
        </w:rPr>
      </w:pPr>
    </w:p>
    <w:p w14:paraId="49A1DCCB" w14:textId="77777777" w:rsidR="00640BE6" w:rsidRPr="00640BE6" w:rsidRDefault="00640BE6" w:rsidP="00640BE6">
      <w:pPr>
        <w:rPr>
          <w:rFonts w:ascii="Avenir Book" w:hAnsi="Avenir Book" w:cs="Calibri"/>
          <w:bCs/>
          <w:sz w:val="20"/>
          <w:szCs w:val="20"/>
        </w:rPr>
      </w:pPr>
      <w:r w:rsidRPr="00640BE6">
        <w:rPr>
          <w:rFonts w:ascii="Avenir Book" w:hAnsi="Avenir Book" w:cs="Calibri"/>
          <w:sz w:val="20"/>
          <w:szCs w:val="20"/>
        </w:rPr>
        <w:t xml:space="preserve">ABN: </w:t>
      </w:r>
      <w:r w:rsidRPr="00640BE6">
        <w:rPr>
          <w:rFonts w:ascii="Avenir Book" w:hAnsi="Avenir Book" w:cs="Calibri"/>
          <w:bCs/>
          <w:sz w:val="20"/>
          <w:szCs w:val="20"/>
        </w:rPr>
        <w:t>23 627 650 121</w:t>
      </w:r>
    </w:p>
    <w:p w14:paraId="250252CC" w14:textId="77777777" w:rsidR="00640BE6" w:rsidRPr="00363830" w:rsidRDefault="00640BE6" w:rsidP="00172C86">
      <w:pPr>
        <w:rPr>
          <w:rFonts w:ascii="Avenir Book" w:hAnsi="Avenir Book" w:cs="Calibri"/>
          <w:sz w:val="20"/>
          <w:szCs w:val="20"/>
        </w:rPr>
      </w:pPr>
    </w:p>
    <w:p w14:paraId="295EFB7F"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b/>
          <w:sz w:val="22"/>
          <w:szCs w:val="22"/>
        </w:rPr>
        <w:br w:type="page"/>
      </w:r>
    </w:p>
    <w:p w14:paraId="3BE301B1" w14:textId="77777777" w:rsidR="00AC3A5E" w:rsidRPr="00640BE6" w:rsidRDefault="00AC3A5E" w:rsidP="00E73533">
      <w:pPr>
        <w:pStyle w:val="Heading2"/>
        <w:rPr>
          <w:rFonts w:ascii="Avenir Book" w:hAnsi="Avenir Book" w:cstheme="minorHAnsi"/>
          <w:color w:val="AC1F79"/>
        </w:rPr>
      </w:pPr>
      <w:bookmarkStart w:id="63" w:name="_Toc509920827"/>
      <w:bookmarkStart w:id="64" w:name="_Toc510523714"/>
      <w:bookmarkStart w:id="65" w:name="_Toc512603443"/>
      <w:bookmarkStart w:id="66" w:name="_Toc512604449"/>
      <w:bookmarkStart w:id="67" w:name="_Toc32738102"/>
      <w:bookmarkStart w:id="68" w:name="_Toc32759982"/>
      <w:bookmarkEnd w:id="30"/>
      <w:bookmarkEnd w:id="31"/>
      <w:bookmarkEnd w:id="32"/>
      <w:bookmarkEnd w:id="33"/>
      <w:bookmarkEnd w:id="34"/>
      <w:bookmarkEnd w:id="35"/>
      <w:bookmarkEnd w:id="36"/>
      <w:bookmarkEnd w:id="37"/>
      <w:r w:rsidRPr="00640BE6">
        <w:rPr>
          <w:rFonts w:ascii="Avenir Book" w:hAnsi="Avenir Book" w:cstheme="minorHAnsi"/>
          <w:color w:val="AC1F79"/>
        </w:rPr>
        <w:lastRenderedPageBreak/>
        <w:t>About Women with Disabilities Australia (WWDA)</w:t>
      </w:r>
      <w:bookmarkEnd w:id="63"/>
      <w:bookmarkEnd w:id="64"/>
      <w:bookmarkEnd w:id="65"/>
      <w:bookmarkEnd w:id="66"/>
      <w:bookmarkEnd w:id="67"/>
      <w:bookmarkEnd w:id="68"/>
    </w:p>
    <w:p w14:paraId="0EC4B2E1" w14:textId="77777777" w:rsidR="00AC3A5E" w:rsidRPr="00640BE6" w:rsidRDefault="00AC3A5E" w:rsidP="00121931">
      <w:pPr>
        <w:spacing w:line="276" w:lineRule="auto"/>
        <w:rPr>
          <w:rFonts w:ascii="Avenir Book" w:hAnsi="Avenir Book" w:cs="Calibri"/>
          <w:sz w:val="22"/>
          <w:szCs w:val="22"/>
        </w:rPr>
      </w:pPr>
    </w:p>
    <w:p w14:paraId="2B0F1178" w14:textId="77777777" w:rsidR="00AC3A5E" w:rsidRPr="00640BE6" w:rsidRDefault="00AC3A5E" w:rsidP="00121931">
      <w:pPr>
        <w:spacing w:line="276" w:lineRule="auto"/>
        <w:rPr>
          <w:rFonts w:ascii="Avenir Book" w:hAnsi="Avenir Book" w:cs="Calibri"/>
          <w:sz w:val="22"/>
          <w:szCs w:val="22"/>
        </w:rPr>
      </w:pPr>
      <w:r w:rsidRPr="00640BE6">
        <w:rPr>
          <w:rFonts w:ascii="Avenir Book" w:hAnsi="Avenir Book" w:cs="Calibri"/>
          <w:sz w:val="22"/>
          <w:szCs w:val="22"/>
        </w:rPr>
        <w:t>Women With Disabilities Australia (WWDA)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C1DF71E" w14:textId="77777777" w:rsidR="00AC3A5E" w:rsidRPr="00640BE6" w:rsidRDefault="00AC3A5E" w:rsidP="00121931">
      <w:pPr>
        <w:spacing w:line="276" w:lineRule="auto"/>
        <w:rPr>
          <w:rFonts w:ascii="Avenir Book" w:hAnsi="Avenir Book" w:cs="Calibri"/>
          <w:sz w:val="22"/>
          <w:szCs w:val="22"/>
        </w:rPr>
      </w:pPr>
    </w:p>
    <w:p w14:paraId="249E2187" w14:textId="77777777" w:rsidR="00AC3A5E" w:rsidRPr="00640BE6" w:rsidRDefault="00AC3A5E" w:rsidP="00121931">
      <w:pPr>
        <w:spacing w:line="276" w:lineRule="auto"/>
        <w:rPr>
          <w:rFonts w:ascii="Avenir Book" w:hAnsi="Avenir Book" w:cs="Calibri"/>
          <w:sz w:val="22"/>
          <w:szCs w:val="22"/>
        </w:rPr>
      </w:pPr>
      <w:r w:rsidRPr="00640BE6">
        <w:rPr>
          <w:rFonts w:ascii="Avenir Book" w:hAnsi="Avenir Book" w:cs="Calibri"/>
          <w:sz w:val="22"/>
          <w:szCs w:val="22"/>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14:paraId="6178F39C" w14:textId="77777777" w:rsidR="00AC3A5E" w:rsidRPr="00640BE6" w:rsidRDefault="00AC3A5E" w:rsidP="00121931">
      <w:pPr>
        <w:spacing w:line="276" w:lineRule="auto"/>
        <w:rPr>
          <w:rFonts w:ascii="Avenir Book" w:hAnsi="Avenir Book" w:cs="Calibri"/>
          <w:sz w:val="22"/>
          <w:szCs w:val="22"/>
        </w:rPr>
      </w:pPr>
    </w:p>
    <w:p w14:paraId="78269105" w14:textId="08E0E718" w:rsidR="00D7106F" w:rsidRPr="00640BE6" w:rsidRDefault="00AC3A5E" w:rsidP="00121931">
      <w:pPr>
        <w:spacing w:line="276" w:lineRule="auto"/>
        <w:rPr>
          <w:rFonts w:ascii="Avenir Book" w:hAnsi="Avenir Book" w:cs="Calibri"/>
          <w:sz w:val="22"/>
          <w:szCs w:val="22"/>
        </w:rPr>
      </w:pPr>
      <w:r w:rsidRPr="00640BE6">
        <w:rPr>
          <w:rFonts w:ascii="Avenir Book" w:hAnsi="Avenir Book" w:cs="Calibri"/>
          <w:sz w:val="22"/>
          <w:szCs w:val="22"/>
        </w:rPr>
        <w:t xml:space="preserve">WWDA is a founding member of </w:t>
      </w:r>
      <w:hyperlink r:id="rId13" w:history="1">
        <w:r w:rsidRPr="00640BE6">
          <w:rPr>
            <w:rStyle w:val="Hyperlink"/>
            <w:rFonts w:ascii="Avenir Book" w:hAnsi="Avenir Book" w:cs="Calibri"/>
            <w:sz w:val="22"/>
            <w:szCs w:val="22"/>
          </w:rPr>
          <w:t>Disabled People’s Organisations Australia</w:t>
        </w:r>
      </w:hyperlink>
      <w:r w:rsidRPr="00640BE6">
        <w:rPr>
          <w:rFonts w:ascii="Avenir Book" w:hAnsi="Avenir Book" w:cs="Calibri"/>
          <w:sz w:val="22"/>
          <w:szCs w:val="22"/>
        </w:rPr>
        <w:t xml:space="preserve"> (DPO Australia)</w:t>
      </w:r>
      <w:r w:rsidR="002E2D5D" w:rsidRPr="00640BE6">
        <w:rPr>
          <w:rFonts w:ascii="Avenir Book" w:hAnsi="Avenir Book" w:cs="Calibri"/>
          <w:sz w:val="22"/>
          <w:szCs w:val="22"/>
        </w:rPr>
        <w:t xml:space="preserve"> along with First People’s Disability Network Australia, National Ethnic Disability Alliance</w:t>
      </w:r>
      <w:r w:rsidR="0032633E" w:rsidRPr="00640BE6">
        <w:rPr>
          <w:rFonts w:ascii="Avenir Book" w:hAnsi="Avenir Book" w:cs="Calibri"/>
          <w:sz w:val="22"/>
          <w:szCs w:val="22"/>
        </w:rPr>
        <w:t>,</w:t>
      </w:r>
      <w:r w:rsidR="002E2D5D" w:rsidRPr="00640BE6">
        <w:rPr>
          <w:rFonts w:ascii="Avenir Book" w:hAnsi="Avenir Book" w:cs="Calibri"/>
          <w:sz w:val="22"/>
          <w:szCs w:val="22"/>
        </w:rPr>
        <w:t xml:space="preserve"> and People with Disability Australia</w:t>
      </w:r>
      <w:r w:rsidRPr="00640BE6">
        <w:rPr>
          <w:rFonts w:ascii="Avenir Book" w:hAnsi="Avenir Book" w:cs="Calibri"/>
          <w:sz w:val="22"/>
          <w:szCs w:val="22"/>
        </w:rPr>
        <w:t>. DPO Australia is an alliance of four national d</w:t>
      </w:r>
      <w:r w:rsidR="00A923B1" w:rsidRPr="00640BE6">
        <w:rPr>
          <w:rFonts w:ascii="Avenir Book" w:hAnsi="Avenir Book" w:cs="Calibri"/>
          <w:sz w:val="22"/>
          <w:szCs w:val="22"/>
        </w:rPr>
        <w:t xml:space="preserve">isabled people’s organisations </w:t>
      </w:r>
      <w:r w:rsidRPr="00640BE6">
        <w:rPr>
          <w:rFonts w:ascii="Avenir Book" w:hAnsi="Avenir Book" w:cs="Calibri"/>
          <w:sz w:val="22"/>
          <w:szCs w:val="22"/>
        </w:rPr>
        <w:t>in Aus</w:t>
      </w:r>
      <w:r w:rsidR="00A923B1" w:rsidRPr="00640BE6">
        <w:rPr>
          <w:rFonts w:ascii="Avenir Book" w:hAnsi="Avenir Book" w:cs="Calibri"/>
          <w:sz w:val="22"/>
          <w:szCs w:val="22"/>
        </w:rPr>
        <w:t xml:space="preserve">tralia. The key purpose of DPO Australia </w:t>
      </w:r>
      <w:r w:rsidRPr="00640BE6">
        <w:rPr>
          <w:rFonts w:ascii="Avenir Book" w:hAnsi="Avenir Book" w:cs="Calibri"/>
          <w:sz w:val="22"/>
          <w:szCs w:val="22"/>
        </w:rPr>
        <w:t>is to promote, protect and advance the human rights and freedoms of people with disability in Australia by working collaborativ</w:t>
      </w:r>
      <w:r w:rsidR="00A923B1" w:rsidRPr="00640BE6">
        <w:rPr>
          <w:rFonts w:ascii="Avenir Book" w:hAnsi="Avenir Book" w:cs="Calibri"/>
          <w:sz w:val="22"/>
          <w:szCs w:val="22"/>
        </w:rPr>
        <w:t>ely on areas of shared interest, purpose and strategic priority</w:t>
      </w:r>
      <w:r w:rsidRPr="00640BE6">
        <w:rPr>
          <w:rFonts w:ascii="Avenir Book" w:hAnsi="Avenir Book" w:cs="Calibri"/>
          <w:sz w:val="22"/>
          <w:szCs w:val="22"/>
        </w:rPr>
        <w:t>.</w:t>
      </w:r>
    </w:p>
    <w:p w14:paraId="7A96557D" w14:textId="2ECC8F14" w:rsidR="00D7106F" w:rsidRDefault="00D7106F" w:rsidP="00121931">
      <w:pPr>
        <w:spacing w:line="276" w:lineRule="auto"/>
        <w:rPr>
          <w:rFonts w:ascii="Avenir Book" w:hAnsi="Avenir Book" w:cs="Calibri"/>
          <w:sz w:val="22"/>
          <w:szCs w:val="22"/>
        </w:rPr>
      </w:pPr>
    </w:p>
    <w:p w14:paraId="7899AFDB" w14:textId="77777777" w:rsidR="002C1605" w:rsidRDefault="002C1605" w:rsidP="00121931">
      <w:pPr>
        <w:spacing w:line="276" w:lineRule="auto"/>
        <w:rPr>
          <w:rFonts w:ascii="Avenir Book" w:hAnsi="Avenir Book"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640BE6" w14:paraId="37EF4485" w14:textId="77777777" w:rsidTr="002C1605">
        <w:trPr>
          <w:jc w:val="center"/>
        </w:trPr>
        <w:tc>
          <w:tcPr>
            <w:tcW w:w="3402" w:type="dxa"/>
          </w:tcPr>
          <w:p w14:paraId="1E576C3E" w14:textId="77777777" w:rsidR="00640BE6" w:rsidRPr="00640BE6" w:rsidRDefault="00640BE6" w:rsidP="002C1605">
            <w:pPr>
              <w:spacing w:line="276" w:lineRule="auto"/>
              <w:jc w:val="center"/>
              <w:rPr>
                <w:rFonts w:ascii="Avenir Book" w:hAnsi="Avenir Book" w:cs="Calibri"/>
                <w:sz w:val="16"/>
                <w:szCs w:val="16"/>
              </w:rPr>
            </w:pPr>
          </w:p>
          <w:p w14:paraId="28E9CEFB" w14:textId="75268865" w:rsidR="00640BE6" w:rsidRPr="00640BE6" w:rsidRDefault="00640BE6" w:rsidP="002C1605">
            <w:pPr>
              <w:spacing w:line="276" w:lineRule="auto"/>
              <w:jc w:val="center"/>
              <w:rPr>
                <w:rFonts w:ascii="Avenir Book" w:hAnsi="Avenir Book" w:cs="Calibri"/>
                <w:sz w:val="16"/>
                <w:szCs w:val="16"/>
              </w:rPr>
            </w:pPr>
            <w:r>
              <w:rPr>
                <w:rFonts w:ascii="Calibri" w:hAnsi="Calibri" w:cs="Calibri"/>
                <w:noProof/>
                <w:sz w:val="22"/>
              </w:rPr>
              <w:drawing>
                <wp:inline distT="0" distB="0" distL="0" distR="0" wp14:anchorId="624B7B4F" wp14:editId="6F033533">
                  <wp:extent cx="1797388" cy="813975"/>
                  <wp:effectExtent l="0" t="0" r="0" b="0"/>
                  <wp:docPr id="4" name="Picture 4"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1860358" cy="842492"/>
                          </a:xfrm>
                          <a:prstGeom prst="rect">
                            <a:avLst/>
                          </a:prstGeom>
                        </pic:spPr>
                      </pic:pic>
                    </a:graphicData>
                  </a:graphic>
                </wp:inline>
              </w:drawing>
            </w:r>
          </w:p>
          <w:p w14:paraId="67907E0A" w14:textId="2D4043BD" w:rsidR="00640BE6" w:rsidRDefault="00640BE6" w:rsidP="002C1605">
            <w:pPr>
              <w:spacing w:line="276" w:lineRule="auto"/>
              <w:jc w:val="center"/>
              <w:rPr>
                <w:rFonts w:ascii="Avenir Book" w:hAnsi="Avenir Book" w:cs="Calibri"/>
                <w:sz w:val="16"/>
                <w:szCs w:val="16"/>
              </w:rPr>
            </w:pPr>
          </w:p>
          <w:p w14:paraId="2CF5EF62" w14:textId="2CB64562" w:rsidR="00640BE6" w:rsidRPr="00640BE6" w:rsidRDefault="00640BE6" w:rsidP="002C1605">
            <w:pPr>
              <w:spacing w:line="276" w:lineRule="auto"/>
              <w:jc w:val="center"/>
              <w:rPr>
                <w:rFonts w:ascii="Avenir Book" w:hAnsi="Avenir Book" w:cs="Calibri"/>
                <w:sz w:val="16"/>
                <w:szCs w:val="16"/>
              </w:rPr>
            </w:pPr>
          </w:p>
        </w:tc>
        <w:tc>
          <w:tcPr>
            <w:tcW w:w="3402" w:type="dxa"/>
          </w:tcPr>
          <w:p w14:paraId="177C31D7" w14:textId="77777777" w:rsidR="00640BE6" w:rsidRDefault="00640BE6" w:rsidP="002C1605">
            <w:pPr>
              <w:spacing w:line="276" w:lineRule="auto"/>
              <w:jc w:val="center"/>
              <w:rPr>
                <w:rFonts w:ascii="Avenir Book" w:hAnsi="Avenir Book" w:cs="Calibri"/>
                <w:sz w:val="16"/>
                <w:szCs w:val="16"/>
              </w:rPr>
            </w:pPr>
          </w:p>
          <w:p w14:paraId="71ED4EA7" w14:textId="1B6DE7F7" w:rsidR="00640BE6" w:rsidRPr="00640BE6" w:rsidRDefault="00640BE6" w:rsidP="002C1605">
            <w:pPr>
              <w:spacing w:line="276" w:lineRule="auto"/>
              <w:jc w:val="center"/>
              <w:rPr>
                <w:rFonts w:ascii="Avenir Book" w:hAnsi="Avenir Book" w:cs="Calibri"/>
                <w:sz w:val="16"/>
                <w:szCs w:val="16"/>
              </w:rPr>
            </w:pPr>
            <w:r w:rsidRPr="00C57268">
              <w:rPr>
                <w:rFonts w:ascii="Arial" w:hAnsi="Arial" w:cs="Arial"/>
                <w:noProof/>
                <w:sz w:val="18"/>
                <w:szCs w:val="18"/>
                <w:lang w:val="en-US"/>
              </w:rPr>
              <w:drawing>
                <wp:inline distT="0" distB="0" distL="0" distR="0" wp14:anchorId="6268C1C0" wp14:editId="27A2E233">
                  <wp:extent cx="1908807" cy="755834"/>
                  <wp:effectExtent l="0" t="0" r="0" b="0"/>
                  <wp:docPr id="3" name="Picture 3" descr="The logo of Disabled Peopler's Organisations Australia. A black map of Australia with fine white lines criss-crossing across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1700" cy="792617"/>
                          </a:xfrm>
                          <a:prstGeom prst="rect">
                            <a:avLst/>
                          </a:prstGeom>
                        </pic:spPr>
                      </pic:pic>
                    </a:graphicData>
                  </a:graphic>
                </wp:inline>
              </w:drawing>
            </w:r>
          </w:p>
        </w:tc>
      </w:tr>
    </w:tbl>
    <w:p w14:paraId="4D8D3208" w14:textId="3CC53B8B" w:rsidR="00640BE6" w:rsidRDefault="00640BE6" w:rsidP="00121931">
      <w:pPr>
        <w:spacing w:line="276" w:lineRule="auto"/>
        <w:rPr>
          <w:rFonts w:ascii="Avenir Book" w:hAnsi="Avenir Book" w:cs="Calibri"/>
          <w:sz w:val="22"/>
          <w:szCs w:val="22"/>
        </w:rPr>
      </w:pPr>
    </w:p>
    <w:p w14:paraId="114399FE" w14:textId="77777777" w:rsidR="007B5DE5" w:rsidRPr="00A16838" w:rsidRDefault="007B5DE5" w:rsidP="00121931">
      <w:pPr>
        <w:spacing w:line="276" w:lineRule="auto"/>
        <w:rPr>
          <w:rFonts w:ascii="Calibri" w:hAnsi="Calibri" w:cs="Calibri"/>
          <w:sz w:val="22"/>
          <w:szCs w:val="22"/>
        </w:rPr>
      </w:pPr>
      <w:r w:rsidRPr="00A16838">
        <w:rPr>
          <w:rFonts w:ascii="Calibri" w:hAnsi="Calibri" w:cs="Calibri"/>
          <w:sz w:val="22"/>
          <w:szCs w:val="22"/>
        </w:rPr>
        <w:br w:type="page"/>
      </w:r>
    </w:p>
    <w:bookmarkStart w:id="69" w:name="_Toc32420649" w:displacedByCustomXml="next"/>
    <w:bookmarkStart w:id="70" w:name="_Toc512604451" w:displacedByCustomXml="next"/>
    <w:bookmarkStart w:id="71" w:name="_Toc512603445" w:displacedByCustomXml="next"/>
    <w:bookmarkStart w:id="72" w:name="_Toc509920828" w:displacedByCustomXml="next"/>
    <w:bookmarkStart w:id="73" w:name="_Toc510523715" w:displacedByCustomXml="next"/>
    <w:bookmarkStart w:id="74" w:name="_Toc32738104" w:displacedByCustomXml="next"/>
    <w:bookmarkStart w:id="75" w:name="_Toc32738166" w:displacedByCustomXml="next"/>
    <w:bookmarkStart w:id="76" w:name="_Toc32757943" w:displacedByCustomXml="next"/>
    <w:bookmarkStart w:id="77" w:name="_Toc32759984" w:displacedByCustomXml="next"/>
    <w:sdt>
      <w:sdtPr>
        <w:rPr>
          <w:rFonts w:ascii="Calibri" w:hAnsi="Calibri" w:cs="Calibri"/>
          <w:b w:val="0"/>
          <w:color w:val="auto"/>
          <w:sz w:val="24"/>
          <w:lang w:val="en-GB"/>
        </w:rPr>
        <w:id w:val="1203056374"/>
        <w:docPartObj>
          <w:docPartGallery w:val="Table of Contents"/>
          <w:docPartUnique/>
        </w:docPartObj>
      </w:sdtPr>
      <w:sdtEndPr>
        <w:rPr>
          <w:bCs/>
          <w:noProof/>
          <w:color w:val="17365D"/>
          <w:sz w:val="20"/>
          <w:szCs w:val="20"/>
        </w:rPr>
      </w:sdtEndPr>
      <w:sdtContent>
        <w:p w14:paraId="697764A9" w14:textId="73947ECD" w:rsidR="0040289D" w:rsidRPr="00E902AE" w:rsidRDefault="0040289D" w:rsidP="001B7180">
          <w:pPr>
            <w:pStyle w:val="Heading2"/>
            <w:jc w:val="center"/>
            <w:rPr>
              <w:rFonts w:ascii="Avenir Book" w:hAnsi="Avenir Book" w:cs="Calibri"/>
              <w:color w:val="AC1F79"/>
            </w:rPr>
          </w:pPr>
          <w:r w:rsidRPr="00E902AE">
            <w:rPr>
              <w:rFonts w:ascii="Avenir Book" w:hAnsi="Avenir Book" w:cs="Calibri"/>
              <w:color w:val="AC1F79"/>
            </w:rPr>
            <w:t>Contents</w:t>
          </w:r>
          <w:bookmarkEnd w:id="77"/>
          <w:bookmarkEnd w:id="76"/>
          <w:bookmarkEnd w:id="75"/>
          <w:bookmarkEnd w:id="74"/>
          <w:bookmarkEnd w:id="73"/>
          <w:bookmarkEnd w:id="72"/>
          <w:bookmarkEnd w:id="71"/>
          <w:bookmarkEnd w:id="70"/>
          <w:bookmarkEnd w:id="69"/>
        </w:p>
        <w:p w14:paraId="7B443D35" w14:textId="45F57E4F" w:rsidR="004760CD" w:rsidRPr="00E902AE" w:rsidRDefault="0040289D">
          <w:pPr>
            <w:pStyle w:val="TOC1"/>
            <w:tabs>
              <w:tab w:val="right" w:leader="dot" w:pos="9010"/>
            </w:tabs>
            <w:rPr>
              <w:rFonts w:ascii="Avenir Book" w:eastAsiaTheme="minorEastAsia" w:hAnsi="Avenir Book"/>
              <w:noProof/>
              <w:lang w:val="en-AU"/>
            </w:rPr>
          </w:pPr>
          <w:r w:rsidRPr="00E902AE">
            <w:rPr>
              <w:rFonts w:ascii="Avenir Book" w:hAnsi="Avenir Book" w:cs="Calibri"/>
              <w:b/>
              <w:color w:val="17365D"/>
            </w:rPr>
            <w:fldChar w:fldCharType="begin"/>
          </w:r>
          <w:r w:rsidRPr="00E902AE">
            <w:rPr>
              <w:rFonts w:ascii="Avenir Book" w:hAnsi="Avenir Book" w:cs="Calibri"/>
              <w:b/>
              <w:color w:val="17365D"/>
            </w:rPr>
            <w:instrText xml:space="preserve"> TOC \o "1-3" \h \z \u </w:instrText>
          </w:r>
          <w:r w:rsidRPr="00E902AE">
            <w:rPr>
              <w:rFonts w:ascii="Avenir Book" w:hAnsi="Avenir Book" w:cs="Calibri"/>
              <w:b/>
              <w:color w:val="17365D"/>
            </w:rPr>
            <w:fldChar w:fldCharType="separate"/>
          </w:r>
        </w:p>
        <w:p w14:paraId="3583CB89" w14:textId="32C8E14C" w:rsidR="004760CD" w:rsidRPr="00E902AE" w:rsidRDefault="00A35DAA" w:rsidP="004760CD">
          <w:pPr>
            <w:pStyle w:val="TOC2"/>
            <w:rPr>
              <w:rFonts w:ascii="Avenir Book" w:eastAsiaTheme="minorEastAsia" w:hAnsi="Avenir Book"/>
              <w:noProof/>
              <w:lang w:val="en-AU"/>
            </w:rPr>
          </w:pPr>
          <w:hyperlink w:anchor="_Toc32759979" w:history="1">
            <w:r w:rsidR="004760CD" w:rsidRPr="00E902AE">
              <w:rPr>
                <w:rStyle w:val="Hyperlink"/>
                <w:rFonts w:ascii="Avenir Book" w:hAnsi="Avenir Book" w:cs="Calibri"/>
                <w:noProof/>
              </w:rPr>
              <w:t>Publishing Information</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_Toc32759979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2</w:t>
            </w:r>
            <w:r w:rsidR="004760CD" w:rsidRPr="00E902AE">
              <w:rPr>
                <w:rFonts w:ascii="Avenir Book" w:hAnsi="Avenir Book"/>
                <w:noProof/>
                <w:webHidden/>
              </w:rPr>
              <w:fldChar w:fldCharType="end"/>
            </w:r>
          </w:hyperlink>
        </w:p>
        <w:p w14:paraId="41CDE602" w14:textId="14A6DF5E" w:rsidR="004760CD" w:rsidRPr="00E902AE" w:rsidRDefault="00A35DAA" w:rsidP="004760CD">
          <w:pPr>
            <w:pStyle w:val="TOC2"/>
            <w:rPr>
              <w:rFonts w:ascii="Avenir Book" w:eastAsiaTheme="minorEastAsia" w:hAnsi="Avenir Book"/>
              <w:noProof/>
              <w:lang w:val="en-AU"/>
            </w:rPr>
          </w:pPr>
          <w:hyperlink w:anchor="_Toc32759982" w:history="1">
            <w:r w:rsidR="004760CD" w:rsidRPr="00E902AE">
              <w:rPr>
                <w:rStyle w:val="Hyperlink"/>
                <w:rFonts w:ascii="Avenir Book" w:hAnsi="Avenir Book" w:cstheme="minorHAnsi"/>
                <w:noProof/>
              </w:rPr>
              <w:t>About Women with Disabilities Australia (WWDA)</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_Toc32759982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3</w:t>
            </w:r>
            <w:r w:rsidR="004760CD" w:rsidRPr="00E902AE">
              <w:rPr>
                <w:rFonts w:ascii="Avenir Book" w:hAnsi="Avenir Book"/>
                <w:noProof/>
                <w:webHidden/>
              </w:rPr>
              <w:fldChar w:fldCharType="end"/>
            </w:r>
          </w:hyperlink>
        </w:p>
        <w:p w14:paraId="12FDC37B" w14:textId="3A0474C9" w:rsidR="004760CD" w:rsidRPr="00E902AE" w:rsidRDefault="00A35DAA">
          <w:pPr>
            <w:pStyle w:val="TOC2"/>
            <w:rPr>
              <w:rFonts w:ascii="Avenir Book" w:eastAsiaTheme="minorEastAsia" w:hAnsi="Avenir Book"/>
              <w:noProof/>
              <w:lang w:val="en-AU"/>
            </w:rPr>
          </w:pPr>
          <w:hyperlink w:anchor="_Toc32759985" w:history="1">
            <w:r w:rsidR="004760CD" w:rsidRPr="00E902AE">
              <w:rPr>
                <w:rStyle w:val="Hyperlink"/>
                <w:rFonts w:ascii="Avenir Book" w:hAnsi="Avenir Book" w:cs="Calibri"/>
                <w:noProof/>
              </w:rPr>
              <w:t>1.</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Recommendations</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_Toc32759985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5</w:t>
            </w:r>
            <w:r w:rsidR="004760CD" w:rsidRPr="00E902AE">
              <w:rPr>
                <w:rFonts w:ascii="Avenir Book" w:hAnsi="Avenir Book"/>
                <w:noProof/>
                <w:webHidden/>
              </w:rPr>
              <w:fldChar w:fldCharType="end"/>
            </w:r>
          </w:hyperlink>
        </w:p>
        <w:p w14:paraId="2C40F69D" w14:textId="3EDF4888" w:rsidR="004760CD" w:rsidRPr="00E902AE" w:rsidRDefault="00A35DAA">
          <w:pPr>
            <w:pStyle w:val="TOC2"/>
            <w:rPr>
              <w:rFonts w:ascii="Avenir Book" w:eastAsiaTheme="minorEastAsia" w:hAnsi="Avenir Book"/>
              <w:noProof/>
              <w:lang w:val="en-AU"/>
            </w:rPr>
          </w:pPr>
          <w:hyperlink w:anchor="_Toc32759986" w:history="1">
            <w:r w:rsidR="004760CD" w:rsidRPr="00E902AE">
              <w:rPr>
                <w:rStyle w:val="Hyperlink"/>
                <w:rFonts w:ascii="Avenir Book" w:hAnsi="Avenir Book" w:cs="Calibri"/>
                <w:noProof/>
              </w:rPr>
              <w:t>2.</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Background</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_Toc32759986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8</w:t>
            </w:r>
            <w:r w:rsidR="004760CD" w:rsidRPr="00E902AE">
              <w:rPr>
                <w:rFonts w:ascii="Avenir Book" w:hAnsi="Avenir Book"/>
                <w:noProof/>
                <w:webHidden/>
              </w:rPr>
              <w:fldChar w:fldCharType="end"/>
            </w:r>
          </w:hyperlink>
        </w:p>
        <w:p w14:paraId="5341AFF6" w14:textId="532E5060" w:rsidR="004760CD" w:rsidRPr="00E902AE" w:rsidRDefault="00A35DAA">
          <w:pPr>
            <w:pStyle w:val="TOC2"/>
            <w:rPr>
              <w:rFonts w:ascii="Avenir Book" w:eastAsiaTheme="minorEastAsia" w:hAnsi="Avenir Book"/>
              <w:noProof/>
              <w:lang w:val="en-AU"/>
            </w:rPr>
          </w:pPr>
          <w:hyperlink w:anchor="_Toc32759987" w:history="1">
            <w:r w:rsidR="004760CD" w:rsidRPr="00E902AE">
              <w:rPr>
                <w:rStyle w:val="Hyperlink"/>
                <w:rFonts w:ascii="Avenir Book" w:hAnsi="Avenir Book" w:cs="Calibri"/>
                <w:noProof/>
              </w:rPr>
              <w:t>3.</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Introduction</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_Toc32759987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10</w:t>
            </w:r>
            <w:r w:rsidR="004760CD" w:rsidRPr="00E902AE">
              <w:rPr>
                <w:rFonts w:ascii="Avenir Book" w:hAnsi="Avenir Book"/>
                <w:noProof/>
                <w:webHidden/>
              </w:rPr>
              <w:fldChar w:fldCharType="end"/>
            </w:r>
          </w:hyperlink>
        </w:p>
        <w:p w14:paraId="1A0862C9" w14:textId="3175A23A" w:rsidR="004760CD" w:rsidRPr="00E902AE" w:rsidRDefault="00A35DAA">
          <w:pPr>
            <w:pStyle w:val="TOC2"/>
            <w:rPr>
              <w:rFonts w:ascii="Avenir Book" w:eastAsiaTheme="minorEastAsia" w:hAnsi="Avenir Book"/>
              <w:noProof/>
              <w:lang w:val="en-AU"/>
            </w:rPr>
          </w:pPr>
          <w:hyperlink w:anchor="_Toc32759988" w:history="1">
            <w:r w:rsidR="004760CD" w:rsidRPr="00E902AE">
              <w:rPr>
                <w:rStyle w:val="Hyperlink"/>
                <w:rFonts w:ascii="Avenir Book" w:hAnsi="Avenir Book" w:cs="Calibri"/>
                <w:noProof/>
              </w:rPr>
              <w:t>4.</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Inclusive education – right denied</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_Toc32759988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13</w:t>
            </w:r>
            <w:r w:rsidR="004760CD" w:rsidRPr="00E902AE">
              <w:rPr>
                <w:rFonts w:ascii="Avenir Book" w:hAnsi="Avenir Book"/>
                <w:noProof/>
                <w:webHidden/>
              </w:rPr>
              <w:fldChar w:fldCharType="end"/>
            </w:r>
          </w:hyperlink>
        </w:p>
        <w:p w14:paraId="4EC27A82" w14:textId="311EA8B0" w:rsidR="004760CD" w:rsidRPr="00E902AE" w:rsidRDefault="00A35DAA">
          <w:pPr>
            <w:pStyle w:val="TOC2"/>
            <w:rPr>
              <w:rFonts w:ascii="Avenir Book" w:eastAsiaTheme="minorEastAsia" w:hAnsi="Avenir Book"/>
              <w:noProof/>
              <w:lang w:val="en-AU"/>
            </w:rPr>
          </w:pPr>
          <w:hyperlink w:anchor="_Toc32759989" w:history="1">
            <w:r w:rsidR="004760CD" w:rsidRPr="00E902AE">
              <w:rPr>
                <w:rStyle w:val="Hyperlink"/>
                <w:rFonts w:ascii="Avenir Book" w:hAnsi="Avenir Book" w:cs="Calibri"/>
                <w:noProof/>
              </w:rPr>
              <w:t>5.</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Intersectionality</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_Toc32759989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17</w:t>
            </w:r>
            <w:r w:rsidR="004760CD" w:rsidRPr="00E902AE">
              <w:rPr>
                <w:rFonts w:ascii="Avenir Book" w:hAnsi="Avenir Book"/>
                <w:noProof/>
                <w:webHidden/>
              </w:rPr>
              <w:fldChar w:fldCharType="end"/>
            </w:r>
          </w:hyperlink>
        </w:p>
        <w:p w14:paraId="15E29DA1" w14:textId="53F7B81D" w:rsidR="004760CD" w:rsidRPr="00E902AE" w:rsidRDefault="00A35DAA">
          <w:pPr>
            <w:pStyle w:val="TOC2"/>
            <w:rPr>
              <w:rFonts w:ascii="Avenir Book" w:eastAsiaTheme="minorEastAsia" w:hAnsi="Avenir Book"/>
              <w:noProof/>
              <w:lang w:val="en-AU"/>
            </w:rPr>
          </w:pPr>
          <w:hyperlink w:anchor="_Toc32759990" w:history="1">
            <w:r w:rsidR="004760CD" w:rsidRPr="00E902AE">
              <w:rPr>
                <w:rStyle w:val="Hyperlink"/>
                <w:rFonts w:ascii="Avenir Book" w:hAnsi="Avenir Book" w:cs="Calibri"/>
                <w:noProof/>
              </w:rPr>
              <w:t>6.</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Inequality and discrimination underpin violence</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_Toc32759990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21</w:t>
            </w:r>
            <w:r w:rsidR="004760CD" w:rsidRPr="00E902AE">
              <w:rPr>
                <w:rFonts w:ascii="Avenir Book" w:hAnsi="Avenir Book"/>
                <w:noProof/>
                <w:webHidden/>
              </w:rPr>
              <w:fldChar w:fldCharType="end"/>
            </w:r>
          </w:hyperlink>
        </w:p>
        <w:p w14:paraId="31C5D925" w14:textId="175CF695" w:rsidR="004760CD" w:rsidRPr="00E902AE" w:rsidRDefault="00A35DAA">
          <w:pPr>
            <w:pStyle w:val="TOC2"/>
            <w:rPr>
              <w:rFonts w:ascii="Avenir Book" w:eastAsiaTheme="minorEastAsia" w:hAnsi="Avenir Book"/>
              <w:noProof/>
              <w:lang w:val="en-AU"/>
            </w:rPr>
          </w:pPr>
          <w:hyperlink w:anchor="_Toc32759991" w:history="1">
            <w:r w:rsidR="004760CD" w:rsidRPr="00E902AE">
              <w:rPr>
                <w:rStyle w:val="Hyperlink"/>
                <w:rFonts w:ascii="Avenir Book" w:hAnsi="Avenir Book" w:cs="Calibri"/>
                <w:noProof/>
              </w:rPr>
              <w:t>7.</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Restrictive practices – torture and ill-treatment</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_Toc32759991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24</w:t>
            </w:r>
            <w:r w:rsidR="004760CD" w:rsidRPr="00E902AE">
              <w:rPr>
                <w:rFonts w:ascii="Avenir Book" w:hAnsi="Avenir Book"/>
                <w:noProof/>
                <w:webHidden/>
              </w:rPr>
              <w:fldChar w:fldCharType="end"/>
            </w:r>
          </w:hyperlink>
        </w:p>
        <w:p w14:paraId="0E282800" w14:textId="2D29A0FE" w:rsidR="004760CD" w:rsidRPr="00E902AE" w:rsidRDefault="00A35DAA">
          <w:pPr>
            <w:pStyle w:val="TOC2"/>
            <w:rPr>
              <w:rFonts w:ascii="Avenir Book" w:eastAsiaTheme="minorEastAsia" w:hAnsi="Avenir Book"/>
              <w:noProof/>
              <w:lang w:val="en-AU"/>
            </w:rPr>
          </w:pPr>
          <w:hyperlink w:anchor="_Toc32759992" w:history="1">
            <w:r w:rsidR="004760CD" w:rsidRPr="00E902AE">
              <w:rPr>
                <w:rStyle w:val="Hyperlink"/>
                <w:rFonts w:ascii="Avenir Book" w:hAnsi="Avenir Book" w:cs="Calibri"/>
                <w:noProof/>
              </w:rPr>
              <w:t>8.</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Exposing violence – disaggregated data and intersectionality</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_Toc32759992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28</w:t>
            </w:r>
            <w:r w:rsidR="004760CD" w:rsidRPr="00E902AE">
              <w:rPr>
                <w:rFonts w:ascii="Avenir Book" w:hAnsi="Avenir Book"/>
                <w:noProof/>
                <w:webHidden/>
              </w:rPr>
              <w:fldChar w:fldCharType="end"/>
            </w:r>
          </w:hyperlink>
        </w:p>
        <w:p w14:paraId="35934D62" w14:textId="182F9958" w:rsidR="004760CD" w:rsidRPr="00E902AE" w:rsidRDefault="00A35DAA">
          <w:pPr>
            <w:pStyle w:val="TOC2"/>
            <w:rPr>
              <w:rFonts w:ascii="Avenir Book" w:eastAsiaTheme="minorEastAsia" w:hAnsi="Avenir Book"/>
              <w:noProof/>
              <w:lang w:val="en-AU"/>
            </w:rPr>
          </w:pPr>
          <w:hyperlink w:anchor="_Toc32759993" w:history="1">
            <w:r w:rsidR="004760CD" w:rsidRPr="00E902AE">
              <w:rPr>
                <w:rStyle w:val="Hyperlink"/>
                <w:rFonts w:ascii="Avenir Book" w:hAnsi="Avenir Book" w:cs="Calibri"/>
                <w:noProof/>
              </w:rPr>
              <w:t>9.</w:t>
            </w:r>
            <w:r w:rsidR="004760CD" w:rsidRPr="00E902AE">
              <w:rPr>
                <w:rFonts w:ascii="Avenir Book" w:eastAsiaTheme="minorEastAsia" w:hAnsi="Avenir Book"/>
                <w:noProof/>
                <w:lang w:val="en-AU"/>
              </w:rPr>
              <w:tab/>
            </w:r>
            <w:r w:rsidR="004760CD" w:rsidRPr="00E902AE">
              <w:rPr>
                <w:rStyle w:val="Hyperlink"/>
                <w:rFonts w:ascii="Avenir Book" w:hAnsi="Avenir Book" w:cs="Calibri"/>
                <w:noProof/>
              </w:rPr>
              <w:t>Building strengths through inclusive education</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_Toc32759993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32</w:t>
            </w:r>
            <w:r w:rsidR="004760CD" w:rsidRPr="00E902AE">
              <w:rPr>
                <w:rFonts w:ascii="Avenir Book" w:hAnsi="Avenir Book"/>
                <w:noProof/>
                <w:webHidden/>
              </w:rPr>
              <w:fldChar w:fldCharType="end"/>
            </w:r>
          </w:hyperlink>
        </w:p>
        <w:p w14:paraId="6F0C8A15" w14:textId="164BBF67" w:rsidR="004760CD" w:rsidRPr="00E902AE" w:rsidRDefault="00A35DAA">
          <w:pPr>
            <w:pStyle w:val="TOC2"/>
            <w:rPr>
              <w:rFonts w:ascii="Avenir Book" w:eastAsiaTheme="minorEastAsia" w:hAnsi="Avenir Book"/>
              <w:noProof/>
              <w:lang w:val="en-AU"/>
            </w:rPr>
          </w:pPr>
          <w:hyperlink w:anchor="_Toc32759994" w:history="1">
            <w:r w:rsidR="004760CD" w:rsidRPr="00E902AE">
              <w:rPr>
                <w:rStyle w:val="Hyperlink"/>
                <w:rFonts w:ascii="Avenir Book" w:hAnsi="Avenir Book" w:cs="Calibri"/>
                <w:noProof/>
              </w:rPr>
              <w:t>10.Appendix – Concluding comments from UN treaty bodies</w:t>
            </w:r>
            <w:r w:rsidR="004760CD" w:rsidRPr="00E902AE">
              <w:rPr>
                <w:rFonts w:ascii="Avenir Book" w:hAnsi="Avenir Book"/>
                <w:noProof/>
                <w:webHidden/>
              </w:rPr>
              <w:tab/>
            </w:r>
            <w:r w:rsidR="004760CD" w:rsidRPr="00E902AE">
              <w:rPr>
                <w:rFonts w:ascii="Avenir Book" w:hAnsi="Avenir Book"/>
                <w:noProof/>
                <w:webHidden/>
              </w:rPr>
              <w:fldChar w:fldCharType="begin"/>
            </w:r>
            <w:r w:rsidR="004760CD" w:rsidRPr="00E902AE">
              <w:rPr>
                <w:rFonts w:ascii="Avenir Book" w:hAnsi="Avenir Book"/>
                <w:noProof/>
                <w:webHidden/>
              </w:rPr>
              <w:instrText xml:space="preserve"> PAGEREF _Toc32759994 \h </w:instrText>
            </w:r>
            <w:r w:rsidR="004760CD" w:rsidRPr="00E902AE">
              <w:rPr>
                <w:rFonts w:ascii="Avenir Book" w:hAnsi="Avenir Book"/>
                <w:noProof/>
                <w:webHidden/>
              </w:rPr>
            </w:r>
            <w:r w:rsidR="004760CD" w:rsidRPr="00E902AE">
              <w:rPr>
                <w:rFonts w:ascii="Avenir Book" w:hAnsi="Avenir Book"/>
                <w:noProof/>
                <w:webHidden/>
              </w:rPr>
              <w:fldChar w:fldCharType="separate"/>
            </w:r>
            <w:r w:rsidR="002C17C5">
              <w:rPr>
                <w:rFonts w:ascii="Avenir Book" w:hAnsi="Avenir Book"/>
                <w:noProof/>
                <w:webHidden/>
              </w:rPr>
              <w:t>35</w:t>
            </w:r>
            <w:r w:rsidR="004760CD" w:rsidRPr="00E902AE">
              <w:rPr>
                <w:rFonts w:ascii="Avenir Book" w:hAnsi="Avenir Book"/>
                <w:noProof/>
                <w:webHidden/>
              </w:rPr>
              <w:fldChar w:fldCharType="end"/>
            </w:r>
          </w:hyperlink>
        </w:p>
        <w:p w14:paraId="33DE0EC5" w14:textId="210B9988" w:rsidR="0040289D" w:rsidRPr="00F82630" w:rsidRDefault="0040289D" w:rsidP="00121931">
          <w:pPr>
            <w:pStyle w:val="TOC2"/>
            <w:rPr>
              <w:rFonts w:ascii="Calibri" w:eastAsiaTheme="minorEastAsia" w:hAnsi="Calibri" w:cs="Calibri"/>
              <w:b/>
              <w:noProof/>
              <w:color w:val="17365D"/>
              <w:lang w:val="en-AU"/>
            </w:rPr>
          </w:pPr>
          <w:r w:rsidRPr="00E902AE">
            <w:rPr>
              <w:rFonts w:ascii="Avenir Book" w:hAnsi="Avenir Book" w:cs="Calibri"/>
              <w:b/>
              <w:bCs/>
              <w:noProof/>
              <w:color w:val="17365D"/>
            </w:rPr>
            <w:fldChar w:fldCharType="end"/>
          </w:r>
        </w:p>
      </w:sdtContent>
    </w:sdt>
    <w:p w14:paraId="68E9666B" w14:textId="77777777" w:rsidR="00E05752" w:rsidRPr="00A16838" w:rsidRDefault="00E05752" w:rsidP="00121931">
      <w:pPr>
        <w:pStyle w:val="Heading2"/>
        <w:jc w:val="left"/>
        <w:rPr>
          <w:rFonts w:ascii="Calibri" w:hAnsi="Calibri" w:cs="Calibri"/>
          <w:sz w:val="20"/>
          <w:szCs w:val="20"/>
        </w:rPr>
      </w:pPr>
      <w:r w:rsidRPr="00A16838">
        <w:rPr>
          <w:rFonts w:ascii="Calibri" w:hAnsi="Calibri" w:cs="Calibri"/>
          <w:sz w:val="20"/>
          <w:szCs w:val="20"/>
        </w:rPr>
        <w:br w:type="page"/>
      </w:r>
    </w:p>
    <w:p w14:paraId="10AD8644" w14:textId="77777777" w:rsidR="007A27CF" w:rsidRPr="00457ADB" w:rsidRDefault="007A27CF" w:rsidP="00EF5411">
      <w:pPr>
        <w:pStyle w:val="Heading2"/>
        <w:numPr>
          <w:ilvl w:val="0"/>
          <w:numId w:val="3"/>
        </w:numPr>
        <w:ind w:left="426" w:hanging="426"/>
        <w:jc w:val="left"/>
        <w:rPr>
          <w:rFonts w:ascii="Avenir Book" w:hAnsi="Avenir Book" w:cs="Calibri"/>
          <w:color w:val="AC1F79"/>
          <w:szCs w:val="28"/>
        </w:rPr>
      </w:pPr>
      <w:bookmarkStart w:id="78" w:name="_Toc32759985"/>
      <w:r w:rsidRPr="00457ADB">
        <w:rPr>
          <w:rFonts w:ascii="Avenir Book" w:hAnsi="Avenir Book" w:cs="Calibri"/>
          <w:color w:val="AC1F79"/>
          <w:szCs w:val="28"/>
        </w:rPr>
        <w:lastRenderedPageBreak/>
        <w:t>Recommendations</w:t>
      </w:r>
      <w:bookmarkEnd w:id="78"/>
    </w:p>
    <w:p w14:paraId="6C049ACB" w14:textId="77777777" w:rsidR="007A27CF" w:rsidRPr="00CB23C2" w:rsidRDefault="007A27CF" w:rsidP="007A27CF">
      <w:pPr>
        <w:rPr>
          <w:rFonts w:ascii="Avenir Book" w:hAnsi="Avenir Book" w:cs="Calibri"/>
          <w:color w:val="7030A0"/>
          <w:sz w:val="22"/>
          <w:szCs w:val="22"/>
        </w:rPr>
      </w:pPr>
    </w:p>
    <w:p w14:paraId="07B35184" w14:textId="081252C1" w:rsidR="007A27CF" w:rsidRPr="00CB23C2" w:rsidRDefault="007A27CF" w:rsidP="00EF5411">
      <w:pPr>
        <w:pStyle w:val="ListParagraph"/>
        <w:numPr>
          <w:ilvl w:val="1"/>
          <w:numId w:val="3"/>
        </w:numPr>
        <w:snapToGrid w:val="0"/>
        <w:spacing w:after="120"/>
        <w:ind w:left="567" w:hanging="567"/>
        <w:contextualSpacing w:val="0"/>
        <w:rPr>
          <w:rFonts w:ascii="Avenir Book" w:hAnsi="Avenir Book" w:cs="Calibri"/>
          <w:sz w:val="22"/>
          <w:szCs w:val="22"/>
        </w:rPr>
      </w:pPr>
      <w:r w:rsidRPr="00CB23C2">
        <w:rPr>
          <w:rFonts w:ascii="Avenir Book" w:hAnsi="Avenir Book" w:cs="Calibri"/>
          <w:sz w:val="22"/>
          <w:szCs w:val="22"/>
        </w:rPr>
        <w:t>In line with its Terms of Reference, which are based in the context of the CRPD, the Royal Commission should explicitly recognise as fundamental to all its work (including reports, community forums, stakeholder engagement, Hearings, publications, findings and recommendations):</w:t>
      </w:r>
    </w:p>
    <w:p w14:paraId="054ADA7F" w14:textId="77777777" w:rsidR="007A27CF" w:rsidRPr="00CB23C2" w:rsidRDefault="007A27CF" w:rsidP="00EF5411">
      <w:pPr>
        <w:pStyle w:val="ListParagraph"/>
        <w:numPr>
          <w:ilvl w:val="0"/>
          <w:numId w:val="30"/>
        </w:numPr>
        <w:snapToGrid w:val="0"/>
        <w:ind w:left="851" w:hanging="284"/>
        <w:contextualSpacing w:val="0"/>
        <w:rPr>
          <w:rFonts w:ascii="Avenir Book" w:hAnsi="Avenir Book" w:cs="Calibri"/>
          <w:sz w:val="22"/>
          <w:szCs w:val="22"/>
        </w:rPr>
      </w:pPr>
      <w:r w:rsidRPr="00CB23C2">
        <w:rPr>
          <w:rFonts w:ascii="Avenir Book" w:hAnsi="Avenir Book" w:cs="Calibri"/>
          <w:sz w:val="22"/>
          <w:szCs w:val="22"/>
        </w:rPr>
        <w:t xml:space="preserve">the right to inclusive education as enshrined in the CRPD and elaborated in General Comment No.4; and </w:t>
      </w:r>
    </w:p>
    <w:p w14:paraId="23ACEDB0" w14:textId="77777777" w:rsidR="007A27CF" w:rsidRPr="00CB23C2" w:rsidRDefault="007A27CF" w:rsidP="00EF5411">
      <w:pPr>
        <w:pStyle w:val="ListParagraph"/>
        <w:numPr>
          <w:ilvl w:val="0"/>
          <w:numId w:val="30"/>
        </w:numPr>
        <w:ind w:left="851" w:hanging="284"/>
        <w:rPr>
          <w:rFonts w:ascii="Avenir Book" w:hAnsi="Avenir Book" w:cs="Calibri"/>
          <w:sz w:val="22"/>
          <w:szCs w:val="22"/>
        </w:rPr>
      </w:pPr>
      <w:r w:rsidRPr="00CB23C2">
        <w:rPr>
          <w:rFonts w:ascii="Avenir Book" w:hAnsi="Avenir Book" w:cs="Calibri"/>
          <w:sz w:val="22"/>
          <w:szCs w:val="22"/>
        </w:rPr>
        <w:t xml:space="preserve">the failure to provide inclusive education as discrimination and systemic neglect.  </w:t>
      </w:r>
    </w:p>
    <w:p w14:paraId="3C275194" w14:textId="77777777" w:rsidR="007A27CF" w:rsidRPr="00CB23C2" w:rsidRDefault="007A27CF" w:rsidP="007A27CF">
      <w:pPr>
        <w:rPr>
          <w:rFonts w:ascii="Avenir Book" w:hAnsi="Avenir Book" w:cs="Calibri"/>
          <w:sz w:val="22"/>
          <w:szCs w:val="22"/>
        </w:rPr>
      </w:pPr>
    </w:p>
    <w:p w14:paraId="4B717009" w14:textId="6EB73DD8" w:rsidR="007A27CF" w:rsidRPr="00CB23C2" w:rsidRDefault="007A27CF" w:rsidP="00EF5411">
      <w:pPr>
        <w:pStyle w:val="ListParagraph"/>
        <w:numPr>
          <w:ilvl w:val="1"/>
          <w:numId w:val="3"/>
        </w:numPr>
        <w:ind w:left="567" w:hanging="567"/>
        <w:rPr>
          <w:rFonts w:ascii="Avenir Book" w:hAnsi="Avenir Book" w:cstheme="minorHAnsi"/>
          <w:sz w:val="22"/>
          <w:szCs w:val="22"/>
        </w:rPr>
      </w:pPr>
      <w:r w:rsidRPr="00CB23C2">
        <w:rPr>
          <w:rFonts w:ascii="Avenir Book" w:hAnsi="Avenir Book" w:cstheme="minorHAnsi"/>
          <w:sz w:val="22"/>
          <w:szCs w:val="22"/>
        </w:rPr>
        <w:t xml:space="preserve">Without opening debate about the right to inclusive education, the Royal Commission should examine the nature, effects and impact of discrimination and systemic neglect in both special and mainstream schools, including seeking evidence directly from people with disability, and holding governments, policy makers, educational practitioners and other stakeholders to account for discriminatory views. </w:t>
      </w:r>
    </w:p>
    <w:p w14:paraId="39155F26" w14:textId="77777777" w:rsidR="007A27CF" w:rsidRPr="00CB23C2" w:rsidRDefault="007A27CF" w:rsidP="005D02BD">
      <w:pPr>
        <w:pStyle w:val="ListParagraph"/>
        <w:ind w:left="0"/>
        <w:rPr>
          <w:rFonts w:ascii="Avenir Book" w:hAnsi="Avenir Book" w:cstheme="minorHAnsi"/>
          <w:sz w:val="22"/>
          <w:szCs w:val="22"/>
        </w:rPr>
      </w:pPr>
    </w:p>
    <w:p w14:paraId="2FDD7DFB" w14:textId="2594DBC4" w:rsidR="007A27CF" w:rsidRPr="00CB23C2" w:rsidRDefault="007A27CF" w:rsidP="00EF5411">
      <w:pPr>
        <w:pStyle w:val="ListParagraph"/>
        <w:numPr>
          <w:ilvl w:val="1"/>
          <w:numId w:val="3"/>
        </w:numPr>
        <w:spacing w:after="120"/>
        <w:ind w:left="567" w:hanging="567"/>
        <w:contextualSpacing w:val="0"/>
        <w:rPr>
          <w:rFonts w:ascii="Avenir Book" w:hAnsi="Avenir Book" w:cstheme="minorHAnsi"/>
          <w:sz w:val="22"/>
          <w:szCs w:val="22"/>
        </w:rPr>
      </w:pPr>
      <w:r w:rsidRPr="00CB23C2">
        <w:rPr>
          <w:rFonts w:ascii="Avenir Book" w:hAnsi="Avenir Book" w:cstheme="minorHAnsi"/>
          <w:sz w:val="22"/>
          <w:szCs w:val="22"/>
        </w:rPr>
        <w:t>A national Action Plan for Inclusive Education should be developed</w:t>
      </w:r>
      <w:r w:rsidR="00DA0CE3" w:rsidRPr="00CB23C2">
        <w:rPr>
          <w:rFonts w:ascii="Avenir Book" w:hAnsi="Avenir Book" w:cstheme="minorHAnsi"/>
          <w:sz w:val="22"/>
          <w:szCs w:val="22"/>
        </w:rPr>
        <w:t xml:space="preserve"> by Australian governments</w:t>
      </w:r>
      <w:r w:rsidRPr="00CB23C2">
        <w:rPr>
          <w:rFonts w:ascii="Avenir Book" w:hAnsi="Avenir Book" w:cstheme="minorHAnsi"/>
          <w:sz w:val="22"/>
          <w:szCs w:val="22"/>
        </w:rPr>
        <w:t>, and should include:</w:t>
      </w:r>
    </w:p>
    <w:p w14:paraId="090F7E43" w14:textId="77777777" w:rsidR="007A27CF" w:rsidRPr="00CB23C2" w:rsidRDefault="007A27CF" w:rsidP="00EF5411">
      <w:pPr>
        <w:pStyle w:val="ListParagraph"/>
        <w:numPr>
          <w:ilvl w:val="0"/>
          <w:numId w:val="31"/>
        </w:numPr>
        <w:ind w:left="851" w:hanging="284"/>
        <w:rPr>
          <w:rFonts w:ascii="Avenir Book" w:hAnsi="Avenir Book" w:cstheme="minorHAnsi"/>
          <w:sz w:val="22"/>
          <w:szCs w:val="22"/>
        </w:rPr>
      </w:pPr>
      <w:r w:rsidRPr="00CB23C2">
        <w:rPr>
          <w:rFonts w:ascii="Avenir Book" w:hAnsi="Avenir Book" w:cstheme="minorHAnsi"/>
          <w:sz w:val="22"/>
          <w:szCs w:val="22"/>
        </w:rPr>
        <w:t>A nationally consistent legislative and policy framework that fully complies with CRPD article 24 and General Comment No. 4;</w:t>
      </w:r>
    </w:p>
    <w:p w14:paraId="326B8CBC" w14:textId="77777777" w:rsidR="007A27CF" w:rsidRPr="00CB23C2" w:rsidRDefault="007A27CF" w:rsidP="00EF5411">
      <w:pPr>
        <w:pStyle w:val="ListParagraph"/>
        <w:numPr>
          <w:ilvl w:val="0"/>
          <w:numId w:val="31"/>
        </w:numPr>
        <w:ind w:left="851" w:hanging="284"/>
        <w:rPr>
          <w:rFonts w:ascii="Avenir Book" w:hAnsi="Avenir Book" w:cstheme="minorHAnsi"/>
          <w:sz w:val="22"/>
          <w:szCs w:val="22"/>
        </w:rPr>
      </w:pPr>
      <w:r w:rsidRPr="00CB23C2">
        <w:rPr>
          <w:rFonts w:ascii="Avenir Book" w:hAnsi="Avenir Book" w:cstheme="minorHAnsi"/>
          <w:sz w:val="22"/>
          <w:szCs w:val="22"/>
        </w:rPr>
        <w:t>Specific actions to recognise and respond to intersectionality, including for women and girls with disability;</w:t>
      </w:r>
    </w:p>
    <w:p w14:paraId="6302CB35" w14:textId="77777777" w:rsidR="007A27CF" w:rsidRPr="00CB23C2" w:rsidRDefault="007A27CF" w:rsidP="00EF5411">
      <w:pPr>
        <w:pStyle w:val="ListParagraph"/>
        <w:numPr>
          <w:ilvl w:val="0"/>
          <w:numId w:val="31"/>
        </w:numPr>
        <w:ind w:left="851" w:hanging="284"/>
        <w:rPr>
          <w:rFonts w:ascii="Avenir Book" w:hAnsi="Avenir Book" w:cstheme="minorHAnsi"/>
          <w:sz w:val="22"/>
          <w:szCs w:val="22"/>
        </w:rPr>
      </w:pPr>
      <w:r w:rsidRPr="00CB23C2">
        <w:rPr>
          <w:rFonts w:ascii="Avenir Book" w:hAnsi="Avenir Book" w:cstheme="minorHAnsi"/>
          <w:sz w:val="22"/>
          <w:szCs w:val="22"/>
        </w:rPr>
        <w:t>Measurable actions and rigorous accountability mechanisms for the transition from segregated models of education to inclusive education;</w:t>
      </w:r>
    </w:p>
    <w:p w14:paraId="7D3A91F5" w14:textId="77777777" w:rsidR="007A27CF" w:rsidRPr="00CB23C2" w:rsidRDefault="007A27CF" w:rsidP="00EF5411">
      <w:pPr>
        <w:pStyle w:val="ListParagraph"/>
        <w:numPr>
          <w:ilvl w:val="0"/>
          <w:numId w:val="31"/>
        </w:numPr>
        <w:ind w:left="851" w:hanging="284"/>
        <w:rPr>
          <w:rFonts w:ascii="Avenir Book" w:hAnsi="Avenir Book" w:cstheme="minorHAnsi"/>
          <w:sz w:val="22"/>
          <w:szCs w:val="22"/>
        </w:rPr>
      </w:pPr>
      <w:r w:rsidRPr="00CB23C2">
        <w:rPr>
          <w:rFonts w:ascii="Avenir Book" w:hAnsi="Avenir Book" w:cstheme="minorHAnsi"/>
          <w:sz w:val="22"/>
          <w:szCs w:val="22"/>
        </w:rPr>
        <w:t>Reallocation of resources and funding from segregated education models to inclusive education;</w:t>
      </w:r>
    </w:p>
    <w:p w14:paraId="4AFE5ED0" w14:textId="77777777" w:rsidR="007A27CF" w:rsidRPr="00CB23C2" w:rsidRDefault="007A27CF" w:rsidP="00EF5411">
      <w:pPr>
        <w:pStyle w:val="ListParagraph"/>
        <w:numPr>
          <w:ilvl w:val="0"/>
          <w:numId w:val="31"/>
        </w:numPr>
        <w:ind w:left="851" w:hanging="284"/>
        <w:rPr>
          <w:rFonts w:ascii="Avenir Book" w:hAnsi="Avenir Book" w:cstheme="minorHAnsi"/>
          <w:sz w:val="22"/>
          <w:szCs w:val="22"/>
        </w:rPr>
      </w:pPr>
      <w:r w:rsidRPr="00CB23C2">
        <w:rPr>
          <w:rFonts w:ascii="Avenir Book" w:hAnsi="Avenir Book" w:cstheme="minorHAnsi"/>
          <w:sz w:val="22"/>
          <w:szCs w:val="22"/>
        </w:rPr>
        <w:t>Explicit recognition of the right to be free from violence, abuse, neglect and exploitation, including behaviour management that constitutes torture and ill-treatment, such as restrictive practices.</w:t>
      </w:r>
    </w:p>
    <w:p w14:paraId="1B882051" w14:textId="612B1FDD" w:rsidR="007A27CF" w:rsidRPr="00CB23C2" w:rsidRDefault="007A27CF" w:rsidP="007A27CF">
      <w:pPr>
        <w:rPr>
          <w:rFonts w:ascii="Avenir Book" w:hAnsi="Avenir Book" w:cs="Calibri"/>
          <w:color w:val="7030A0"/>
          <w:sz w:val="22"/>
          <w:szCs w:val="22"/>
        </w:rPr>
      </w:pPr>
    </w:p>
    <w:p w14:paraId="504C733B" w14:textId="408AD521" w:rsidR="007A27CF" w:rsidRPr="00CB23C2" w:rsidRDefault="007A27CF" w:rsidP="00EF5411">
      <w:pPr>
        <w:pStyle w:val="ListParagraph"/>
        <w:numPr>
          <w:ilvl w:val="1"/>
          <w:numId w:val="3"/>
        </w:numPr>
        <w:spacing w:after="120"/>
        <w:ind w:left="567" w:hanging="567"/>
        <w:contextualSpacing w:val="0"/>
        <w:rPr>
          <w:rFonts w:ascii="Avenir Book" w:hAnsi="Avenir Book" w:cstheme="minorHAnsi"/>
          <w:sz w:val="22"/>
          <w:szCs w:val="22"/>
        </w:rPr>
      </w:pPr>
      <w:r w:rsidRPr="00CB23C2">
        <w:rPr>
          <w:rFonts w:ascii="Avenir Book" w:hAnsi="Avenir Book" w:cs="Calibri"/>
          <w:color w:val="000000" w:themeColor="text1"/>
          <w:sz w:val="22"/>
          <w:szCs w:val="22"/>
        </w:rPr>
        <w:t xml:space="preserve">In line with its Terms of Reference, which are based in the context of the CRPD, the </w:t>
      </w:r>
      <w:r w:rsidRPr="00CB23C2">
        <w:rPr>
          <w:rFonts w:ascii="Avenir Book" w:hAnsi="Avenir Book" w:cs="Calibri"/>
          <w:sz w:val="22"/>
          <w:szCs w:val="22"/>
        </w:rPr>
        <w:t>Royal Commission should:</w:t>
      </w:r>
    </w:p>
    <w:p w14:paraId="1FED73EE" w14:textId="77777777" w:rsidR="007A27CF" w:rsidRPr="00CB23C2" w:rsidRDefault="007A27CF" w:rsidP="00EF5411">
      <w:pPr>
        <w:pStyle w:val="ListParagraph"/>
        <w:numPr>
          <w:ilvl w:val="0"/>
          <w:numId w:val="32"/>
        </w:numPr>
        <w:snapToGrid w:val="0"/>
        <w:ind w:left="851" w:hanging="284"/>
        <w:contextualSpacing w:val="0"/>
        <w:rPr>
          <w:rFonts w:ascii="Avenir Book" w:hAnsi="Avenir Book" w:cs="Calibri"/>
          <w:sz w:val="22"/>
          <w:szCs w:val="22"/>
        </w:rPr>
      </w:pPr>
      <w:r w:rsidRPr="00CB23C2">
        <w:rPr>
          <w:rFonts w:ascii="Avenir Book" w:hAnsi="Avenir Book" w:cs="Calibri"/>
          <w:sz w:val="22"/>
          <w:szCs w:val="22"/>
        </w:rPr>
        <w:t xml:space="preserve">explicitly recognise intersectionality as a key aspect of the human rights approach to disability; </w:t>
      </w:r>
    </w:p>
    <w:p w14:paraId="73852E99" w14:textId="77777777" w:rsidR="007A27CF" w:rsidRPr="00CB23C2" w:rsidRDefault="007A27CF" w:rsidP="00EF5411">
      <w:pPr>
        <w:pStyle w:val="ListParagraph"/>
        <w:numPr>
          <w:ilvl w:val="0"/>
          <w:numId w:val="32"/>
        </w:numPr>
        <w:snapToGrid w:val="0"/>
        <w:ind w:left="851" w:hanging="284"/>
        <w:contextualSpacing w:val="0"/>
        <w:rPr>
          <w:rFonts w:ascii="Avenir Book" w:hAnsi="Avenir Book" w:cs="Calibri"/>
          <w:sz w:val="22"/>
          <w:szCs w:val="22"/>
        </w:rPr>
      </w:pPr>
      <w:r w:rsidRPr="00CB23C2">
        <w:rPr>
          <w:rFonts w:ascii="Avenir Book" w:hAnsi="Avenir Book" w:cs="Calibri"/>
          <w:sz w:val="22"/>
          <w:szCs w:val="22"/>
        </w:rPr>
        <w:t>ensure that an intersectional analysis is integral to all its work (including reports, community forums, stakeholder engagement, Hearings, publications, findings and recommendations);</w:t>
      </w:r>
    </w:p>
    <w:p w14:paraId="5759AC2D" w14:textId="77777777" w:rsidR="007A27CF" w:rsidRPr="00CB23C2" w:rsidRDefault="007A27CF" w:rsidP="00EF5411">
      <w:pPr>
        <w:pStyle w:val="ListParagraph"/>
        <w:numPr>
          <w:ilvl w:val="0"/>
          <w:numId w:val="32"/>
        </w:numPr>
        <w:ind w:left="851" w:hanging="284"/>
        <w:rPr>
          <w:rFonts w:ascii="Avenir Book" w:hAnsi="Avenir Book" w:cs="Calibri"/>
          <w:sz w:val="22"/>
          <w:szCs w:val="22"/>
        </w:rPr>
      </w:pPr>
      <w:r w:rsidRPr="00CB23C2">
        <w:rPr>
          <w:rFonts w:ascii="Avenir Book" w:hAnsi="Avenir Book" w:cs="Calibri"/>
          <w:sz w:val="22"/>
          <w:szCs w:val="22"/>
        </w:rPr>
        <w:t xml:space="preserve">identify, examine and address the specific </w:t>
      </w:r>
      <w:r w:rsidRPr="00CB23C2">
        <w:rPr>
          <w:rFonts w:ascii="Avenir Book" w:hAnsi="Avenir Book"/>
          <w:sz w:val="22"/>
          <w:szCs w:val="22"/>
        </w:rPr>
        <w:t>issues, barriers, discrimination and human rights violations across all areas for women and girls with disability, as well as those that are specific to women and girls and/or that disproportionally affect women and girls with disability.</w:t>
      </w:r>
    </w:p>
    <w:p w14:paraId="262F1949" w14:textId="7E7F0BA8" w:rsidR="007A27CF" w:rsidRPr="00CB23C2" w:rsidRDefault="007A27CF" w:rsidP="007A27CF">
      <w:pPr>
        <w:rPr>
          <w:rFonts w:ascii="Avenir Book" w:hAnsi="Avenir Book" w:cs="Calibri"/>
          <w:sz w:val="22"/>
          <w:szCs w:val="22"/>
        </w:rPr>
      </w:pPr>
    </w:p>
    <w:p w14:paraId="77E9BE50" w14:textId="2C351544" w:rsidR="007A27CF" w:rsidRPr="00CB23C2" w:rsidRDefault="007A27CF" w:rsidP="00EF5411">
      <w:pPr>
        <w:pStyle w:val="ListParagraph"/>
        <w:numPr>
          <w:ilvl w:val="1"/>
          <w:numId w:val="3"/>
        </w:numPr>
        <w:ind w:left="567" w:hanging="567"/>
        <w:contextualSpacing w:val="0"/>
        <w:rPr>
          <w:rFonts w:ascii="Avenir Book" w:hAnsi="Avenir Book" w:cstheme="minorHAnsi"/>
          <w:sz w:val="22"/>
          <w:szCs w:val="22"/>
        </w:rPr>
      </w:pPr>
      <w:r w:rsidRPr="00CB23C2">
        <w:rPr>
          <w:rFonts w:ascii="Avenir Book" w:hAnsi="Avenir Book" w:cs="Calibri"/>
          <w:sz w:val="22"/>
          <w:szCs w:val="22"/>
        </w:rPr>
        <w:t xml:space="preserve">The Royal Commission should establish an expert advisory group of women and girls with disability and our representative organisations to provide advice on the situation of women and girls with disability in all areas of examination, to provide advice on specific areas of examination that disproportionately impact on women and girls with disability, to provide </w:t>
      </w:r>
      <w:r w:rsidRPr="00CB23C2">
        <w:rPr>
          <w:rFonts w:ascii="Avenir Book" w:hAnsi="Avenir Book" w:cs="Calibri"/>
          <w:sz w:val="22"/>
          <w:szCs w:val="22"/>
        </w:rPr>
        <w:lastRenderedPageBreak/>
        <w:t xml:space="preserve">advice on the process of examinations, findings and recommendations, and on other related matters. </w:t>
      </w:r>
    </w:p>
    <w:p w14:paraId="0B7DA27B" w14:textId="77777777" w:rsidR="007A27CF" w:rsidRPr="00CB23C2" w:rsidRDefault="007A27CF" w:rsidP="00BA4DB8">
      <w:pPr>
        <w:pStyle w:val="ListParagraph"/>
        <w:ind w:left="0"/>
        <w:contextualSpacing w:val="0"/>
        <w:rPr>
          <w:rFonts w:ascii="Avenir Book" w:hAnsi="Avenir Book" w:cstheme="minorHAnsi"/>
          <w:sz w:val="22"/>
          <w:szCs w:val="22"/>
        </w:rPr>
      </w:pPr>
    </w:p>
    <w:p w14:paraId="162544C8" w14:textId="4F7CB581" w:rsidR="007A27CF" w:rsidRPr="00CB23C2" w:rsidRDefault="007A27CF" w:rsidP="00EF5411">
      <w:pPr>
        <w:pStyle w:val="ListParagraph"/>
        <w:numPr>
          <w:ilvl w:val="1"/>
          <w:numId w:val="3"/>
        </w:numPr>
        <w:ind w:left="567" w:hanging="567"/>
        <w:contextualSpacing w:val="0"/>
        <w:rPr>
          <w:rFonts w:ascii="Avenir Book" w:hAnsi="Avenir Book" w:cstheme="minorHAnsi"/>
          <w:sz w:val="22"/>
          <w:szCs w:val="22"/>
        </w:rPr>
      </w:pPr>
      <w:r w:rsidRPr="00CB23C2">
        <w:rPr>
          <w:rFonts w:ascii="Avenir Book" w:hAnsi="Avenir Book" w:cs="Calibri"/>
          <w:sz w:val="22"/>
          <w:szCs w:val="22"/>
        </w:rPr>
        <w:t xml:space="preserve">The Royal Commission, in consultation with women with disability and our representative organisations should conduct </w:t>
      </w:r>
      <w:r w:rsidR="005D02BD">
        <w:rPr>
          <w:rFonts w:ascii="Avenir Book" w:hAnsi="Avenir Book" w:cs="Calibri"/>
          <w:sz w:val="22"/>
          <w:szCs w:val="22"/>
        </w:rPr>
        <w:t xml:space="preserve">a stand-alone Public Hearing, as well as </w:t>
      </w:r>
      <w:r w:rsidRPr="00CB23C2">
        <w:rPr>
          <w:rFonts w:ascii="Avenir Book" w:hAnsi="Avenir Book" w:cs="Calibri"/>
          <w:sz w:val="22"/>
          <w:szCs w:val="22"/>
        </w:rPr>
        <w:t xml:space="preserve">forums, roundtables and other engagement activities to </w:t>
      </w:r>
      <w:r w:rsidRPr="00CB23C2">
        <w:rPr>
          <w:rFonts w:ascii="Avenir Book" w:hAnsi="Avenir Book"/>
          <w:sz w:val="22"/>
          <w:szCs w:val="22"/>
        </w:rPr>
        <w:t xml:space="preserve">examine the specific experiences of women and girls with disability in relation to violence, abuse, neglect and exploitation.  </w:t>
      </w:r>
    </w:p>
    <w:p w14:paraId="1C23EB60" w14:textId="77777777" w:rsidR="00950EB8" w:rsidRPr="00CB23C2" w:rsidRDefault="00950EB8" w:rsidP="00BA4DB8">
      <w:pPr>
        <w:pStyle w:val="ListParagraph"/>
        <w:ind w:left="0"/>
        <w:rPr>
          <w:rFonts w:ascii="Avenir Book" w:hAnsi="Avenir Book" w:cstheme="minorHAnsi"/>
          <w:sz w:val="22"/>
          <w:szCs w:val="22"/>
        </w:rPr>
      </w:pPr>
    </w:p>
    <w:p w14:paraId="5BD514F8" w14:textId="77777777" w:rsidR="007A27CF" w:rsidRPr="00CB23C2" w:rsidRDefault="007A27CF" w:rsidP="00EF5411">
      <w:pPr>
        <w:pStyle w:val="ListParagraph"/>
        <w:numPr>
          <w:ilvl w:val="1"/>
          <w:numId w:val="3"/>
        </w:numPr>
        <w:spacing w:after="120"/>
        <w:ind w:left="567" w:hanging="567"/>
        <w:contextualSpacing w:val="0"/>
        <w:rPr>
          <w:rFonts w:ascii="Avenir Book" w:hAnsi="Avenir Book" w:cstheme="minorHAnsi"/>
          <w:sz w:val="22"/>
          <w:szCs w:val="22"/>
        </w:rPr>
      </w:pPr>
      <w:r w:rsidRPr="00CB23C2">
        <w:rPr>
          <w:rFonts w:ascii="Avenir Book" w:hAnsi="Avenir Book" w:cstheme="minorHAnsi"/>
          <w:sz w:val="22"/>
          <w:szCs w:val="22"/>
        </w:rPr>
        <w:t>The Royal Commission should:</w:t>
      </w:r>
    </w:p>
    <w:p w14:paraId="18925BA4" w14:textId="77777777" w:rsidR="007A27CF" w:rsidRPr="00CB23C2" w:rsidRDefault="007A27CF" w:rsidP="00EF5411">
      <w:pPr>
        <w:pStyle w:val="ListParagraph"/>
        <w:numPr>
          <w:ilvl w:val="0"/>
          <w:numId w:val="33"/>
        </w:numPr>
        <w:ind w:left="851" w:hanging="284"/>
        <w:rPr>
          <w:rFonts w:ascii="Avenir Book" w:hAnsi="Avenir Book" w:cs="Calibri"/>
          <w:sz w:val="22"/>
          <w:szCs w:val="22"/>
        </w:rPr>
      </w:pPr>
      <w:r w:rsidRPr="00CB23C2">
        <w:rPr>
          <w:rFonts w:ascii="Avenir Book" w:hAnsi="Avenir Book" w:cs="Calibri"/>
          <w:sz w:val="22"/>
          <w:szCs w:val="22"/>
        </w:rPr>
        <w:t>recognise ableism and intersecting forms of inequality and discrimination as the underlying drivers of violence, abuse, neglect and exploitation of people with disability, including women and girls with disability;</w:t>
      </w:r>
    </w:p>
    <w:p w14:paraId="41D26B7C" w14:textId="77777777" w:rsidR="007A27CF" w:rsidRPr="00CB23C2" w:rsidRDefault="007A27CF" w:rsidP="00EF5411">
      <w:pPr>
        <w:pStyle w:val="ListParagraph"/>
        <w:numPr>
          <w:ilvl w:val="0"/>
          <w:numId w:val="33"/>
        </w:numPr>
        <w:ind w:left="851" w:hanging="284"/>
        <w:rPr>
          <w:rFonts w:ascii="Avenir Book" w:hAnsi="Avenir Book" w:cs="Calibri"/>
          <w:sz w:val="22"/>
          <w:szCs w:val="22"/>
        </w:rPr>
      </w:pPr>
      <w:r w:rsidRPr="00CB23C2">
        <w:rPr>
          <w:rFonts w:ascii="Avenir Book" w:hAnsi="Avenir Book" w:cs="Calibri"/>
          <w:sz w:val="22"/>
          <w:szCs w:val="22"/>
        </w:rPr>
        <w:t>examine how ableism and intersecting forms of inequality and discrimination operate within Australian legal, policy and practice frameworks and community attitudes generally, and how they underpin violence, abuse, neglect and exploitation;</w:t>
      </w:r>
    </w:p>
    <w:p w14:paraId="407243C5" w14:textId="77777777" w:rsidR="007A27CF" w:rsidRPr="00CB23C2" w:rsidRDefault="007A27CF" w:rsidP="00EF5411">
      <w:pPr>
        <w:pStyle w:val="ListParagraph"/>
        <w:numPr>
          <w:ilvl w:val="0"/>
          <w:numId w:val="33"/>
        </w:numPr>
        <w:ind w:left="851" w:hanging="284"/>
        <w:rPr>
          <w:rFonts w:ascii="Avenir Book" w:hAnsi="Avenir Book" w:cs="Calibri"/>
          <w:sz w:val="22"/>
          <w:szCs w:val="22"/>
        </w:rPr>
      </w:pPr>
      <w:r w:rsidRPr="00CB23C2">
        <w:rPr>
          <w:rFonts w:ascii="Avenir Book" w:hAnsi="Avenir Book" w:cs="Calibri"/>
          <w:sz w:val="22"/>
          <w:szCs w:val="22"/>
        </w:rPr>
        <w:t>make recommendations that address these root causes of violence, abuse, neglect and exploitation and that lead to large scale responses and social transformation.</w:t>
      </w:r>
    </w:p>
    <w:p w14:paraId="7A9EC098" w14:textId="77777777" w:rsidR="007A27CF" w:rsidRPr="00CB23C2" w:rsidRDefault="007A27CF" w:rsidP="007A27CF">
      <w:pPr>
        <w:snapToGrid w:val="0"/>
        <w:rPr>
          <w:rFonts w:ascii="Avenir Book" w:hAnsi="Avenir Book" w:cs="Calibri"/>
          <w:sz w:val="22"/>
          <w:szCs w:val="22"/>
        </w:rPr>
      </w:pPr>
    </w:p>
    <w:p w14:paraId="374F73DE" w14:textId="29695CEC" w:rsidR="007A27CF" w:rsidRPr="00CB23C2" w:rsidRDefault="007A27CF" w:rsidP="00EF5411">
      <w:pPr>
        <w:pStyle w:val="ListParagraph"/>
        <w:numPr>
          <w:ilvl w:val="1"/>
          <w:numId w:val="3"/>
        </w:numPr>
        <w:spacing w:after="120"/>
        <w:ind w:left="567" w:hanging="567"/>
        <w:contextualSpacing w:val="0"/>
        <w:rPr>
          <w:rFonts w:ascii="Avenir Book" w:hAnsi="Avenir Book" w:cstheme="minorHAnsi"/>
          <w:sz w:val="22"/>
          <w:szCs w:val="22"/>
        </w:rPr>
      </w:pPr>
      <w:r w:rsidRPr="00CB23C2">
        <w:rPr>
          <w:rFonts w:ascii="Avenir Book" w:hAnsi="Avenir Book" w:cs="Calibri"/>
          <w:sz w:val="22"/>
          <w:szCs w:val="22"/>
        </w:rPr>
        <w:t xml:space="preserve">A coordinated, nationally consistent violence prevention and response strategy should be developed </w:t>
      </w:r>
      <w:r w:rsidR="00DA0CE3" w:rsidRPr="00CB23C2">
        <w:rPr>
          <w:rFonts w:ascii="Avenir Book" w:hAnsi="Avenir Book" w:cs="Calibri"/>
          <w:sz w:val="22"/>
          <w:szCs w:val="22"/>
        </w:rPr>
        <w:t xml:space="preserve">by Australia governments, with active participation of </w:t>
      </w:r>
      <w:r w:rsidRPr="00CB23C2">
        <w:rPr>
          <w:rFonts w:ascii="Avenir Book" w:hAnsi="Avenir Book" w:cs="Calibri"/>
          <w:sz w:val="22"/>
          <w:szCs w:val="22"/>
        </w:rPr>
        <w:t xml:space="preserve">people with disability that comprehensively combats ableism and intersecting forms of inequality and discrimination through a range of measures aimed at </w:t>
      </w:r>
      <w:r w:rsidR="00DA0CE3" w:rsidRPr="00CB23C2">
        <w:rPr>
          <w:rFonts w:ascii="Avenir Book" w:hAnsi="Avenir Book" w:cs="Calibri"/>
          <w:sz w:val="22"/>
          <w:szCs w:val="22"/>
        </w:rPr>
        <w:t xml:space="preserve">facilitating </w:t>
      </w:r>
      <w:r w:rsidRPr="00CB23C2">
        <w:rPr>
          <w:rFonts w:ascii="Avenir Book" w:hAnsi="Avenir Book" w:cs="Calibri"/>
          <w:sz w:val="22"/>
          <w:szCs w:val="22"/>
        </w:rPr>
        <w:t>social transformation, including:</w:t>
      </w:r>
    </w:p>
    <w:p w14:paraId="7E1CCDCF" w14:textId="77777777" w:rsidR="007A27CF" w:rsidRPr="00CB23C2" w:rsidRDefault="007A27CF" w:rsidP="00EF5411">
      <w:pPr>
        <w:pStyle w:val="ListParagraph"/>
        <w:numPr>
          <w:ilvl w:val="0"/>
          <w:numId w:val="34"/>
        </w:numPr>
        <w:snapToGrid w:val="0"/>
        <w:spacing w:after="120"/>
        <w:ind w:left="851" w:hanging="284"/>
        <w:rPr>
          <w:rFonts w:ascii="Avenir Book" w:hAnsi="Avenir Book" w:cs="Calibri"/>
          <w:sz w:val="22"/>
          <w:szCs w:val="22"/>
        </w:rPr>
      </w:pPr>
      <w:r w:rsidRPr="00CB23C2">
        <w:rPr>
          <w:rFonts w:ascii="Avenir Book" w:hAnsi="Avenir Book" w:cs="Calibri"/>
          <w:sz w:val="22"/>
          <w:szCs w:val="22"/>
        </w:rPr>
        <w:t>Review, amend or repeal of laws, policies and practice that do not comply with the CRPD and that give rise to violence, abuse, neglect and exploitation of people with disability, including women and girls with disability;</w:t>
      </w:r>
    </w:p>
    <w:p w14:paraId="321066F3" w14:textId="77777777" w:rsidR="007A27CF" w:rsidRPr="00CB23C2" w:rsidRDefault="007A27CF" w:rsidP="00EF5411">
      <w:pPr>
        <w:pStyle w:val="ListParagraph"/>
        <w:numPr>
          <w:ilvl w:val="0"/>
          <w:numId w:val="34"/>
        </w:numPr>
        <w:snapToGrid w:val="0"/>
        <w:spacing w:after="120"/>
        <w:ind w:left="851" w:hanging="284"/>
        <w:rPr>
          <w:rFonts w:ascii="Avenir Book" w:hAnsi="Avenir Book" w:cs="Calibri"/>
          <w:sz w:val="22"/>
          <w:szCs w:val="22"/>
        </w:rPr>
      </w:pPr>
      <w:r w:rsidRPr="00CB23C2">
        <w:rPr>
          <w:rFonts w:ascii="Avenir Book" w:hAnsi="Avenir Book" w:cs="Calibri"/>
          <w:sz w:val="22"/>
          <w:szCs w:val="22"/>
        </w:rPr>
        <w:t>National surveys and awareness raising campaigns;</w:t>
      </w:r>
    </w:p>
    <w:p w14:paraId="3A4A4FB8" w14:textId="77777777" w:rsidR="007A27CF" w:rsidRPr="00CB23C2" w:rsidRDefault="007A27CF" w:rsidP="00EF5411">
      <w:pPr>
        <w:pStyle w:val="ListParagraph"/>
        <w:numPr>
          <w:ilvl w:val="0"/>
          <w:numId w:val="34"/>
        </w:numPr>
        <w:snapToGrid w:val="0"/>
        <w:spacing w:after="120"/>
        <w:ind w:left="851" w:hanging="284"/>
        <w:rPr>
          <w:rFonts w:ascii="Avenir Book" w:hAnsi="Avenir Book" w:cs="Calibri"/>
          <w:sz w:val="22"/>
          <w:szCs w:val="22"/>
        </w:rPr>
      </w:pPr>
      <w:r w:rsidRPr="00CB23C2">
        <w:rPr>
          <w:rFonts w:ascii="Avenir Book" w:hAnsi="Avenir Book" w:cs="Calibri"/>
          <w:sz w:val="22"/>
          <w:szCs w:val="22"/>
        </w:rPr>
        <w:t>Political commitments and leadership from governments;</w:t>
      </w:r>
    </w:p>
    <w:p w14:paraId="4FE11EB5" w14:textId="77777777" w:rsidR="007A27CF" w:rsidRPr="00CB23C2" w:rsidRDefault="007A27CF" w:rsidP="00EF5411">
      <w:pPr>
        <w:pStyle w:val="ListParagraph"/>
        <w:numPr>
          <w:ilvl w:val="0"/>
          <w:numId w:val="34"/>
        </w:numPr>
        <w:snapToGrid w:val="0"/>
        <w:spacing w:after="120"/>
        <w:ind w:left="851" w:hanging="284"/>
        <w:rPr>
          <w:rFonts w:ascii="Avenir Book" w:hAnsi="Avenir Book" w:cs="Calibri"/>
          <w:sz w:val="22"/>
          <w:szCs w:val="22"/>
        </w:rPr>
      </w:pPr>
      <w:r w:rsidRPr="00CB23C2">
        <w:rPr>
          <w:rFonts w:ascii="Avenir Book" w:hAnsi="Avenir Book" w:cs="Calibri"/>
          <w:sz w:val="22"/>
          <w:szCs w:val="22"/>
        </w:rPr>
        <w:t>Budget allocations and resourcing;</w:t>
      </w:r>
    </w:p>
    <w:p w14:paraId="0A63EFEE" w14:textId="77777777" w:rsidR="007A27CF" w:rsidRPr="00CB23C2" w:rsidRDefault="007A27CF" w:rsidP="00EF5411">
      <w:pPr>
        <w:pStyle w:val="ListParagraph"/>
        <w:numPr>
          <w:ilvl w:val="0"/>
          <w:numId w:val="34"/>
        </w:numPr>
        <w:snapToGrid w:val="0"/>
        <w:spacing w:after="120"/>
        <w:ind w:left="851" w:hanging="284"/>
        <w:rPr>
          <w:rFonts w:ascii="Avenir Book" w:hAnsi="Avenir Book" w:cs="Calibri"/>
          <w:sz w:val="22"/>
          <w:szCs w:val="22"/>
        </w:rPr>
      </w:pPr>
      <w:r w:rsidRPr="00CB23C2">
        <w:rPr>
          <w:rFonts w:ascii="Avenir Book" w:hAnsi="Avenir Book" w:cs="Calibri"/>
          <w:sz w:val="22"/>
          <w:szCs w:val="22"/>
        </w:rPr>
        <w:t xml:space="preserve">Educational programs delivered as part of early childhood, school and tertiary curricula. </w:t>
      </w:r>
    </w:p>
    <w:p w14:paraId="36F83FB3" w14:textId="77777777" w:rsidR="007A27CF" w:rsidRPr="00CB23C2" w:rsidRDefault="007A27CF" w:rsidP="00BA4DB8">
      <w:pPr>
        <w:pStyle w:val="ListParagraph"/>
        <w:snapToGrid w:val="0"/>
        <w:spacing w:after="120"/>
        <w:ind w:left="0"/>
        <w:contextualSpacing w:val="0"/>
        <w:rPr>
          <w:rFonts w:ascii="Avenir Book" w:hAnsi="Avenir Book" w:cs="Calibri"/>
          <w:sz w:val="22"/>
          <w:szCs w:val="22"/>
        </w:rPr>
      </w:pPr>
    </w:p>
    <w:p w14:paraId="4B1455A9" w14:textId="77777777" w:rsidR="00950EB8" w:rsidRPr="00CB23C2" w:rsidRDefault="00950EB8" w:rsidP="00EF5411">
      <w:pPr>
        <w:pStyle w:val="ListParagraph"/>
        <w:numPr>
          <w:ilvl w:val="1"/>
          <w:numId w:val="3"/>
        </w:numPr>
        <w:spacing w:after="120"/>
        <w:ind w:left="567" w:hanging="567"/>
        <w:contextualSpacing w:val="0"/>
        <w:rPr>
          <w:rFonts w:ascii="Avenir Book" w:hAnsi="Avenir Book" w:cstheme="minorHAnsi"/>
          <w:sz w:val="22"/>
          <w:szCs w:val="22"/>
        </w:rPr>
      </w:pPr>
      <w:r w:rsidRPr="00CB23C2">
        <w:rPr>
          <w:rFonts w:ascii="Avenir Book" w:hAnsi="Avenir Book" w:cstheme="minorHAnsi"/>
          <w:sz w:val="22"/>
          <w:szCs w:val="22"/>
        </w:rPr>
        <w:t>The Royal Commission should explicitly recognise restrictive practices as violations of article 15 of the CRPD and violations of the Convention against Torture and other Cruel, Inhuman or Degrading Treatment or Punishment (CAT), and as part of its examination of these practices, it should:</w:t>
      </w:r>
    </w:p>
    <w:p w14:paraId="662722B0" w14:textId="77777777" w:rsidR="00950EB8" w:rsidRPr="00CB23C2" w:rsidRDefault="00950EB8" w:rsidP="00EF5411">
      <w:pPr>
        <w:pStyle w:val="ListParagraph"/>
        <w:numPr>
          <w:ilvl w:val="0"/>
          <w:numId w:val="18"/>
        </w:numPr>
        <w:ind w:left="851" w:hanging="284"/>
        <w:rPr>
          <w:rFonts w:ascii="Avenir Book" w:hAnsi="Avenir Book" w:cstheme="minorHAnsi"/>
          <w:sz w:val="22"/>
          <w:szCs w:val="22"/>
        </w:rPr>
      </w:pPr>
      <w:r w:rsidRPr="00CB23C2">
        <w:rPr>
          <w:rFonts w:ascii="Avenir Book" w:hAnsi="Avenir Book" w:cstheme="minorHAnsi"/>
          <w:sz w:val="22"/>
          <w:szCs w:val="22"/>
        </w:rPr>
        <w:t>Compel evidence from the Australian Government regarding its response, including specific actions to address the issues raised by the UN mandates in their letter regarding instances of violence, abuse, neglect and exploitation, torture and ill-treatment in educational settings;</w:t>
      </w:r>
    </w:p>
    <w:p w14:paraId="066AA22B" w14:textId="1C1A33DC" w:rsidR="00950EB8" w:rsidRPr="00CB23C2" w:rsidRDefault="00950EB8" w:rsidP="00EF5411">
      <w:pPr>
        <w:pStyle w:val="ListParagraph"/>
        <w:numPr>
          <w:ilvl w:val="0"/>
          <w:numId w:val="18"/>
        </w:numPr>
        <w:ind w:left="851" w:hanging="284"/>
        <w:rPr>
          <w:rFonts w:ascii="Avenir Book" w:hAnsi="Avenir Book" w:cstheme="minorHAnsi"/>
          <w:sz w:val="22"/>
          <w:szCs w:val="22"/>
        </w:rPr>
      </w:pPr>
      <w:r w:rsidRPr="00CB23C2">
        <w:rPr>
          <w:rFonts w:ascii="Avenir Book" w:hAnsi="Avenir Book" w:cstheme="minorHAnsi"/>
          <w:sz w:val="22"/>
          <w:szCs w:val="22"/>
        </w:rPr>
        <w:t xml:space="preserve">Hold to account educational </w:t>
      </w:r>
      <w:r w:rsidR="00DA0CE3" w:rsidRPr="00CB23C2">
        <w:rPr>
          <w:rFonts w:ascii="Avenir Book" w:hAnsi="Avenir Book" w:cstheme="minorHAnsi"/>
          <w:sz w:val="22"/>
          <w:szCs w:val="22"/>
        </w:rPr>
        <w:t xml:space="preserve">authorities </w:t>
      </w:r>
      <w:r w:rsidRPr="00CB23C2">
        <w:rPr>
          <w:rFonts w:ascii="Avenir Book" w:hAnsi="Avenir Book" w:cstheme="minorHAnsi"/>
          <w:sz w:val="22"/>
          <w:szCs w:val="22"/>
        </w:rPr>
        <w:t>that have used restrictive practices as a means of behaviour management and control of students with disability;</w:t>
      </w:r>
    </w:p>
    <w:p w14:paraId="43DBF222" w14:textId="77777777" w:rsidR="00950EB8" w:rsidRPr="00CB23C2" w:rsidRDefault="00950EB8" w:rsidP="00EF5411">
      <w:pPr>
        <w:pStyle w:val="ListParagraph"/>
        <w:numPr>
          <w:ilvl w:val="0"/>
          <w:numId w:val="18"/>
        </w:numPr>
        <w:ind w:left="851" w:hanging="284"/>
        <w:rPr>
          <w:rFonts w:ascii="Avenir Book" w:hAnsi="Avenir Book" w:cstheme="minorHAnsi"/>
          <w:sz w:val="22"/>
          <w:szCs w:val="22"/>
        </w:rPr>
      </w:pPr>
      <w:r w:rsidRPr="00CB23C2">
        <w:rPr>
          <w:rFonts w:ascii="Avenir Book" w:hAnsi="Avenir Book" w:cstheme="minorHAnsi"/>
          <w:sz w:val="22"/>
          <w:szCs w:val="22"/>
        </w:rPr>
        <w:t xml:space="preserve">Make findings and recommendations for the urgent and immediate elimination of restrictive practices in the area of education and learning. </w:t>
      </w:r>
    </w:p>
    <w:p w14:paraId="67E4EA20" w14:textId="77777777" w:rsidR="00950EB8" w:rsidRPr="00CB23C2" w:rsidRDefault="00950EB8" w:rsidP="00BA4DB8">
      <w:pPr>
        <w:pStyle w:val="ListParagraph"/>
        <w:ind w:left="0"/>
        <w:rPr>
          <w:rFonts w:ascii="Avenir Book" w:hAnsi="Avenir Book" w:cstheme="minorHAnsi"/>
          <w:sz w:val="22"/>
          <w:szCs w:val="22"/>
        </w:rPr>
      </w:pPr>
    </w:p>
    <w:p w14:paraId="2035D557" w14:textId="45933926" w:rsidR="000E2276" w:rsidRPr="00CB23C2" w:rsidRDefault="00950EB8" w:rsidP="00EF5411">
      <w:pPr>
        <w:pStyle w:val="ListParagraph"/>
        <w:numPr>
          <w:ilvl w:val="1"/>
          <w:numId w:val="3"/>
        </w:numPr>
        <w:ind w:left="567" w:hanging="567"/>
        <w:contextualSpacing w:val="0"/>
        <w:rPr>
          <w:rFonts w:ascii="Avenir Book" w:hAnsi="Avenir Book" w:cstheme="minorHAnsi"/>
          <w:sz w:val="22"/>
          <w:szCs w:val="22"/>
        </w:rPr>
      </w:pPr>
      <w:r w:rsidRPr="00CB23C2">
        <w:rPr>
          <w:rFonts w:ascii="Avenir Book" w:hAnsi="Avenir Book" w:cstheme="minorHAnsi"/>
          <w:sz w:val="22"/>
          <w:szCs w:val="22"/>
        </w:rPr>
        <w:t>The Royal Commission should actively seek to engage with the S</w:t>
      </w:r>
      <w:r w:rsidR="00DA0CE3" w:rsidRPr="00CB23C2">
        <w:rPr>
          <w:rFonts w:ascii="Avenir Book" w:hAnsi="Avenir Book" w:cstheme="minorHAnsi"/>
          <w:sz w:val="22"/>
          <w:szCs w:val="22"/>
        </w:rPr>
        <w:t>ubcommittee for the Prevention of Torture (S</w:t>
      </w:r>
      <w:r w:rsidRPr="00CB23C2">
        <w:rPr>
          <w:rFonts w:ascii="Avenir Book" w:hAnsi="Avenir Book" w:cstheme="minorHAnsi"/>
          <w:sz w:val="22"/>
          <w:szCs w:val="22"/>
        </w:rPr>
        <w:t>PT</w:t>
      </w:r>
      <w:r w:rsidR="00DA0CE3" w:rsidRPr="00CB23C2">
        <w:rPr>
          <w:rFonts w:ascii="Avenir Book" w:hAnsi="Avenir Book" w:cstheme="minorHAnsi"/>
          <w:sz w:val="22"/>
          <w:szCs w:val="22"/>
        </w:rPr>
        <w:t>)</w:t>
      </w:r>
      <w:r w:rsidRPr="00CB23C2">
        <w:rPr>
          <w:rFonts w:ascii="Avenir Book" w:hAnsi="Avenir Book" w:cstheme="minorHAnsi"/>
          <w:sz w:val="22"/>
          <w:szCs w:val="22"/>
        </w:rPr>
        <w:t xml:space="preserve"> and the </w:t>
      </w:r>
      <w:r w:rsidR="00DA0CE3" w:rsidRPr="00CB23C2">
        <w:rPr>
          <w:rFonts w:ascii="Avenir Book" w:hAnsi="Avenir Book" w:cstheme="minorHAnsi"/>
          <w:sz w:val="22"/>
          <w:szCs w:val="22"/>
        </w:rPr>
        <w:t xml:space="preserve">UN </w:t>
      </w:r>
      <w:r w:rsidRPr="00CB23C2">
        <w:rPr>
          <w:rFonts w:ascii="Avenir Book" w:hAnsi="Avenir Book" w:cstheme="minorHAnsi"/>
          <w:sz w:val="22"/>
          <w:szCs w:val="22"/>
        </w:rPr>
        <w:t>W</w:t>
      </w:r>
      <w:r w:rsidR="00DA0CE3" w:rsidRPr="00CB23C2">
        <w:rPr>
          <w:rFonts w:ascii="Avenir Book" w:hAnsi="Avenir Book" w:cstheme="minorHAnsi"/>
          <w:sz w:val="22"/>
          <w:szCs w:val="22"/>
        </w:rPr>
        <w:t xml:space="preserve">orking </w:t>
      </w:r>
      <w:r w:rsidRPr="00CB23C2">
        <w:rPr>
          <w:rFonts w:ascii="Avenir Book" w:hAnsi="Avenir Book" w:cstheme="minorHAnsi"/>
          <w:sz w:val="22"/>
          <w:szCs w:val="22"/>
        </w:rPr>
        <w:t>G</w:t>
      </w:r>
      <w:r w:rsidR="00DA0CE3" w:rsidRPr="00CB23C2">
        <w:rPr>
          <w:rFonts w:ascii="Avenir Book" w:hAnsi="Avenir Book" w:cstheme="minorHAnsi"/>
          <w:sz w:val="22"/>
          <w:szCs w:val="22"/>
        </w:rPr>
        <w:t xml:space="preserve">roup on </w:t>
      </w:r>
      <w:r w:rsidRPr="00CB23C2">
        <w:rPr>
          <w:rFonts w:ascii="Avenir Book" w:hAnsi="Avenir Book" w:cstheme="minorHAnsi"/>
          <w:sz w:val="22"/>
          <w:szCs w:val="22"/>
        </w:rPr>
        <w:t>A</w:t>
      </w:r>
      <w:r w:rsidR="00DA0CE3" w:rsidRPr="00CB23C2">
        <w:rPr>
          <w:rFonts w:ascii="Avenir Book" w:hAnsi="Avenir Book" w:cstheme="minorHAnsi"/>
          <w:sz w:val="22"/>
          <w:szCs w:val="22"/>
        </w:rPr>
        <w:t xml:space="preserve">rbitrary </w:t>
      </w:r>
      <w:r w:rsidRPr="00CB23C2">
        <w:rPr>
          <w:rFonts w:ascii="Avenir Book" w:hAnsi="Avenir Book" w:cstheme="minorHAnsi"/>
          <w:sz w:val="22"/>
          <w:szCs w:val="22"/>
        </w:rPr>
        <w:t>D</w:t>
      </w:r>
      <w:r w:rsidR="00DA0CE3" w:rsidRPr="00CB23C2">
        <w:rPr>
          <w:rFonts w:ascii="Avenir Book" w:hAnsi="Avenir Book" w:cstheme="minorHAnsi"/>
          <w:sz w:val="22"/>
          <w:szCs w:val="22"/>
        </w:rPr>
        <w:t>etention (WGAD)</w:t>
      </w:r>
      <w:r w:rsidRPr="00CB23C2">
        <w:rPr>
          <w:rFonts w:ascii="Avenir Book" w:hAnsi="Avenir Book" w:cstheme="minorHAnsi"/>
          <w:sz w:val="22"/>
          <w:szCs w:val="22"/>
        </w:rPr>
        <w:t xml:space="preserve"> during their visit to Australia, with the aim of discussing the evidence it has received </w:t>
      </w:r>
      <w:r w:rsidRPr="00CB23C2">
        <w:rPr>
          <w:rFonts w:ascii="Avenir Book" w:hAnsi="Avenir Book" w:cstheme="minorHAnsi"/>
          <w:sz w:val="22"/>
          <w:szCs w:val="22"/>
        </w:rPr>
        <w:lastRenderedPageBreak/>
        <w:t xml:space="preserve">regarding torture and ill-treatment, to demonstrate support for the design and scope of the </w:t>
      </w:r>
      <w:r w:rsidR="000E2276" w:rsidRPr="00CB23C2">
        <w:rPr>
          <w:rFonts w:ascii="Avenir Book" w:hAnsi="Avenir Book" w:cstheme="minorHAnsi"/>
          <w:sz w:val="22"/>
          <w:szCs w:val="22"/>
        </w:rPr>
        <w:t xml:space="preserve">Australian National Preventive Mechanism (NPM) </w:t>
      </w:r>
      <w:r w:rsidRPr="00CB23C2">
        <w:rPr>
          <w:rFonts w:ascii="Avenir Book" w:hAnsi="Avenir Book" w:cstheme="minorHAnsi"/>
          <w:sz w:val="22"/>
          <w:szCs w:val="22"/>
        </w:rPr>
        <w:t>to be disability inclusive, including for the inclusion of disability specific places of detention, such as educational settings.</w:t>
      </w:r>
    </w:p>
    <w:p w14:paraId="70A9F73C" w14:textId="77777777" w:rsidR="00950EB8" w:rsidRPr="00CB23C2" w:rsidRDefault="00950EB8" w:rsidP="00BA4DB8">
      <w:pPr>
        <w:pStyle w:val="ListParagraph"/>
        <w:ind w:left="0"/>
        <w:contextualSpacing w:val="0"/>
        <w:rPr>
          <w:rFonts w:ascii="Avenir Book" w:hAnsi="Avenir Book" w:cstheme="minorHAnsi"/>
          <w:sz w:val="22"/>
          <w:szCs w:val="22"/>
        </w:rPr>
      </w:pPr>
    </w:p>
    <w:p w14:paraId="49B98889" w14:textId="258B5A2A" w:rsidR="00950EB8" w:rsidRPr="00CB23C2" w:rsidRDefault="008F538A" w:rsidP="00EF5411">
      <w:pPr>
        <w:pStyle w:val="ListParagraph"/>
        <w:numPr>
          <w:ilvl w:val="1"/>
          <w:numId w:val="3"/>
        </w:numPr>
        <w:ind w:left="567" w:hanging="567"/>
        <w:contextualSpacing w:val="0"/>
        <w:rPr>
          <w:rFonts w:ascii="Avenir Book" w:hAnsi="Avenir Book" w:cstheme="minorHAnsi"/>
          <w:sz w:val="22"/>
          <w:szCs w:val="22"/>
        </w:rPr>
      </w:pPr>
      <w:r w:rsidRPr="00CB23C2">
        <w:rPr>
          <w:rFonts w:ascii="Avenir Book" w:hAnsi="Avenir Book" w:cstheme="minorHAnsi"/>
          <w:sz w:val="22"/>
          <w:szCs w:val="22"/>
        </w:rPr>
        <w:t>Australia should c</w:t>
      </w:r>
      <w:r w:rsidR="00950EB8" w:rsidRPr="00CB23C2">
        <w:rPr>
          <w:rFonts w:ascii="Avenir Book" w:hAnsi="Avenir Book" w:cstheme="minorHAnsi"/>
          <w:sz w:val="22"/>
          <w:szCs w:val="22"/>
        </w:rPr>
        <w:t>ommission a comprehensive assessment, using intersectional research methodologies, on the situation and rights of women and girls with disability in Australia, in order to establish a baseline of disaggregated data and intersectional evidence to measure progress toward implementation of CRPD in all areas, including in the area of education and learning.</w:t>
      </w:r>
    </w:p>
    <w:p w14:paraId="7957D447" w14:textId="77777777" w:rsidR="00950EB8" w:rsidRPr="00CB23C2" w:rsidRDefault="00950EB8" w:rsidP="00BA4DB8">
      <w:pPr>
        <w:pStyle w:val="ListParagraph"/>
        <w:ind w:left="0"/>
        <w:rPr>
          <w:rFonts w:ascii="Avenir Book" w:hAnsi="Avenir Book" w:cstheme="minorHAnsi"/>
          <w:sz w:val="22"/>
          <w:szCs w:val="22"/>
        </w:rPr>
      </w:pPr>
    </w:p>
    <w:p w14:paraId="48858736" w14:textId="2435791C" w:rsidR="00950EB8" w:rsidRPr="00CB23C2" w:rsidRDefault="008F538A" w:rsidP="00EF5411">
      <w:pPr>
        <w:pStyle w:val="ListParagraph"/>
        <w:numPr>
          <w:ilvl w:val="1"/>
          <w:numId w:val="3"/>
        </w:numPr>
        <w:ind w:left="567" w:hanging="567"/>
        <w:contextualSpacing w:val="0"/>
        <w:rPr>
          <w:rFonts w:ascii="Avenir Book" w:hAnsi="Avenir Book" w:cstheme="minorHAnsi"/>
          <w:sz w:val="22"/>
          <w:szCs w:val="22"/>
        </w:rPr>
      </w:pPr>
      <w:r w:rsidRPr="00CB23C2">
        <w:rPr>
          <w:rFonts w:ascii="Avenir Book" w:hAnsi="Avenir Book" w:cstheme="minorHAnsi"/>
          <w:sz w:val="22"/>
          <w:szCs w:val="22"/>
        </w:rPr>
        <w:t>Australian governments should i</w:t>
      </w:r>
      <w:r w:rsidR="00950EB8" w:rsidRPr="00CB23C2">
        <w:rPr>
          <w:rFonts w:ascii="Avenir Book" w:hAnsi="Avenir Book" w:cstheme="minorHAnsi"/>
          <w:sz w:val="22"/>
          <w:szCs w:val="22"/>
        </w:rPr>
        <w:t xml:space="preserve">mplement a nationally consistent framework to enable the collection, analysis and public reporting of disaggregated data across all jurisdictions, on all forms of gendered disability violence, abuse, neglect and exploitation experienced by women and girls with disability. </w:t>
      </w:r>
    </w:p>
    <w:p w14:paraId="45A0EE85" w14:textId="77777777" w:rsidR="00950EB8" w:rsidRPr="00CB23C2" w:rsidRDefault="00950EB8" w:rsidP="00BA4DB8">
      <w:pPr>
        <w:pStyle w:val="ListParagraph"/>
        <w:ind w:left="0"/>
        <w:rPr>
          <w:rFonts w:ascii="Avenir Book" w:hAnsi="Avenir Book" w:cs="Calibri"/>
          <w:color w:val="000000" w:themeColor="text1"/>
          <w:sz w:val="22"/>
          <w:szCs w:val="22"/>
        </w:rPr>
      </w:pPr>
    </w:p>
    <w:p w14:paraId="49CC8CCA" w14:textId="1A257086" w:rsidR="00950EB8" w:rsidRPr="00CB23C2" w:rsidRDefault="008F538A" w:rsidP="00EF5411">
      <w:pPr>
        <w:pStyle w:val="ListParagraph"/>
        <w:numPr>
          <w:ilvl w:val="1"/>
          <w:numId w:val="3"/>
        </w:numPr>
        <w:ind w:left="567" w:hanging="567"/>
        <w:contextualSpacing w:val="0"/>
        <w:rPr>
          <w:rFonts w:ascii="Avenir Book" w:hAnsi="Avenir Book" w:cstheme="minorHAnsi"/>
          <w:sz w:val="22"/>
          <w:szCs w:val="22"/>
        </w:rPr>
      </w:pPr>
      <w:r w:rsidRPr="00CB23C2">
        <w:rPr>
          <w:rFonts w:ascii="Avenir Book" w:hAnsi="Avenir Book" w:cs="Calibri"/>
          <w:color w:val="000000" w:themeColor="text1"/>
          <w:sz w:val="22"/>
          <w:szCs w:val="22"/>
        </w:rPr>
        <w:t>Australian governments should f</w:t>
      </w:r>
      <w:r w:rsidR="00950EB8" w:rsidRPr="00CB23C2">
        <w:rPr>
          <w:rFonts w:ascii="Avenir Book" w:hAnsi="Avenir Book" w:cs="Calibri"/>
          <w:color w:val="000000" w:themeColor="text1"/>
          <w:sz w:val="22"/>
          <w:szCs w:val="22"/>
        </w:rPr>
        <w:t xml:space="preserve">oster inclusive education policies and practices that actively allow children with disability, including girls with disability to express their will and preference and to participate in the development of educational policies. </w:t>
      </w:r>
    </w:p>
    <w:p w14:paraId="21131A53" w14:textId="77777777" w:rsidR="00950EB8" w:rsidRPr="00CB23C2" w:rsidRDefault="00950EB8" w:rsidP="00BA4DB8">
      <w:pPr>
        <w:pStyle w:val="ListParagraph"/>
        <w:ind w:left="0"/>
        <w:rPr>
          <w:rFonts w:ascii="Avenir Book" w:hAnsi="Avenir Book" w:cstheme="minorHAnsi"/>
          <w:sz w:val="22"/>
          <w:szCs w:val="22"/>
        </w:rPr>
      </w:pPr>
    </w:p>
    <w:p w14:paraId="490D6E5A" w14:textId="321A6371" w:rsidR="00950EB8" w:rsidRPr="00CB23C2" w:rsidRDefault="00950EB8" w:rsidP="00EF5411">
      <w:pPr>
        <w:pStyle w:val="ListParagraph"/>
        <w:numPr>
          <w:ilvl w:val="1"/>
          <w:numId w:val="3"/>
        </w:numPr>
        <w:spacing w:after="120"/>
        <w:ind w:left="567" w:hanging="567"/>
        <w:contextualSpacing w:val="0"/>
        <w:rPr>
          <w:rFonts w:ascii="Avenir Book" w:hAnsi="Avenir Book" w:cstheme="minorHAnsi"/>
          <w:sz w:val="22"/>
          <w:szCs w:val="22"/>
        </w:rPr>
      </w:pPr>
      <w:r w:rsidRPr="00CB23C2">
        <w:rPr>
          <w:rFonts w:ascii="Avenir Book" w:hAnsi="Avenir Book" w:cs="Calibri"/>
          <w:color w:val="000000" w:themeColor="text1"/>
          <w:sz w:val="22"/>
          <w:szCs w:val="22"/>
        </w:rPr>
        <w:t xml:space="preserve">As part of educational curricula, a comprehensive suite of educational programs should be developed </w:t>
      </w:r>
      <w:r w:rsidR="008F538A" w:rsidRPr="00CB23C2">
        <w:rPr>
          <w:rFonts w:ascii="Avenir Book" w:hAnsi="Avenir Book" w:cs="Calibri"/>
          <w:color w:val="000000" w:themeColor="text1"/>
          <w:sz w:val="22"/>
          <w:szCs w:val="22"/>
        </w:rPr>
        <w:t xml:space="preserve">by Australian governments </w:t>
      </w:r>
      <w:r w:rsidRPr="00CB23C2">
        <w:rPr>
          <w:rFonts w:ascii="Avenir Book" w:hAnsi="Avenir Book" w:cs="Calibri"/>
          <w:color w:val="000000" w:themeColor="text1"/>
          <w:sz w:val="22"/>
          <w:szCs w:val="22"/>
        </w:rPr>
        <w:t>and delivered across the life span, with the aim of:</w:t>
      </w:r>
    </w:p>
    <w:p w14:paraId="234F5E25" w14:textId="77777777" w:rsidR="00950EB8" w:rsidRPr="00CB23C2" w:rsidRDefault="00950EB8" w:rsidP="00EF5411">
      <w:pPr>
        <w:pStyle w:val="ListParagraph"/>
        <w:numPr>
          <w:ilvl w:val="0"/>
          <w:numId w:val="21"/>
        </w:numPr>
        <w:ind w:left="993" w:hanging="426"/>
        <w:rPr>
          <w:rFonts w:ascii="Avenir Book" w:hAnsi="Avenir Book" w:cs="Calibri"/>
          <w:color w:val="000000" w:themeColor="text1"/>
          <w:sz w:val="22"/>
          <w:szCs w:val="22"/>
        </w:rPr>
      </w:pPr>
      <w:r w:rsidRPr="00CB23C2">
        <w:rPr>
          <w:rFonts w:ascii="Avenir Book" w:hAnsi="Avenir Book" w:cs="Calibri"/>
          <w:color w:val="000000" w:themeColor="text1"/>
          <w:sz w:val="22"/>
          <w:szCs w:val="22"/>
        </w:rPr>
        <w:t>Fostering and valuing diversity and inclusion;</w:t>
      </w:r>
    </w:p>
    <w:p w14:paraId="36DB770D" w14:textId="77777777" w:rsidR="00950EB8" w:rsidRPr="00CB23C2" w:rsidRDefault="00950EB8" w:rsidP="00EF5411">
      <w:pPr>
        <w:pStyle w:val="ListParagraph"/>
        <w:numPr>
          <w:ilvl w:val="0"/>
          <w:numId w:val="21"/>
        </w:numPr>
        <w:ind w:left="993" w:hanging="426"/>
        <w:rPr>
          <w:rFonts w:ascii="Avenir Book" w:hAnsi="Avenir Book" w:cs="Calibri"/>
          <w:color w:val="000000" w:themeColor="text1"/>
          <w:sz w:val="22"/>
          <w:szCs w:val="22"/>
        </w:rPr>
      </w:pPr>
      <w:r w:rsidRPr="00CB23C2">
        <w:rPr>
          <w:rFonts w:ascii="Avenir Book" w:hAnsi="Avenir Book" w:cs="Calibri"/>
          <w:color w:val="000000" w:themeColor="text1"/>
          <w:sz w:val="22"/>
          <w:szCs w:val="22"/>
        </w:rPr>
        <w:t>Challenging ableism and intersecting forms of inequality and discrimination, including for women and girls with disability;</w:t>
      </w:r>
    </w:p>
    <w:p w14:paraId="1C72FDC0" w14:textId="77777777" w:rsidR="00950EB8" w:rsidRPr="00CB23C2" w:rsidRDefault="00950EB8" w:rsidP="00EF5411">
      <w:pPr>
        <w:pStyle w:val="ListParagraph"/>
        <w:numPr>
          <w:ilvl w:val="0"/>
          <w:numId w:val="21"/>
        </w:numPr>
        <w:ind w:left="993" w:hanging="426"/>
        <w:rPr>
          <w:rFonts w:ascii="Avenir Book" w:hAnsi="Avenir Book" w:cs="Calibri"/>
          <w:color w:val="000000" w:themeColor="text1"/>
          <w:sz w:val="22"/>
          <w:szCs w:val="22"/>
        </w:rPr>
      </w:pPr>
      <w:r w:rsidRPr="00CB23C2">
        <w:rPr>
          <w:rFonts w:ascii="Avenir Book" w:hAnsi="Avenir Book" w:cs="Calibri"/>
          <w:color w:val="000000" w:themeColor="text1"/>
          <w:sz w:val="22"/>
          <w:szCs w:val="22"/>
        </w:rPr>
        <w:t>Building knowledge, skills and strengths in recognising rights to bodily integrity and to be free from violence, abuse, neglect and exploitation;</w:t>
      </w:r>
    </w:p>
    <w:p w14:paraId="027D61EE" w14:textId="77777777" w:rsidR="00950EB8" w:rsidRPr="00CB23C2" w:rsidRDefault="00950EB8" w:rsidP="00EF5411">
      <w:pPr>
        <w:pStyle w:val="ListParagraph"/>
        <w:numPr>
          <w:ilvl w:val="0"/>
          <w:numId w:val="21"/>
        </w:numPr>
        <w:ind w:left="993" w:hanging="426"/>
        <w:rPr>
          <w:rFonts w:ascii="Avenir Book" w:hAnsi="Avenir Book" w:cs="Calibri"/>
          <w:color w:val="000000" w:themeColor="text1"/>
          <w:sz w:val="22"/>
          <w:szCs w:val="22"/>
        </w:rPr>
      </w:pPr>
      <w:r w:rsidRPr="00CB23C2">
        <w:rPr>
          <w:rFonts w:ascii="Avenir Book" w:hAnsi="Avenir Book" w:cs="Calibri"/>
          <w:color w:val="000000" w:themeColor="text1"/>
          <w:sz w:val="22"/>
          <w:szCs w:val="22"/>
        </w:rPr>
        <w:t>Increasing opportunities and participation in decision-making and in speaking up about rights.</w:t>
      </w:r>
    </w:p>
    <w:p w14:paraId="6ECB6861" w14:textId="77777777" w:rsidR="007A27CF" w:rsidRPr="00CB23C2" w:rsidRDefault="007A27CF" w:rsidP="00BA4DB8">
      <w:pPr>
        <w:pStyle w:val="ListParagraph"/>
        <w:ind w:left="0"/>
        <w:rPr>
          <w:rFonts w:ascii="Avenir Book" w:hAnsi="Avenir Book" w:cs="Calibri"/>
          <w:sz w:val="22"/>
          <w:szCs w:val="22"/>
        </w:rPr>
      </w:pPr>
    </w:p>
    <w:p w14:paraId="6E67E8D9" w14:textId="29490F11" w:rsidR="007A27CF" w:rsidRPr="000E3188" w:rsidRDefault="007A27CF" w:rsidP="00EF5411">
      <w:pPr>
        <w:pStyle w:val="Heading2"/>
        <w:numPr>
          <w:ilvl w:val="0"/>
          <w:numId w:val="3"/>
        </w:numPr>
        <w:ind w:left="426" w:hanging="426"/>
        <w:jc w:val="left"/>
        <w:rPr>
          <w:rFonts w:ascii="Calibri" w:hAnsi="Calibri" w:cs="Calibri"/>
          <w:color w:val="7030A0"/>
          <w:sz w:val="20"/>
          <w:szCs w:val="20"/>
        </w:rPr>
      </w:pPr>
      <w:r>
        <w:rPr>
          <w:rFonts w:ascii="Calibri" w:hAnsi="Calibri" w:cs="Calibri"/>
          <w:color w:val="7030A0"/>
        </w:rPr>
        <w:br w:type="page"/>
      </w:r>
    </w:p>
    <w:p w14:paraId="2881BECF" w14:textId="66514372" w:rsidR="00D7106F" w:rsidRPr="003E5226" w:rsidRDefault="00B35330" w:rsidP="00EF5411">
      <w:pPr>
        <w:pStyle w:val="Heading2"/>
        <w:numPr>
          <w:ilvl w:val="0"/>
          <w:numId w:val="13"/>
        </w:numPr>
        <w:ind w:left="426" w:hanging="426"/>
        <w:jc w:val="left"/>
        <w:rPr>
          <w:rFonts w:ascii="Avenir Book" w:hAnsi="Avenir Book" w:cs="Calibri"/>
          <w:color w:val="AC1F79"/>
          <w:sz w:val="20"/>
          <w:szCs w:val="20"/>
        </w:rPr>
      </w:pPr>
      <w:bookmarkStart w:id="79" w:name="_Toc32759986"/>
      <w:r w:rsidRPr="003E5226">
        <w:rPr>
          <w:rFonts w:ascii="Avenir Book" w:hAnsi="Avenir Book" w:cs="Calibri"/>
          <w:color w:val="AC1F79"/>
        </w:rPr>
        <w:lastRenderedPageBreak/>
        <w:t>Background</w:t>
      </w:r>
      <w:bookmarkEnd w:id="79"/>
      <w:r w:rsidRPr="003E5226">
        <w:rPr>
          <w:rFonts w:ascii="Avenir Book" w:hAnsi="Avenir Book" w:cs="Calibri"/>
          <w:color w:val="AC1F79"/>
        </w:rPr>
        <w:t xml:space="preserve"> </w:t>
      </w:r>
    </w:p>
    <w:p w14:paraId="608E520A" w14:textId="375CF3AE" w:rsidR="00E6765F" w:rsidRPr="00BA4DB8" w:rsidRDefault="00E6765F" w:rsidP="00121931">
      <w:pPr>
        <w:spacing w:line="276" w:lineRule="auto"/>
        <w:rPr>
          <w:rFonts w:ascii="Avenir Book" w:hAnsi="Avenir Book" w:cs="Calibri"/>
          <w:bCs/>
          <w:color w:val="000000" w:themeColor="text1"/>
          <w:sz w:val="22"/>
          <w:szCs w:val="22"/>
          <w:lang w:bidi="en-US"/>
        </w:rPr>
      </w:pPr>
      <w:bookmarkStart w:id="80" w:name="_Toc514420446"/>
    </w:p>
    <w:p w14:paraId="2933B6C7" w14:textId="085744C0" w:rsidR="00B35330" w:rsidRPr="003E5226" w:rsidRDefault="00B35330"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The Royal Commission into Violence, Abuse, Neglect and Exploitation of People with Disability (the Royal Commission) was established after many years of campaigning by people with disability and our representative organisations at both the domestic and international levels.</w:t>
      </w:r>
      <w:r w:rsidR="004A5D47" w:rsidRPr="003E5226">
        <w:rPr>
          <w:rStyle w:val="FootnoteReference"/>
          <w:rFonts w:ascii="Avenir Book" w:hAnsi="Avenir Book"/>
          <w:sz w:val="22"/>
          <w:szCs w:val="22"/>
        </w:rPr>
        <w:footnoteReference w:id="1"/>
      </w:r>
      <w:r w:rsidRPr="003E5226">
        <w:rPr>
          <w:rFonts w:ascii="Avenir Book" w:hAnsi="Avenir Book"/>
          <w:sz w:val="22"/>
          <w:szCs w:val="22"/>
        </w:rPr>
        <w:t xml:space="preserve"> </w:t>
      </w:r>
    </w:p>
    <w:p w14:paraId="16F52224" w14:textId="77777777" w:rsidR="00062B74" w:rsidRPr="003E5226" w:rsidRDefault="00062B74" w:rsidP="00BA4DB8">
      <w:pPr>
        <w:pStyle w:val="ListParagraph"/>
        <w:snapToGrid w:val="0"/>
        <w:ind w:left="0"/>
        <w:rPr>
          <w:rFonts w:ascii="Avenir Book" w:hAnsi="Avenir Book" w:cstheme="minorHAnsi"/>
          <w:sz w:val="22"/>
          <w:szCs w:val="22"/>
        </w:rPr>
      </w:pPr>
    </w:p>
    <w:p w14:paraId="1EB95B8B" w14:textId="09C2C7F0" w:rsidR="00B35330" w:rsidRPr="003E5226" w:rsidRDefault="00B35330"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W</w:t>
      </w:r>
      <w:r w:rsidR="009507E9" w:rsidRPr="003E5226">
        <w:rPr>
          <w:rFonts w:ascii="Avenir Book" w:hAnsi="Avenir Book"/>
          <w:sz w:val="22"/>
          <w:szCs w:val="22"/>
        </w:rPr>
        <w:t xml:space="preserve">omen </w:t>
      </w:r>
      <w:proofErr w:type="gramStart"/>
      <w:r w:rsidR="009507E9" w:rsidRPr="003E5226">
        <w:rPr>
          <w:rFonts w:ascii="Avenir Book" w:hAnsi="Avenir Book"/>
          <w:sz w:val="22"/>
          <w:szCs w:val="22"/>
        </w:rPr>
        <w:t>With</w:t>
      </w:r>
      <w:proofErr w:type="gramEnd"/>
      <w:r w:rsidR="009507E9" w:rsidRPr="003E5226">
        <w:rPr>
          <w:rFonts w:ascii="Avenir Book" w:hAnsi="Avenir Book"/>
          <w:sz w:val="22"/>
          <w:szCs w:val="22"/>
        </w:rPr>
        <w:t xml:space="preserve"> Disabilities Australia (W</w:t>
      </w:r>
      <w:r w:rsidRPr="003E5226">
        <w:rPr>
          <w:rFonts w:ascii="Avenir Book" w:hAnsi="Avenir Book"/>
          <w:sz w:val="22"/>
          <w:szCs w:val="22"/>
        </w:rPr>
        <w:t>WDA</w:t>
      </w:r>
      <w:r w:rsidR="009507E9" w:rsidRPr="003E5226">
        <w:rPr>
          <w:rFonts w:ascii="Avenir Book" w:hAnsi="Avenir Book"/>
          <w:sz w:val="22"/>
          <w:szCs w:val="22"/>
        </w:rPr>
        <w:t>)</w:t>
      </w:r>
      <w:r w:rsidRPr="003E5226">
        <w:rPr>
          <w:rFonts w:ascii="Avenir Book" w:hAnsi="Avenir Book"/>
          <w:sz w:val="22"/>
          <w:szCs w:val="22"/>
        </w:rPr>
        <w:t xml:space="preserve">, as part of Disabled People’s Organisations Australia (DPO Australia) played a leading role in these advocacy efforts, and in particular, in exposing the gendered nature of violence against people with disability. </w:t>
      </w:r>
    </w:p>
    <w:p w14:paraId="22E9A374" w14:textId="77777777" w:rsidR="00062B74" w:rsidRPr="003E5226" w:rsidRDefault="00062B74" w:rsidP="00BA4DB8">
      <w:pPr>
        <w:pStyle w:val="ListParagraph"/>
        <w:ind w:left="0"/>
        <w:rPr>
          <w:rFonts w:ascii="Avenir Book" w:hAnsi="Avenir Book" w:cstheme="minorHAnsi"/>
          <w:sz w:val="22"/>
          <w:szCs w:val="22"/>
        </w:rPr>
      </w:pPr>
    </w:p>
    <w:p w14:paraId="6D8D629D" w14:textId="2DFAE9C2" w:rsidR="004E0FD2" w:rsidRPr="003E5226" w:rsidRDefault="00B35330"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 xml:space="preserve">In 2015, our campaign efforts led to the establishment of the Senate Inquiry into </w:t>
      </w:r>
      <w:r w:rsidR="00E70586">
        <w:rPr>
          <w:rFonts w:ascii="Avenir Book" w:hAnsi="Avenir Book"/>
          <w:sz w:val="22"/>
          <w:szCs w:val="22"/>
        </w:rPr>
        <w:t>V</w:t>
      </w:r>
      <w:r w:rsidRPr="003E5226">
        <w:rPr>
          <w:rFonts w:ascii="Avenir Book" w:hAnsi="Avenir Book"/>
          <w:sz w:val="22"/>
          <w:szCs w:val="22"/>
        </w:rPr>
        <w:t xml:space="preserve">iolence, </w:t>
      </w:r>
      <w:r w:rsidR="00E70586">
        <w:rPr>
          <w:rFonts w:ascii="Avenir Book" w:hAnsi="Avenir Book"/>
          <w:sz w:val="22"/>
          <w:szCs w:val="22"/>
        </w:rPr>
        <w:t>A</w:t>
      </w:r>
      <w:r w:rsidRPr="003E5226">
        <w:rPr>
          <w:rFonts w:ascii="Avenir Book" w:hAnsi="Avenir Book"/>
          <w:sz w:val="22"/>
          <w:szCs w:val="22"/>
        </w:rPr>
        <w:t xml:space="preserve">buse and </w:t>
      </w:r>
      <w:r w:rsidR="00E70586">
        <w:rPr>
          <w:rFonts w:ascii="Avenir Book" w:hAnsi="Avenir Book"/>
          <w:sz w:val="22"/>
          <w:szCs w:val="22"/>
        </w:rPr>
        <w:t>N</w:t>
      </w:r>
      <w:r w:rsidRPr="003E5226">
        <w:rPr>
          <w:rFonts w:ascii="Avenir Book" w:hAnsi="Avenir Book"/>
          <w:sz w:val="22"/>
          <w:szCs w:val="22"/>
        </w:rPr>
        <w:t xml:space="preserve">eglect </w:t>
      </w:r>
      <w:r w:rsidR="00E70586">
        <w:rPr>
          <w:rFonts w:ascii="Avenir Book" w:hAnsi="Avenir Book"/>
          <w:sz w:val="22"/>
          <w:szCs w:val="22"/>
        </w:rPr>
        <w:t>A</w:t>
      </w:r>
      <w:r w:rsidRPr="003E5226">
        <w:rPr>
          <w:rFonts w:ascii="Avenir Book" w:hAnsi="Avenir Book"/>
          <w:sz w:val="22"/>
          <w:szCs w:val="22"/>
        </w:rPr>
        <w:t xml:space="preserve">gainst </w:t>
      </w:r>
      <w:r w:rsidR="00E70586">
        <w:rPr>
          <w:rFonts w:ascii="Avenir Book" w:hAnsi="Avenir Book"/>
          <w:sz w:val="22"/>
          <w:szCs w:val="22"/>
        </w:rPr>
        <w:t>P</w:t>
      </w:r>
      <w:r w:rsidRPr="003E5226">
        <w:rPr>
          <w:rFonts w:ascii="Avenir Book" w:hAnsi="Avenir Book"/>
          <w:sz w:val="22"/>
          <w:szCs w:val="22"/>
        </w:rPr>
        <w:t xml:space="preserve">eople with </w:t>
      </w:r>
      <w:r w:rsidR="00E70586">
        <w:rPr>
          <w:rFonts w:ascii="Avenir Book" w:hAnsi="Avenir Book"/>
          <w:sz w:val="22"/>
          <w:szCs w:val="22"/>
        </w:rPr>
        <w:t>D</w:t>
      </w:r>
      <w:r w:rsidRPr="003E5226">
        <w:rPr>
          <w:rFonts w:ascii="Avenir Book" w:hAnsi="Avenir Book"/>
          <w:sz w:val="22"/>
          <w:szCs w:val="22"/>
        </w:rPr>
        <w:t xml:space="preserve">isability in </w:t>
      </w:r>
      <w:r w:rsidR="00E70586">
        <w:rPr>
          <w:rFonts w:ascii="Avenir Book" w:hAnsi="Avenir Book"/>
          <w:sz w:val="22"/>
          <w:szCs w:val="22"/>
        </w:rPr>
        <w:t>I</w:t>
      </w:r>
      <w:r w:rsidRPr="003E5226">
        <w:rPr>
          <w:rFonts w:ascii="Avenir Book" w:hAnsi="Avenir Book"/>
          <w:sz w:val="22"/>
          <w:szCs w:val="22"/>
        </w:rPr>
        <w:t xml:space="preserve">nstitutional and </w:t>
      </w:r>
      <w:r w:rsidR="00E70586">
        <w:rPr>
          <w:rFonts w:ascii="Avenir Book" w:hAnsi="Avenir Book"/>
          <w:sz w:val="22"/>
          <w:szCs w:val="22"/>
        </w:rPr>
        <w:t>R</w:t>
      </w:r>
      <w:r w:rsidRPr="003E5226">
        <w:rPr>
          <w:rFonts w:ascii="Avenir Book" w:hAnsi="Avenir Book"/>
          <w:sz w:val="22"/>
          <w:szCs w:val="22"/>
        </w:rPr>
        <w:t>esidential settings, including the gender and age-related dimensions, and the particular situation of Aboriginal and Torres Strait Islander people with disability, and culturally and linguistically diverse people with disability.</w:t>
      </w:r>
      <w:r w:rsidR="009507E9" w:rsidRPr="003E5226">
        <w:rPr>
          <w:rStyle w:val="FootnoteReference"/>
          <w:rFonts w:ascii="Avenir Book" w:hAnsi="Avenir Book"/>
          <w:sz w:val="22"/>
          <w:szCs w:val="22"/>
        </w:rPr>
        <w:footnoteReference w:id="2"/>
      </w:r>
      <w:r w:rsidRPr="003E5226">
        <w:rPr>
          <w:rFonts w:ascii="Avenir Book" w:hAnsi="Avenir Book"/>
          <w:sz w:val="22"/>
          <w:szCs w:val="22"/>
        </w:rPr>
        <w:t xml:space="preserve"> Recommendation 1 from that Senate Inquiry was that a Royal Commission be established.</w:t>
      </w:r>
      <w:r w:rsidR="00C179F3" w:rsidRPr="003E5226">
        <w:rPr>
          <w:rStyle w:val="FootnoteReference"/>
          <w:rFonts w:ascii="Avenir Book" w:hAnsi="Avenir Book"/>
          <w:sz w:val="22"/>
          <w:szCs w:val="22"/>
        </w:rPr>
        <w:footnoteReference w:id="3"/>
      </w:r>
    </w:p>
    <w:p w14:paraId="498DC2D5" w14:textId="77777777" w:rsidR="00062B74" w:rsidRPr="003E5226" w:rsidRDefault="00062B74" w:rsidP="00BA4DB8">
      <w:pPr>
        <w:pStyle w:val="ListParagraph"/>
        <w:ind w:left="0"/>
        <w:rPr>
          <w:rFonts w:ascii="Avenir Book" w:hAnsi="Avenir Book" w:cstheme="minorHAnsi"/>
          <w:sz w:val="22"/>
          <w:szCs w:val="22"/>
        </w:rPr>
      </w:pPr>
    </w:p>
    <w:p w14:paraId="06911C7B" w14:textId="42C3F305" w:rsidR="00220013" w:rsidRPr="003E5226" w:rsidRDefault="00220013"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However, i</w:t>
      </w:r>
      <w:r w:rsidR="00B35330" w:rsidRPr="003E5226">
        <w:rPr>
          <w:rFonts w:ascii="Avenir Book" w:hAnsi="Avenir Book"/>
          <w:sz w:val="22"/>
          <w:szCs w:val="22"/>
        </w:rPr>
        <w:t>t wasn’t until 201</w:t>
      </w:r>
      <w:r w:rsidR="00CC41A6">
        <w:rPr>
          <w:rFonts w:ascii="Avenir Book" w:hAnsi="Avenir Book"/>
          <w:sz w:val="22"/>
          <w:szCs w:val="22"/>
        </w:rPr>
        <w:t>9</w:t>
      </w:r>
      <w:r w:rsidR="00B35330" w:rsidRPr="003E5226">
        <w:rPr>
          <w:rFonts w:ascii="Avenir Book" w:hAnsi="Avenir Book"/>
          <w:sz w:val="22"/>
          <w:szCs w:val="22"/>
        </w:rPr>
        <w:t xml:space="preserve">, and after further concerted advocacy efforts that the Royal Commission was finally established by the Australian Government.  </w:t>
      </w:r>
    </w:p>
    <w:p w14:paraId="03F6759D" w14:textId="77777777" w:rsidR="00062B74" w:rsidRPr="003E5226" w:rsidRDefault="00062B74" w:rsidP="00062B74">
      <w:pPr>
        <w:rPr>
          <w:rFonts w:ascii="Avenir Book" w:hAnsi="Avenir Book" w:cstheme="minorHAnsi"/>
          <w:sz w:val="22"/>
          <w:szCs w:val="22"/>
        </w:rPr>
      </w:pPr>
    </w:p>
    <w:p w14:paraId="39E2B57E" w14:textId="54D15870" w:rsidR="00220013" w:rsidRPr="003E5226" w:rsidRDefault="00B35330" w:rsidP="00EF5411">
      <w:pPr>
        <w:pStyle w:val="ListParagraph"/>
        <w:numPr>
          <w:ilvl w:val="1"/>
          <w:numId w:val="14"/>
        </w:numPr>
        <w:snapToGrid w:val="0"/>
        <w:spacing w:after="120"/>
        <w:ind w:left="992" w:hanging="567"/>
        <w:contextualSpacing w:val="0"/>
        <w:rPr>
          <w:rFonts w:ascii="Avenir Book" w:hAnsi="Avenir Book" w:cstheme="minorHAnsi"/>
          <w:sz w:val="22"/>
          <w:szCs w:val="22"/>
        </w:rPr>
      </w:pPr>
      <w:r w:rsidRPr="003E5226">
        <w:rPr>
          <w:rFonts w:ascii="Avenir Book" w:hAnsi="Avenir Book"/>
          <w:sz w:val="22"/>
          <w:szCs w:val="22"/>
        </w:rPr>
        <w:t xml:space="preserve">The </w:t>
      </w:r>
      <w:r w:rsidR="004E0FD2" w:rsidRPr="003E5226">
        <w:rPr>
          <w:rFonts w:ascii="Avenir Book" w:hAnsi="Avenir Book"/>
          <w:sz w:val="22"/>
          <w:szCs w:val="22"/>
        </w:rPr>
        <w:t xml:space="preserve">Terms of Reference for the Royal Commission are contained in the Commonwealth </w:t>
      </w:r>
      <w:r w:rsidRPr="003E5226">
        <w:rPr>
          <w:rFonts w:ascii="Avenir Book" w:hAnsi="Avenir Book"/>
          <w:sz w:val="22"/>
          <w:szCs w:val="22"/>
        </w:rPr>
        <w:t xml:space="preserve">Letters Patent </w:t>
      </w:r>
      <w:r w:rsidR="004E0FD2" w:rsidRPr="003E5226">
        <w:rPr>
          <w:rFonts w:ascii="Avenir Book" w:hAnsi="Avenir Book"/>
          <w:sz w:val="22"/>
          <w:szCs w:val="22"/>
        </w:rPr>
        <w:t>that were signed by the Governor General on 4 April 201</w:t>
      </w:r>
      <w:r w:rsidR="00CC41A6">
        <w:rPr>
          <w:rFonts w:ascii="Avenir Book" w:hAnsi="Avenir Book"/>
          <w:sz w:val="22"/>
          <w:szCs w:val="22"/>
        </w:rPr>
        <w:t>9</w:t>
      </w:r>
      <w:r w:rsidR="004E0FD2" w:rsidRPr="003E5226">
        <w:rPr>
          <w:rFonts w:ascii="Avenir Book" w:hAnsi="Avenir Book"/>
          <w:sz w:val="22"/>
          <w:szCs w:val="22"/>
        </w:rPr>
        <w:t>.</w:t>
      </w:r>
      <w:r w:rsidR="004E0FD2" w:rsidRPr="003E5226">
        <w:rPr>
          <w:rStyle w:val="FootnoteReference"/>
          <w:rFonts w:ascii="Avenir Book" w:hAnsi="Avenir Book"/>
          <w:sz w:val="22"/>
          <w:szCs w:val="22"/>
        </w:rPr>
        <w:footnoteReference w:id="4"/>
      </w:r>
      <w:r w:rsidR="004E0FD2" w:rsidRPr="003E5226">
        <w:rPr>
          <w:rFonts w:ascii="Avenir Book" w:hAnsi="Avenir Book"/>
          <w:sz w:val="22"/>
          <w:szCs w:val="22"/>
        </w:rPr>
        <w:t xml:space="preserve">  These Terms of Reference </w:t>
      </w:r>
      <w:r w:rsidRPr="003E5226">
        <w:rPr>
          <w:rFonts w:ascii="Avenir Book" w:hAnsi="Avenir Book"/>
          <w:sz w:val="22"/>
          <w:szCs w:val="22"/>
        </w:rPr>
        <w:t xml:space="preserve">explicitly </w:t>
      </w:r>
      <w:r w:rsidR="00220013" w:rsidRPr="003E5226">
        <w:rPr>
          <w:rFonts w:ascii="Avenir Book" w:hAnsi="Avenir Book"/>
          <w:sz w:val="22"/>
          <w:szCs w:val="22"/>
        </w:rPr>
        <w:t>state that:</w:t>
      </w:r>
    </w:p>
    <w:p w14:paraId="2931532F" w14:textId="294C2CFB" w:rsidR="00B35330" w:rsidRPr="003E5226" w:rsidRDefault="00220013" w:rsidP="00CC41A6">
      <w:pPr>
        <w:pStyle w:val="ListParagraph"/>
        <w:snapToGrid w:val="0"/>
        <w:spacing w:after="120"/>
        <w:ind w:left="1276" w:right="720"/>
        <w:rPr>
          <w:rFonts w:ascii="Avenir Book" w:hAnsi="Avenir Book" w:cstheme="minorHAnsi"/>
          <w:color w:val="000000"/>
          <w:sz w:val="22"/>
          <w:szCs w:val="22"/>
          <w:shd w:val="clear" w:color="auto" w:fill="FFFFFF"/>
        </w:rPr>
      </w:pPr>
      <w:r w:rsidRPr="003E5226">
        <w:rPr>
          <w:rFonts w:ascii="Avenir Book" w:hAnsi="Avenir Book" w:cstheme="minorHAnsi"/>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p>
    <w:p w14:paraId="6A666B61" w14:textId="77777777" w:rsidR="00062B74" w:rsidRPr="003E5226" w:rsidRDefault="00062B74" w:rsidP="00BA4DB8">
      <w:pPr>
        <w:pStyle w:val="ListParagraph"/>
        <w:snapToGrid w:val="0"/>
        <w:ind w:left="0" w:right="232"/>
        <w:rPr>
          <w:rFonts w:ascii="Avenir Book" w:hAnsi="Avenir Book" w:cstheme="minorHAnsi"/>
          <w:color w:val="000000"/>
          <w:sz w:val="22"/>
          <w:szCs w:val="22"/>
          <w:shd w:val="clear" w:color="auto" w:fill="FFFFFF"/>
        </w:rPr>
      </w:pPr>
    </w:p>
    <w:p w14:paraId="418AB7B6" w14:textId="142F6277" w:rsidR="006E73AC" w:rsidRPr="003E5226" w:rsidRDefault="00B35330"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 xml:space="preserve">The </w:t>
      </w:r>
      <w:r w:rsidR="00F137B0" w:rsidRPr="003E5226">
        <w:rPr>
          <w:rFonts w:ascii="Avenir Book" w:hAnsi="Avenir Book"/>
          <w:sz w:val="22"/>
          <w:szCs w:val="22"/>
        </w:rPr>
        <w:t>Terms of Reference</w:t>
      </w:r>
      <w:r w:rsidRPr="003E5226">
        <w:rPr>
          <w:rFonts w:ascii="Avenir Book" w:hAnsi="Avenir Book"/>
          <w:sz w:val="22"/>
          <w:szCs w:val="22"/>
        </w:rPr>
        <w:t xml:space="preserve"> reflect our </w:t>
      </w:r>
      <w:r w:rsidR="00EC074E" w:rsidRPr="003E5226">
        <w:rPr>
          <w:rFonts w:ascii="Avenir Book" w:hAnsi="Avenir Book"/>
          <w:sz w:val="22"/>
          <w:szCs w:val="22"/>
        </w:rPr>
        <w:t xml:space="preserve">campaign </w:t>
      </w:r>
      <w:r w:rsidRPr="003E5226">
        <w:rPr>
          <w:rFonts w:ascii="Avenir Book" w:hAnsi="Avenir Book"/>
          <w:sz w:val="22"/>
          <w:szCs w:val="22"/>
        </w:rPr>
        <w:t xml:space="preserve">calls that the Royal Commission should </w:t>
      </w:r>
      <w:r w:rsidR="00EC074E" w:rsidRPr="003E5226">
        <w:rPr>
          <w:rFonts w:ascii="Avenir Book" w:hAnsi="Avenir Book"/>
          <w:sz w:val="22"/>
          <w:szCs w:val="22"/>
        </w:rPr>
        <w:t>have regard to</w:t>
      </w:r>
      <w:r w:rsidRPr="003E5226">
        <w:rPr>
          <w:rFonts w:ascii="Avenir Book" w:hAnsi="Avenir Book"/>
          <w:sz w:val="22"/>
          <w:szCs w:val="22"/>
        </w:rPr>
        <w:t xml:space="preserve"> </w:t>
      </w:r>
      <w:r w:rsidR="00EC074E" w:rsidRPr="003E5226">
        <w:rPr>
          <w:rFonts w:ascii="Avenir Book" w:hAnsi="Avenir Book"/>
          <w:sz w:val="22"/>
          <w:szCs w:val="22"/>
        </w:rPr>
        <w:t>“</w:t>
      </w:r>
      <w:r w:rsidRPr="003E5226">
        <w:rPr>
          <w:rFonts w:ascii="Avenir Book" w:hAnsi="Avenir Book"/>
          <w:sz w:val="22"/>
          <w:szCs w:val="22"/>
        </w:rPr>
        <w:t>all forms of violence against</w:t>
      </w:r>
      <w:r w:rsidR="00EC074E" w:rsidRPr="003E5226">
        <w:rPr>
          <w:rFonts w:ascii="Avenir Book" w:hAnsi="Avenir Book"/>
          <w:sz w:val="22"/>
          <w:szCs w:val="22"/>
        </w:rPr>
        <w:t xml:space="preserve">, and abuse, neglect and exploitation of, </w:t>
      </w:r>
      <w:r w:rsidRPr="003E5226">
        <w:rPr>
          <w:rFonts w:ascii="Avenir Book" w:hAnsi="Avenir Book"/>
          <w:sz w:val="22"/>
          <w:szCs w:val="22"/>
        </w:rPr>
        <w:t>people with disability</w:t>
      </w:r>
      <w:r w:rsidR="00EC074E" w:rsidRPr="003E5226">
        <w:rPr>
          <w:rFonts w:ascii="Avenir Book" w:hAnsi="Avenir Book"/>
          <w:sz w:val="22"/>
          <w:szCs w:val="22"/>
        </w:rPr>
        <w:t>, whatever the setting or context”</w:t>
      </w:r>
      <w:r w:rsidR="006E73AC" w:rsidRPr="003E5226">
        <w:rPr>
          <w:rFonts w:ascii="Avenir Book" w:hAnsi="Avenir Book"/>
          <w:sz w:val="22"/>
          <w:szCs w:val="22"/>
        </w:rPr>
        <w:t>.</w:t>
      </w:r>
      <w:r w:rsidR="00EC074E" w:rsidRPr="003E5226">
        <w:rPr>
          <w:rStyle w:val="FootnoteReference"/>
          <w:rFonts w:ascii="Avenir Book" w:hAnsi="Avenir Book"/>
          <w:sz w:val="22"/>
          <w:szCs w:val="22"/>
        </w:rPr>
        <w:footnoteReference w:id="5"/>
      </w:r>
      <w:r w:rsidR="00EC074E" w:rsidRPr="003E5226">
        <w:rPr>
          <w:rFonts w:ascii="Avenir Book" w:hAnsi="Avenir Book"/>
          <w:sz w:val="22"/>
          <w:szCs w:val="22"/>
        </w:rPr>
        <w:t xml:space="preserve"> </w:t>
      </w:r>
    </w:p>
    <w:p w14:paraId="78E131D7" w14:textId="77777777" w:rsidR="00062B74" w:rsidRPr="003E5226" w:rsidRDefault="00062B74" w:rsidP="00BA4DB8">
      <w:pPr>
        <w:pStyle w:val="ListParagraph"/>
        <w:snapToGrid w:val="0"/>
        <w:ind w:left="0"/>
        <w:rPr>
          <w:rFonts w:ascii="Avenir Book" w:hAnsi="Avenir Book" w:cstheme="minorHAnsi"/>
          <w:sz w:val="22"/>
          <w:szCs w:val="22"/>
        </w:rPr>
      </w:pPr>
    </w:p>
    <w:p w14:paraId="4889A3AC" w14:textId="79048500" w:rsidR="006E73AC" w:rsidRPr="003E5226" w:rsidRDefault="006E73AC" w:rsidP="00EF5411">
      <w:pPr>
        <w:pStyle w:val="ListParagraph"/>
        <w:numPr>
          <w:ilvl w:val="1"/>
          <w:numId w:val="14"/>
        </w:numPr>
        <w:snapToGrid w:val="0"/>
        <w:spacing w:after="120"/>
        <w:ind w:left="992" w:hanging="567"/>
        <w:contextualSpacing w:val="0"/>
        <w:rPr>
          <w:rFonts w:ascii="Avenir Book" w:hAnsi="Avenir Book" w:cstheme="minorHAnsi"/>
          <w:sz w:val="22"/>
          <w:szCs w:val="22"/>
        </w:rPr>
      </w:pPr>
      <w:r w:rsidRPr="003E5226">
        <w:rPr>
          <w:rFonts w:ascii="Avenir Book" w:hAnsi="Avenir Book"/>
          <w:sz w:val="22"/>
          <w:szCs w:val="22"/>
        </w:rPr>
        <w:lastRenderedPageBreak/>
        <w:t>The Terms of Reference also reflect our calls for recognition of the intersectional dimensions of people with disability that make the experiences of violence, abuse, neglect and exploitation specific, unique and diverse:</w:t>
      </w:r>
    </w:p>
    <w:p w14:paraId="6450F129" w14:textId="5DBC3AD9" w:rsidR="00B35330" w:rsidRPr="003E5226" w:rsidRDefault="00EC074E" w:rsidP="00DC1041">
      <w:pPr>
        <w:pStyle w:val="ListParagraph"/>
        <w:snapToGrid w:val="0"/>
        <w:ind w:left="1276" w:right="720"/>
        <w:rPr>
          <w:rFonts w:ascii="Avenir Book" w:hAnsi="Avenir Book" w:cstheme="minorHAnsi"/>
          <w:sz w:val="22"/>
          <w:szCs w:val="22"/>
        </w:rPr>
      </w:pPr>
      <w:r w:rsidRPr="003E5226">
        <w:rPr>
          <w:rFonts w:ascii="Avenir Book" w:hAnsi="Avenir Book"/>
          <w:sz w:val="22"/>
          <w:szCs w:val="22"/>
        </w:rPr>
        <w:t>“</w:t>
      </w:r>
      <w:r w:rsidR="00B35330" w:rsidRPr="003E5226">
        <w:rPr>
          <w:rFonts w:ascii="Avenir Book" w:hAnsi="Avenir Book"/>
          <w:sz w:val="22"/>
          <w:szCs w:val="22"/>
        </w:rPr>
        <w:t xml:space="preserve">the specific experiences of violence </w:t>
      </w:r>
      <w:r w:rsidRPr="003E5226">
        <w:rPr>
          <w:rFonts w:ascii="Avenir Book" w:hAnsi="Avenir Book"/>
          <w:sz w:val="22"/>
          <w:szCs w:val="22"/>
        </w:rPr>
        <w:t>against, and abuse</w:t>
      </w:r>
      <w:r w:rsidR="006E73AC" w:rsidRPr="003E5226">
        <w:rPr>
          <w:rFonts w:ascii="Avenir Book" w:hAnsi="Avenir Book"/>
          <w:sz w:val="22"/>
          <w:szCs w:val="22"/>
        </w:rPr>
        <w:t xml:space="preserve">, neglect and exploitation of, people with disability are multi-layered and influenced by experiences </w:t>
      </w:r>
      <w:r w:rsidR="00B35330" w:rsidRPr="003E5226">
        <w:rPr>
          <w:rFonts w:ascii="Avenir Book" w:hAnsi="Avenir Book"/>
          <w:sz w:val="22"/>
          <w:szCs w:val="22"/>
        </w:rPr>
        <w:t xml:space="preserve">associated with </w:t>
      </w:r>
      <w:r w:rsidR="006E73AC" w:rsidRPr="003E5226">
        <w:rPr>
          <w:rFonts w:ascii="Avenir Book" w:hAnsi="Avenir Book"/>
          <w:sz w:val="22"/>
          <w:szCs w:val="22"/>
        </w:rPr>
        <w:t xml:space="preserve">their </w:t>
      </w:r>
      <w:r w:rsidR="00B35330" w:rsidRPr="003E5226">
        <w:rPr>
          <w:rFonts w:ascii="Avenir Book" w:hAnsi="Avenir Book"/>
          <w:sz w:val="22"/>
          <w:szCs w:val="22"/>
        </w:rPr>
        <w:t>age, sex, gender, gender identity, sexual orientation, intersex status, ethnic origin or race, including the particular situation of Aboriginal and Torres Strait Islander people and culturally and linguistically diverse people with disability</w:t>
      </w:r>
      <w:r w:rsidR="0089001B" w:rsidRPr="003E5226">
        <w:rPr>
          <w:rFonts w:ascii="Avenir Book" w:hAnsi="Avenir Book"/>
          <w:sz w:val="22"/>
          <w:szCs w:val="22"/>
        </w:rPr>
        <w:t>.</w:t>
      </w:r>
      <w:r w:rsidR="006E73AC" w:rsidRPr="003E5226">
        <w:rPr>
          <w:rFonts w:ascii="Avenir Book" w:hAnsi="Avenir Book"/>
          <w:sz w:val="22"/>
          <w:szCs w:val="22"/>
        </w:rPr>
        <w:t>”</w:t>
      </w:r>
      <w:r w:rsidR="0089001B" w:rsidRPr="003E5226">
        <w:rPr>
          <w:rStyle w:val="FootnoteReference"/>
          <w:rFonts w:ascii="Avenir Book" w:hAnsi="Avenir Book"/>
          <w:sz w:val="22"/>
          <w:szCs w:val="22"/>
        </w:rPr>
        <w:footnoteReference w:id="6"/>
      </w:r>
    </w:p>
    <w:p w14:paraId="1040AFDA" w14:textId="77777777" w:rsidR="00B35330" w:rsidRPr="003E5226" w:rsidRDefault="00B35330" w:rsidP="000B2A36">
      <w:pPr>
        <w:pStyle w:val="ListParagraph"/>
        <w:ind w:left="993" w:hanging="567"/>
        <w:rPr>
          <w:rFonts w:ascii="Avenir Book" w:hAnsi="Avenir Book" w:cstheme="minorHAnsi"/>
          <w:sz w:val="22"/>
          <w:szCs w:val="22"/>
        </w:rPr>
      </w:pPr>
    </w:p>
    <w:p w14:paraId="1CA6FEA3" w14:textId="2EA7D6A9" w:rsidR="00B35330" w:rsidRPr="003E5226" w:rsidRDefault="00B35330"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The multi</w:t>
      </w:r>
      <w:r w:rsidR="0089001B" w:rsidRPr="003E5226">
        <w:rPr>
          <w:rFonts w:ascii="Avenir Book" w:hAnsi="Avenir Book"/>
          <w:sz w:val="22"/>
          <w:szCs w:val="22"/>
        </w:rPr>
        <w:t>-</w:t>
      </w:r>
      <w:r w:rsidRPr="003E5226">
        <w:rPr>
          <w:rFonts w:ascii="Avenir Book" w:hAnsi="Avenir Book"/>
          <w:sz w:val="22"/>
          <w:szCs w:val="22"/>
        </w:rPr>
        <w:t xml:space="preserve">layered or intersectional analysis required by the </w:t>
      </w:r>
      <w:r w:rsidR="0089001B" w:rsidRPr="003E5226">
        <w:rPr>
          <w:rFonts w:ascii="Avenir Book" w:hAnsi="Avenir Book"/>
          <w:sz w:val="22"/>
          <w:szCs w:val="22"/>
        </w:rPr>
        <w:t>Terms of Reference</w:t>
      </w:r>
      <w:r w:rsidRPr="003E5226">
        <w:rPr>
          <w:rFonts w:ascii="Avenir Book" w:hAnsi="Avenir Book"/>
          <w:sz w:val="22"/>
          <w:szCs w:val="22"/>
        </w:rPr>
        <w:t xml:space="preserve">, and enshrined in the </w:t>
      </w:r>
      <w:r w:rsidR="00F229DA" w:rsidRPr="003E5226">
        <w:rPr>
          <w:rFonts w:ascii="Avenir Book" w:hAnsi="Avenir Book"/>
          <w:sz w:val="22"/>
          <w:szCs w:val="22"/>
        </w:rPr>
        <w:t>Convention on the Rights of Persons with Disabilities (</w:t>
      </w:r>
      <w:r w:rsidRPr="003E5226">
        <w:rPr>
          <w:rFonts w:ascii="Avenir Book" w:hAnsi="Avenir Book"/>
          <w:sz w:val="22"/>
          <w:szCs w:val="22"/>
        </w:rPr>
        <w:t>CRPD</w:t>
      </w:r>
      <w:r w:rsidR="00F229DA" w:rsidRPr="003E5226">
        <w:rPr>
          <w:rFonts w:ascii="Avenir Book" w:hAnsi="Avenir Book"/>
          <w:sz w:val="22"/>
          <w:szCs w:val="22"/>
        </w:rPr>
        <w:t>)</w:t>
      </w:r>
      <w:r w:rsidRPr="003E5226">
        <w:rPr>
          <w:rFonts w:ascii="Avenir Book" w:hAnsi="Avenir Book"/>
          <w:sz w:val="22"/>
          <w:szCs w:val="22"/>
        </w:rPr>
        <w:t xml:space="preserve"> are critical to ensuring that all forms of violence in all settings experienced by people with disability, including women and girls with disability is identified, understood and addressed.  </w:t>
      </w:r>
    </w:p>
    <w:p w14:paraId="77E2DCC5" w14:textId="77777777" w:rsidR="00062B74" w:rsidRPr="003E5226" w:rsidRDefault="00062B74" w:rsidP="00BA4DB8">
      <w:pPr>
        <w:pStyle w:val="ListParagraph"/>
        <w:snapToGrid w:val="0"/>
        <w:ind w:left="0"/>
        <w:rPr>
          <w:rFonts w:ascii="Avenir Book" w:hAnsi="Avenir Book" w:cstheme="minorHAnsi"/>
          <w:sz w:val="22"/>
          <w:szCs w:val="22"/>
        </w:rPr>
      </w:pPr>
    </w:p>
    <w:p w14:paraId="463DD801" w14:textId="450EDCA8" w:rsidR="00B35330" w:rsidRPr="003E5226" w:rsidRDefault="00293C78"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 xml:space="preserve">As noted in the Royal Commission’s </w:t>
      </w:r>
      <w:r w:rsidR="008A47FA" w:rsidRPr="003E5226">
        <w:rPr>
          <w:rFonts w:ascii="Avenir Book" w:hAnsi="Avenir Book"/>
          <w:i/>
          <w:sz w:val="22"/>
          <w:szCs w:val="22"/>
        </w:rPr>
        <w:t>Accessibility and Inclusion Strategy</w:t>
      </w:r>
      <w:r w:rsidRPr="003E5226">
        <w:rPr>
          <w:rFonts w:ascii="Avenir Book" w:hAnsi="Avenir Book"/>
          <w:sz w:val="22"/>
          <w:szCs w:val="22"/>
        </w:rPr>
        <w:t>, i</w:t>
      </w:r>
      <w:r w:rsidR="00B35330" w:rsidRPr="003E5226">
        <w:rPr>
          <w:rFonts w:ascii="Avenir Book" w:hAnsi="Avenir Book"/>
          <w:sz w:val="22"/>
          <w:szCs w:val="22"/>
        </w:rPr>
        <w:t>t is now well established and recognised internationally and domestically that women and girls with disability are “far more likely to experience violence and abuse than women and girls without disability, and they are less likely to report this abuse for both personal and systemic reasons”.</w:t>
      </w:r>
      <w:r w:rsidR="00B158E3" w:rsidRPr="003E5226">
        <w:rPr>
          <w:rStyle w:val="FootnoteReference"/>
          <w:rFonts w:ascii="Avenir Book" w:hAnsi="Avenir Book"/>
          <w:sz w:val="22"/>
          <w:szCs w:val="22"/>
        </w:rPr>
        <w:footnoteReference w:id="7"/>
      </w:r>
    </w:p>
    <w:p w14:paraId="726381E5" w14:textId="77777777" w:rsidR="00062B74" w:rsidRPr="003E5226" w:rsidRDefault="00062B74" w:rsidP="00BA4DB8">
      <w:pPr>
        <w:pStyle w:val="ListParagraph"/>
        <w:ind w:left="0"/>
        <w:rPr>
          <w:rFonts w:ascii="Avenir Book" w:hAnsi="Avenir Book" w:cstheme="minorHAnsi"/>
          <w:sz w:val="22"/>
          <w:szCs w:val="22"/>
        </w:rPr>
      </w:pPr>
    </w:p>
    <w:p w14:paraId="3F1A9AA7" w14:textId="6375F390" w:rsidR="00EC074E" w:rsidRPr="003E5226" w:rsidRDefault="00B35330" w:rsidP="00EF5411">
      <w:pPr>
        <w:pStyle w:val="ListParagraph"/>
        <w:numPr>
          <w:ilvl w:val="1"/>
          <w:numId w:val="14"/>
        </w:numPr>
        <w:snapToGrid w:val="0"/>
        <w:spacing w:after="120"/>
        <w:ind w:left="993" w:hanging="567"/>
        <w:rPr>
          <w:rFonts w:ascii="Avenir Book" w:hAnsi="Avenir Book" w:cstheme="minorHAnsi"/>
          <w:sz w:val="22"/>
          <w:szCs w:val="22"/>
        </w:rPr>
      </w:pPr>
      <w:r w:rsidRPr="003E5226">
        <w:rPr>
          <w:rFonts w:ascii="Avenir Book" w:hAnsi="Avenir Book"/>
          <w:sz w:val="22"/>
          <w:szCs w:val="22"/>
        </w:rPr>
        <w:t xml:space="preserve">Australia has received numerous recommendations </w:t>
      </w:r>
      <w:r w:rsidR="00C632F9" w:rsidRPr="003E5226">
        <w:rPr>
          <w:rFonts w:ascii="Avenir Book" w:hAnsi="Avenir Book"/>
          <w:sz w:val="22"/>
          <w:szCs w:val="22"/>
        </w:rPr>
        <w:t xml:space="preserve">from the United Nations </w:t>
      </w:r>
      <w:r w:rsidR="000B5BD0" w:rsidRPr="003E5226">
        <w:rPr>
          <w:rFonts w:ascii="Avenir Book" w:hAnsi="Avenir Book"/>
          <w:sz w:val="22"/>
          <w:szCs w:val="22"/>
        </w:rPr>
        <w:t xml:space="preserve">(UN) </w:t>
      </w:r>
      <w:r w:rsidRPr="003E5226">
        <w:rPr>
          <w:rFonts w:ascii="Avenir Book" w:hAnsi="Avenir Book"/>
          <w:sz w:val="22"/>
          <w:szCs w:val="22"/>
        </w:rPr>
        <w:t>to investigate, address and remedy this situation for women and girls with disability. Very few of these recommendations have been implemented</w:t>
      </w:r>
      <w:r w:rsidR="00064D97" w:rsidRPr="003E5226">
        <w:rPr>
          <w:rFonts w:ascii="Avenir Book" w:hAnsi="Avenir Book"/>
          <w:sz w:val="22"/>
          <w:szCs w:val="22"/>
        </w:rPr>
        <w:t xml:space="preserve"> by successive Australian governments</w:t>
      </w:r>
      <w:r w:rsidRPr="003E5226">
        <w:rPr>
          <w:rFonts w:ascii="Avenir Book" w:hAnsi="Avenir Book"/>
          <w:sz w:val="22"/>
          <w:szCs w:val="22"/>
        </w:rPr>
        <w:t>.</w:t>
      </w:r>
      <w:r w:rsidR="00E73533" w:rsidRPr="003E5226">
        <w:rPr>
          <w:rFonts w:ascii="Avenir Book" w:hAnsi="Avenir Book"/>
          <w:sz w:val="22"/>
          <w:szCs w:val="22"/>
          <w:lang w:val="en-AU"/>
        </w:rPr>
        <w:t xml:space="preserve"> The most recent </w:t>
      </w:r>
      <w:r w:rsidR="00D5442E" w:rsidRPr="003E5226">
        <w:rPr>
          <w:rFonts w:ascii="Avenir Book" w:hAnsi="Avenir Book"/>
          <w:sz w:val="22"/>
          <w:szCs w:val="22"/>
          <w:lang w:val="en-AU"/>
        </w:rPr>
        <w:t xml:space="preserve">key </w:t>
      </w:r>
      <w:r w:rsidR="00E73533" w:rsidRPr="003E5226">
        <w:rPr>
          <w:rFonts w:ascii="Avenir Book" w:hAnsi="Avenir Book"/>
          <w:sz w:val="22"/>
          <w:szCs w:val="22"/>
          <w:lang w:val="en-AU"/>
        </w:rPr>
        <w:t xml:space="preserve">recommendations from UN Treaty Bodies relevant to the area of education and learning </w:t>
      </w:r>
      <w:r w:rsidR="00D5442E" w:rsidRPr="003E5226">
        <w:rPr>
          <w:rFonts w:ascii="Avenir Book" w:hAnsi="Avenir Book"/>
          <w:sz w:val="22"/>
          <w:szCs w:val="22"/>
          <w:lang w:val="en-AU"/>
        </w:rPr>
        <w:t xml:space="preserve">and violence, abuse, neglect and exploitation </w:t>
      </w:r>
      <w:r w:rsidR="00E73533" w:rsidRPr="003E5226">
        <w:rPr>
          <w:rFonts w:ascii="Avenir Book" w:hAnsi="Avenir Book"/>
          <w:sz w:val="22"/>
          <w:szCs w:val="22"/>
          <w:lang w:val="en-AU"/>
        </w:rPr>
        <w:t>are outlined in the Appendix to this submission.</w:t>
      </w:r>
    </w:p>
    <w:p w14:paraId="2BFF9F2D" w14:textId="77777777" w:rsidR="00EC074E" w:rsidRPr="003E5226" w:rsidRDefault="00EC074E" w:rsidP="00121931">
      <w:pPr>
        <w:spacing w:line="276" w:lineRule="auto"/>
        <w:rPr>
          <w:rFonts w:ascii="Avenir Book" w:hAnsi="Avenir Book" w:cs="Calibri"/>
          <w:color w:val="000000" w:themeColor="text1"/>
          <w:sz w:val="22"/>
          <w:szCs w:val="22"/>
          <w:lang w:bidi="en-US"/>
        </w:rPr>
      </w:pPr>
    </w:p>
    <w:p w14:paraId="3E159AE7" w14:textId="6C14C7EF" w:rsidR="00EC074E" w:rsidRPr="003E5226" w:rsidRDefault="00EC074E" w:rsidP="00121931">
      <w:pPr>
        <w:spacing w:line="276" w:lineRule="auto"/>
        <w:rPr>
          <w:rFonts w:ascii="Avenir Book" w:hAnsi="Avenir Book" w:cs="Calibri"/>
          <w:color w:val="000000" w:themeColor="text1"/>
          <w:sz w:val="22"/>
          <w:szCs w:val="22"/>
          <w:lang w:bidi="en-US"/>
        </w:rPr>
      </w:pPr>
    </w:p>
    <w:bookmarkEnd w:id="80"/>
    <w:p w14:paraId="19D94C9E" w14:textId="77777777" w:rsidR="00415C95" w:rsidRPr="003E5226" w:rsidRDefault="00415C95" w:rsidP="00121931">
      <w:pPr>
        <w:spacing w:line="276" w:lineRule="auto"/>
        <w:rPr>
          <w:rFonts w:ascii="Avenir Book" w:hAnsi="Avenir Book" w:cs="Calibri"/>
          <w:sz w:val="22"/>
          <w:szCs w:val="22"/>
        </w:rPr>
      </w:pPr>
    </w:p>
    <w:p w14:paraId="3812CE51" w14:textId="305E0075" w:rsidR="0094397F" w:rsidRPr="006575D7" w:rsidRDefault="0094397F" w:rsidP="00121931">
      <w:pPr>
        <w:spacing w:line="276" w:lineRule="auto"/>
        <w:rPr>
          <w:rFonts w:ascii="Calibri" w:hAnsi="Calibri" w:cs="Calibri"/>
          <w:b/>
          <w:color w:val="000000"/>
        </w:rPr>
      </w:pPr>
      <w:r w:rsidRPr="006575D7">
        <w:rPr>
          <w:rFonts w:ascii="Calibri" w:hAnsi="Calibri" w:cs="Calibri"/>
          <w:b/>
          <w:sz w:val="20"/>
          <w:szCs w:val="20"/>
        </w:rPr>
        <w:br w:type="page"/>
      </w:r>
    </w:p>
    <w:p w14:paraId="4392A960" w14:textId="72FA7321" w:rsidR="00D7106F" w:rsidRPr="006D22F9" w:rsidRDefault="00430D9C" w:rsidP="00EF5411">
      <w:pPr>
        <w:pStyle w:val="Heading2"/>
        <w:numPr>
          <w:ilvl w:val="0"/>
          <w:numId w:val="13"/>
        </w:numPr>
        <w:ind w:left="426" w:hanging="426"/>
        <w:jc w:val="left"/>
        <w:rPr>
          <w:rFonts w:ascii="Avenir Book" w:hAnsi="Avenir Book" w:cs="Calibri"/>
          <w:color w:val="AC1F79"/>
          <w:sz w:val="22"/>
        </w:rPr>
      </w:pPr>
      <w:bookmarkStart w:id="81" w:name="_Toc32759987"/>
      <w:r w:rsidRPr="006D22F9">
        <w:rPr>
          <w:rFonts w:ascii="Avenir Book" w:hAnsi="Avenir Book" w:cs="Calibri"/>
          <w:color w:val="AC1F79"/>
        </w:rPr>
        <w:lastRenderedPageBreak/>
        <w:t>Introduction</w:t>
      </w:r>
      <w:bookmarkEnd w:id="81"/>
      <w:r w:rsidRPr="006D22F9">
        <w:rPr>
          <w:rFonts w:ascii="Avenir Book" w:hAnsi="Avenir Book" w:cs="Calibri"/>
          <w:color w:val="AC1F79"/>
        </w:rPr>
        <w:t xml:space="preserve"> </w:t>
      </w:r>
    </w:p>
    <w:p w14:paraId="3861D403" w14:textId="5231B900" w:rsidR="00A56DB8" w:rsidRPr="006D22F9" w:rsidRDefault="00A56DB8" w:rsidP="00121931">
      <w:pPr>
        <w:spacing w:line="276" w:lineRule="auto"/>
        <w:rPr>
          <w:rFonts w:ascii="Avenir Book" w:hAnsi="Avenir Book" w:cs="Calibri"/>
          <w:sz w:val="22"/>
          <w:szCs w:val="22"/>
        </w:rPr>
      </w:pPr>
    </w:p>
    <w:p w14:paraId="1B28A8DF" w14:textId="10B379F4" w:rsidR="00430D9C" w:rsidRPr="006D22F9" w:rsidRDefault="00430D9C" w:rsidP="00EF5411">
      <w:pPr>
        <w:pStyle w:val="ListParagraph"/>
        <w:numPr>
          <w:ilvl w:val="1"/>
          <w:numId w:val="22"/>
        </w:numPr>
        <w:ind w:left="993" w:hanging="567"/>
        <w:rPr>
          <w:rFonts w:ascii="Avenir Book" w:hAnsi="Avenir Book"/>
          <w:sz w:val="22"/>
          <w:szCs w:val="22"/>
        </w:rPr>
      </w:pPr>
      <w:r w:rsidRPr="006D22F9">
        <w:rPr>
          <w:rFonts w:ascii="Avenir Book" w:hAnsi="Avenir Book"/>
          <w:sz w:val="22"/>
          <w:szCs w:val="22"/>
        </w:rPr>
        <w:t xml:space="preserve">WWDA welcomes the opportunity to make this submission in response to the Royal Commission’s Education and Learning Issues Paper (the Issues Paper). </w:t>
      </w:r>
    </w:p>
    <w:p w14:paraId="505A3B37" w14:textId="77777777" w:rsidR="000E3188" w:rsidRPr="006D22F9" w:rsidRDefault="000E3188" w:rsidP="002245C0">
      <w:pPr>
        <w:pStyle w:val="ListParagraph"/>
        <w:ind w:left="0"/>
        <w:rPr>
          <w:rFonts w:ascii="Avenir Book" w:hAnsi="Avenir Book"/>
          <w:sz w:val="22"/>
          <w:szCs w:val="22"/>
        </w:rPr>
      </w:pPr>
    </w:p>
    <w:p w14:paraId="052B19D9" w14:textId="6979CF66" w:rsidR="00430D9C" w:rsidRPr="006D22F9" w:rsidRDefault="00430D9C" w:rsidP="00EF5411">
      <w:pPr>
        <w:pStyle w:val="ListParagraph"/>
        <w:numPr>
          <w:ilvl w:val="1"/>
          <w:numId w:val="22"/>
        </w:numPr>
        <w:ind w:left="993" w:hanging="567"/>
        <w:rPr>
          <w:rFonts w:ascii="Avenir Book" w:hAnsi="Avenir Book"/>
          <w:sz w:val="22"/>
          <w:szCs w:val="22"/>
        </w:rPr>
      </w:pPr>
      <w:r w:rsidRPr="006D22F9">
        <w:rPr>
          <w:rFonts w:ascii="Avenir Book" w:hAnsi="Avenir Book"/>
          <w:sz w:val="22"/>
          <w:szCs w:val="22"/>
        </w:rPr>
        <w:t xml:space="preserve">As noted in the Issues Paper, the area of education and learning is both a site of violence, abuse, neglect and exploitation for students with disability and a critical </w:t>
      </w:r>
      <w:r w:rsidR="00315CC5" w:rsidRPr="006D22F9">
        <w:rPr>
          <w:rFonts w:ascii="Avenir Book" w:hAnsi="Avenir Book"/>
          <w:sz w:val="22"/>
          <w:szCs w:val="22"/>
        </w:rPr>
        <w:t>facilitator</w:t>
      </w:r>
      <w:r w:rsidRPr="006D22F9">
        <w:rPr>
          <w:rFonts w:ascii="Avenir Book" w:hAnsi="Avenir Book"/>
          <w:sz w:val="22"/>
          <w:szCs w:val="22"/>
        </w:rPr>
        <w:t xml:space="preserve"> of an inclusive society.</w:t>
      </w:r>
      <w:r w:rsidR="00C408AF" w:rsidRPr="006D22F9">
        <w:rPr>
          <w:rStyle w:val="FootnoteReference"/>
          <w:rFonts w:ascii="Avenir Book" w:hAnsi="Avenir Book"/>
          <w:sz w:val="22"/>
          <w:szCs w:val="22"/>
        </w:rPr>
        <w:footnoteReference w:id="8"/>
      </w:r>
    </w:p>
    <w:p w14:paraId="53512830" w14:textId="77777777" w:rsidR="000E3188" w:rsidRPr="006D22F9" w:rsidRDefault="000E3188" w:rsidP="002245C0">
      <w:pPr>
        <w:pStyle w:val="ListParagraph"/>
        <w:ind w:left="0"/>
        <w:rPr>
          <w:rFonts w:ascii="Avenir Book" w:hAnsi="Avenir Book"/>
          <w:sz w:val="22"/>
          <w:szCs w:val="22"/>
        </w:rPr>
      </w:pPr>
    </w:p>
    <w:p w14:paraId="4F7BAA10" w14:textId="3380D78D" w:rsidR="007F50B1" w:rsidRPr="006D22F9" w:rsidRDefault="00430D9C" w:rsidP="00E5747A">
      <w:pPr>
        <w:pStyle w:val="ListParagraph"/>
        <w:numPr>
          <w:ilvl w:val="1"/>
          <w:numId w:val="22"/>
        </w:numPr>
        <w:ind w:left="992" w:hanging="567"/>
        <w:rPr>
          <w:rFonts w:ascii="Avenir Book" w:hAnsi="Avenir Book"/>
          <w:sz w:val="22"/>
          <w:szCs w:val="22"/>
        </w:rPr>
      </w:pPr>
      <w:r w:rsidRPr="006D22F9">
        <w:rPr>
          <w:rFonts w:ascii="Avenir Book" w:hAnsi="Avenir Book"/>
          <w:sz w:val="22"/>
          <w:szCs w:val="22"/>
        </w:rPr>
        <w:t>However, given the growing trend towards special education, special units in mainstream schools, and the poor outcomes reported by students with disability,</w:t>
      </w:r>
      <w:r w:rsidR="007F50B1" w:rsidRPr="006D22F9">
        <w:rPr>
          <w:rStyle w:val="FootnoteReference"/>
          <w:rFonts w:ascii="Avenir Book" w:hAnsi="Avenir Book"/>
          <w:sz w:val="22"/>
          <w:szCs w:val="22"/>
        </w:rPr>
        <w:footnoteReference w:id="9"/>
      </w:r>
      <w:r w:rsidRPr="006D22F9">
        <w:rPr>
          <w:rFonts w:ascii="Avenir Book" w:hAnsi="Avenir Book"/>
          <w:sz w:val="22"/>
          <w:szCs w:val="22"/>
        </w:rPr>
        <w:t xml:space="preserve"> the area of education and learning is not just a site of violence, abuse, neglect and exploitation, but also a form of neglect in itself.</w:t>
      </w:r>
      <w:r w:rsidR="00D40202" w:rsidRPr="006D22F9">
        <w:rPr>
          <w:rStyle w:val="FootnoteReference"/>
          <w:rFonts w:ascii="Avenir Book" w:hAnsi="Avenir Book"/>
          <w:sz w:val="22"/>
          <w:szCs w:val="22"/>
        </w:rPr>
        <w:footnoteReference w:id="10"/>
      </w:r>
      <w:r w:rsidRPr="006D22F9">
        <w:rPr>
          <w:rFonts w:ascii="Avenir Book" w:hAnsi="Avenir Book"/>
          <w:sz w:val="22"/>
          <w:szCs w:val="22"/>
        </w:rPr>
        <w:t xml:space="preserve">  </w:t>
      </w:r>
    </w:p>
    <w:p w14:paraId="78458439" w14:textId="77777777" w:rsidR="000E3188" w:rsidRPr="006D22F9" w:rsidRDefault="000E3188" w:rsidP="002245C0">
      <w:pPr>
        <w:pStyle w:val="ListParagraph"/>
        <w:ind w:left="0"/>
        <w:rPr>
          <w:rFonts w:ascii="Avenir Book" w:hAnsi="Avenir Book"/>
          <w:sz w:val="22"/>
          <w:szCs w:val="22"/>
        </w:rPr>
      </w:pPr>
    </w:p>
    <w:p w14:paraId="3A523F26" w14:textId="0B0BFCF2" w:rsidR="00430D9C" w:rsidRPr="006D22F9" w:rsidRDefault="00F229DA" w:rsidP="00E5747A">
      <w:pPr>
        <w:pStyle w:val="ListParagraph"/>
        <w:numPr>
          <w:ilvl w:val="1"/>
          <w:numId w:val="22"/>
        </w:numPr>
        <w:ind w:left="992" w:hanging="567"/>
        <w:rPr>
          <w:rFonts w:ascii="Avenir Book" w:hAnsi="Avenir Book"/>
          <w:sz w:val="22"/>
          <w:szCs w:val="22"/>
        </w:rPr>
      </w:pPr>
      <w:r w:rsidRPr="006D22F9">
        <w:rPr>
          <w:rFonts w:ascii="Avenir Book" w:hAnsi="Avenir Book"/>
          <w:sz w:val="22"/>
          <w:szCs w:val="22"/>
        </w:rPr>
        <w:t>The</w:t>
      </w:r>
      <w:r w:rsidR="00430D9C" w:rsidRPr="006D22F9">
        <w:rPr>
          <w:rFonts w:ascii="Avenir Book" w:hAnsi="Avenir Book"/>
          <w:sz w:val="22"/>
          <w:szCs w:val="22"/>
        </w:rPr>
        <w:t xml:space="preserve"> right to inclusive education is clearly articulated in CRPD article 24, with implementation guidance provided in General </w:t>
      </w:r>
      <w:r w:rsidRPr="006D22F9">
        <w:rPr>
          <w:rFonts w:ascii="Avenir Book" w:hAnsi="Avenir Book"/>
          <w:sz w:val="22"/>
          <w:szCs w:val="22"/>
        </w:rPr>
        <w:t>c</w:t>
      </w:r>
      <w:r w:rsidR="00430D9C" w:rsidRPr="006D22F9">
        <w:rPr>
          <w:rFonts w:ascii="Avenir Book" w:hAnsi="Avenir Book"/>
          <w:sz w:val="22"/>
          <w:szCs w:val="22"/>
        </w:rPr>
        <w:t>omment 4 from the Committee on the Rights of Persons with Disabilities (CRPD Committee)</w:t>
      </w:r>
      <w:r w:rsidRPr="006D22F9">
        <w:rPr>
          <w:rFonts w:ascii="Avenir Book" w:hAnsi="Avenir Book"/>
          <w:sz w:val="22"/>
          <w:szCs w:val="22"/>
        </w:rPr>
        <w:t>.</w:t>
      </w:r>
      <w:r w:rsidRPr="006D22F9">
        <w:rPr>
          <w:rStyle w:val="FootnoteReference"/>
          <w:rFonts w:ascii="Avenir Book" w:hAnsi="Avenir Book"/>
          <w:sz w:val="22"/>
          <w:szCs w:val="22"/>
        </w:rPr>
        <w:footnoteReference w:id="11"/>
      </w:r>
      <w:r w:rsidR="00430D9C" w:rsidRPr="006D22F9">
        <w:rPr>
          <w:rFonts w:ascii="Avenir Book" w:hAnsi="Avenir Book"/>
          <w:sz w:val="22"/>
          <w:szCs w:val="22"/>
        </w:rPr>
        <w:t xml:space="preserve"> Th</w:t>
      </w:r>
      <w:r w:rsidR="00D40202" w:rsidRPr="006D22F9">
        <w:rPr>
          <w:rFonts w:ascii="Avenir Book" w:hAnsi="Avenir Book"/>
          <w:sz w:val="22"/>
          <w:szCs w:val="22"/>
        </w:rPr>
        <w:t>e ri</w:t>
      </w:r>
      <w:r w:rsidR="00430D9C" w:rsidRPr="006D22F9">
        <w:rPr>
          <w:rFonts w:ascii="Avenir Book" w:hAnsi="Avenir Book"/>
          <w:sz w:val="22"/>
          <w:szCs w:val="22"/>
        </w:rPr>
        <w:t>ght to inclusive education</w:t>
      </w:r>
      <w:r w:rsidR="00D40202" w:rsidRPr="006D22F9">
        <w:rPr>
          <w:rFonts w:ascii="Avenir Book" w:hAnsi="Avenir Book"/>
          <w:sz w:val="22"/>
          <w:szCs w:val="22"/>
        </w:rPr>
        <w:t>,</w:t>
      </w:r>
      <w:r w:rsidR="00430D9C" w:rsidRPr="006D22F9">
        <w:rPr>
          <w:rFonts w:ascii="Avenir Book" w:hAnsi="Avenir Book"/>
          <w:sz w:val="22"/>
          <w:szCs w:val="22"/>
        </w:rPr>
        <w:t xml:space="preserve"> and the neglect experienced by people with disability </w:t>
      </w:r>
      <w:r w:rsidR="00D40202" w:rsidRPr="006D22F9">
        <w:rPr>
          <w:rFonts w:ascii="Avenir Book" w:hAnsi="Avenir Book"/>
          <w:sz w:val="22"/>
          <w:szCs w:val="22"/>
        </w:rPr>
        <w:t xml:space="preserve">through the denial of this right, </w:t>
      </w:r>
      <w:r w:rsidR="00430D9C" w:rsidRPr="006D22F9">
        <w:rPr>
          <w:rFonts w:ascii="Avenir Book" w:hAnsi="Avenir Book"/>
          <w:sz w:val="22"/>
          <w:szCs w:val="22"/>
        </w:rPr>
        <w:t xml:space="preserve">must be explicitly </w:t>
      </w:r>
      <w:r w:rsidR="00D40202" w:rsidRPr="006D22F9">
        <w:rPr>
          <w:rFonts w:ascii="Avenir Book" w:hAnsi="Avenir Book"/>
          <w:sz w:val="22"/>
          <w:szCs w:val="22"/>
        </w:rPr>
        <w:t xml:space="preserve">articulated and </w:t>
      </w:r>
      <w:r w:rsidR="00430D9C" w:rsidRPr="006D22F9">
        <w:rPr>
          <w:rFonts w:ascii="Avenir Book" w:hAnsi="Avenir Book"/>
          <w:sz w:val="22"/>
          <w:szCs w:val="22"/>
        </w:rPr>
        <w:t xml:space="preserve">explored by the Royal Commission.  This is discussed further in section </w:t>
      </w:r>
      <w:r w:rsidR="00DA770A" w:rsidRPr="006D22F9">
        <w:rPr>
          <w:rFonts w:ascii="Avenir Book" w:hAnsi="Avenir Book"/>
          <w:sz w:val="22"/>
          <w:szCs w:val="22"/>
        </w:rPr>
        <w:t>4</w:t>
      </w:r>
      <w:r w:rsidR="00430D9C" w:rsidRPr="006D22F9">
        <w:rPr>
          <w:rFonts w:ascii="Avenir Book" w:hAnsi="Avenir Book"/>
          <w:sz w:val="22"/>
          <w:szCs w:val="22"/>
        </w:rPr>
        <w:t xml:space="preserve"> of this submission. </w:t>
      </w:r>
    </w:p>
    <w:p w14:paraId="4AA27DE3" w14:textId="77777777" w:rsidR="000E3188" w:rsidRPr="006D22F9" w:rsidRDefault="000E3188" w:rsidP="002245C0">
      <w:pPr>
        <w:pStyle w:val="ListParagraph"/>
        <w:ind w:left="0"/>
        <w:rPr>
          <w:rFonts w:ascii="Avenir Book" w:hAnsi="Avenir Book"/>
          <w:sz w:val="22"/>
          <w:szCs w:val="22"/>
        </w:rPr>
      </w:pPr>
    </w:p>
    <w:p w14:paraId="373F97F3" w14:textId="615092A5" w:rsidR="000B2A36" w:rsidRPr="006D22F9" w:rsidRDefault="00430D9C" w:rsidP="00EF5411">
      <w:pPr>
        <w:pStyle w:val="ListParagraph"/>
        <w:numPr>
          <w:ilvl w:val="1"/>
          <w:numId w:val="22"/>
        </w:numPr>
        <w:ind w:left="993" w:hanging="567"/>
        <w:rPr>
          <w:rFonts w:ascii="Avenir Book" w:hAnsi="Avenir Book"/>
          <w:sz w:val="22"/>
          <w:szCs w:val="22"/>
        </w:rPr>
      </w:pPr>
      <w:r w:rsidRPr="006D22F9">
        <w:rPr>
          <w:rFonts w:ascii="Avenir Book" w:hAnsi="Avenir Book"/>
          <w:sz w:val="22"/>
          <w:szCs w:val="22"/>
        </w:rPr>
        <w:t>While it is recognised that “the nature of the experience of violence is intensified in frequency, extent and nature when gender and disability intersect”</w:t>
      </w:r>
      <w:r w:rsidR="00B16667" w:rsidRPr="006D22F9">
        <w:rPr>
          <w:rFonts w:ascii="Avenir Book" w:hAnsi="Avenir Book"/>
          <w:sz w:val="22"/>
          <w:szCs w:val="22"/>
        </w:rPr>
        <w:t>,</w:t>
      </w:r>
      <w:r w:rsidR="0063037A" w:rsidRPr="006D22F9">
        <w:rPr>
          <w:rStyle w:val="FootnoteReference"/>
          <w:rFonts w:ascii="Avenir Book" w:hAnsi="Avenir Book"/>
          <w:sz w:val="22"/>
          <w:szCs w:val="22"/>
        </w:rPr>
        <w:footnoteReference w:id="12"/>
      </w:r>
      <w:r w:rsidRPr="006D22F9">
        <w:rPr>
          <w:rFonts w:ascii="Avenir Book" w:hAnsi="Avenir Book"/>
          <w:sz w:val="22"/>
          <w:szCs w:val="22"/>
        </w:rPr>
        <w:t xml:space="preserve"> the available data, research and evidence about this experience is </w:t>
      </w:r>
      <w:r w:rsidR="00B16667" w:rsidRPr="006D22F9">
        <w:rPr>
          <w:rFonts w:ascii="Avenir Book" w:hAnsi="Avenir Book"/>
          <w:sz w:val="22"/>
          <w:szCs w:val="22"/>
        </w:rPr>
        <w:t xml:space="preserve">lacking, and where it exists, it is </w:t>
      </w:r>
      <w:r w:rsidRPr="006D22F9">
        <w:rPr>
          <w:rFonts w:ascii="Avenir Book" w:hAnsi="Avenir Book"/>
          <w:sz w:val="22"/>
          <w:szCs w:val="22"/>
        </w:rPr>
        <w:t xml:space="preserve">largely focused </w:t>
      </w:r>
      <w:r w:rsidR="007C5A48" w:rsidRPr="006D22F9">
        <w:rPr>
          <w:rFonts w:ascii="Avenir Book" w:hAnsi="Avenir Book"/>
          <w:sz w:val="22"/>
          <w:szCs w:val="22"/>
        </w:rPr>
        <w:t>within</w:t>
      </w:r>
      <w:r w:rsidRPr="006D22F9">
        <w:rPr>
          <w:rFonts w:ascii="Avenir Book" w:hAnsi="Avenir Book"/>
          <w:sz w:val="22"/>
          <w:szCs w:val="22"/>
        </w:rPr>
        <w:t xml:space="preserve"> </w:t>
      </w:r>
      <w:r w:rsidR="001173A5" w:rsidRPr="006D22F9">
        <w:rPr>
          <w:rFonts w:ascii="Avenir Book" w:hAnsi="Avenir Book"/>
          <w:sz w:val="22"/>
          <w:szCs w:val="22"/>
        </w:rPr>
        <w:t xml:space="preserve">the area of </w:t>
      </w:r>
      <w:r w:rsidRPr="006D22F9">
        <w:rPr>
          <w:rFonts w:ascii="Avenir Book" w:hAnsi="Avenir Book"/>
          <w:sz w:val="22"/>
          <w:szCs w:val="22"/>
        </w:rPr>
        <w:t>domestic and family violence.</w:t>
      </w:r>
      <w:r w:rsidR="00B16667" w:rsidRPr="006D22F9">
        <w:rPr>
          <w:rStyle w:val="FootnoteReference"/>
          <w:rFonts w:ascii="Avenir Book" w:hAnsi="Avenir Book"/>
          <w:sz w:val="22"/>
          <w:szCs w:val="22"/>
        </w:rPr>
        <w:footnoteReference w:id="13"/>
      </w:r>
      <w:r w:rsidRPr="006D22F9">
        <w:rPr>
          <w:rFonts w:ascii="Avenir Book" w:hAnsi="Avenir Book"/>
          <w:sz w:val="22"/>
          <w:szCs w:val="22"/>
        </w:rPr>
        <w:t xml:space="preserve"> </w:t>
      </w:r>
    </w:p>
    <w:p w14:paraId="5D6DB64D" w14:textId="77777777" w:rsidR="000E3188" w:rsidRPr="002F5171" w:rsidRDefault="000E3188" w:rsidP="002245C0">
      <w:pPr>
        <w:pStyle w:val="ListParagraph"/>
        <w:ind w:left="0"/>
        <w:rPr>
          <w:rFonts w:ascii="Avenir Book" w:hAnsi="Avenir Book"/>
          <w:sz w:val="22"/>
          <w:szCs w:val="22"/>
        </w:rPr>
      </w:pPr>
    </w:p>
    <w:p w14:paraId="59811D91" w14:textId="26B8AAF0" w:rsidR="00430D9C" w:rsidRPr="002F5171" w:rsidRDefault="00430D9C"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The significant lack of disaggregated data, research and studies that apply a</w:t>
      </w:r>
      <w:r w:rsidR="00D16F37" w:rsidRPr="002F5171">
        <w:rPr>
          <w:rFonts w:ascii="Avenir Book" w:hAnsi="Avenir Book"/>
          <w:sz w:val="22"/>
          <w:szCs w:val="22"/>
        </w:rPr>
        <w:t xml:space="preserve">n </w:t>
      </w:r>
      <w:r w:rsidRPr="002F5171">
        <w:rPr>
          <w:rFonts w:ascii="Avenir Book" w:hAnsi="Avenir Book"/>
          <w:sz w:val="22"/>
          <w:szCs w:val="22"/>
        </w:rPr>
        <w:t xml:space="preserve">intersectional analysis in the area of education and learning makes it extremely difficult to understand the situation of women and girls with disability. However, as noted in section </w:t>
      </w:r>
      <w:r w:rsidR="00DA770A" w:rsidRPr="002F5171">
        <w:rPr>
          <w:rFonts w:ascii="Avenir Book" w:hAnsi="Avenir Book"/>
          <w:sz w:val="22"/>
          <w:szCs w:val="22"/>
        </w:rPr>
        <w:t>8</w:t>
      </w:r>
      <w:r w:rsidR="0087629B" w:rsidRPr="002F5171">
        <w:rPr>
          <w:rFonts w:ascii="Avenir Book" w:hAnsi="Avenir Book"/>
          <w:sz w:val="22"/>
          <w:szCs w:val="22"/>
        </w:rPr>
        <w:t xml:space="preserve"> of this submission</w:t>
      </w:r>
      <w:r w:rsidRPr="002F5171">
        <w:rPr>
          <w:rFonts w:ascii="Avenir Book" w:hAnsi="Avenir Book"/>
          <w:sz w:val="22"/>
          <w:szCs w:val="22"/>
        </w:rPr>
        <w:t xml:space="preserve">, this understanding is critical for identifying the necessary </w:t>
      </w:r>
      <w:r w:rsidRPr="002F5171">
        <w:rPr>
          <w:rFonts w:ascii="Avenir Book" w:hAnsi="Avenir Book"/>
          <w:sz w:val="22"/>
          <w:szCs w:val="22"/>
        </w:rPr>
        <w:lastRenderedPageBreak/>
        <w:t xml:space="preserve">specific measures for violence prevention, response and redress for women and girls with disability. </w:t>
      </w:r>
    </w:p>
    <w:p w14:paraId="6AB9389E" w14:textId="77777777" w:rsidR="000E3188" w:rsidRPr="002F5171" w:rsidRDefault="000E3188" w:rsidP="000E3188">
      <w:pPr>
        <w:rPr>
          <w:rFonts w:ascii="Avenir Book" w:hAnsi="Avenir Book"/>
          <w:sz w:val="22"/>
          <w:szCs w:val="22"/>
        </w:rPr>
      </w:pPr>
    </w:p>
    <w:p w14:paraId="3EEE7EB5" w14:textId="4BE51582" w:rsidR="00452C04" w:rsidRPr="002F5171" w:rsidRDefault="0087629B" w:rsidP="00EF5411">
      <w:pPr>
        <w:pStyle w:val="ListParagraph"/>
        <w:numPr>
          <w:ilvl w:val="1"/>
          <w:numId w:val="22"/>
        </w:numPr>
        <w:spacing w:after="120"/>
        <w:ind w:left="992" w:hanging="567"/>
        <w:contextualSpacing w:val="0"/>
        <w:rPr>
          <w:rFonts w:ascii="Avenir Book" w:hAnsi="Avenir Book"/>
          <w:sz w:val="22"/>
          <w:szCs w:val="22"/>
        </w:rPr>
      </w:pPr>
      <w:r w:rsidRPr="002F5171">
        <w:rPr>
          <w:rFonts w:ascii="Avenir Book" w:hAnsi="Avenir Book"/>
          <w:sz w:val="22"/>
          <w:szCs w:val="22"/>
        </w:rPr>
        <w:t xml:space="preserve">We note that the Royal Commission is examining violence, abuse, neglect and exploitation within separate service and life domains, such as in the area of education and learning, group homes, health and criminal justice. While we acknowledge that the task of examining all forms of violence in all settings is immense, we caution against focusing only on particular </w:t>
      </w:r>
      <w:r w:rsidR="00452C04" w:rsidRPr="002F5171">
        <w:rPr>
          <w:rFonts w:ascii="Avenir Book" w:hAnsi="Avenir Book"/>
          <w:sz w:val="22"/>
          <w:szCs w:val="22"/>
        </w:rPr>
        <w:t xml:space="preserve">service settings and </w:t>
      </w:r>
      <w:r w:rsidRPr="002F5171">
        <w:rPr>
          <w:rFonts w:ascii="Avenir Book" w:hAnsi="Avenir Book"/>
          <w:sz w:val="22"/>
          <w:szCs w:val="22"/>
        </w:rPr>
        <w:t xml:space="preserve">domains that merely leads to reform of those domains. </w:t>
      </w:r>
      <w:r w:rsidR="00452C04" w:rsidRPr="002F5171">
        <w:rPr>
          <w:rFonts w:ascii="Avenir Book" w:hAnsi="Avenir Book"/>
          <w:sz w:val="22"/>
          <w:szCs w:val="22"/>
        </w:rPr>
        <w:t xml:space="preserve">A focus </w:t>
      </w:r>
      <w:r w:rsidR="00064D97" w:rsidRPr="002F5171">
        <w:rPr>
          <w:rFonts w:ascii="Avenir Book" w:hAnsi="Avenir Book"/>
          <w:sz w:val="22"/>
          <w:szCs w:val="22"/>
        </w:rPr>
        <w:t xml:space="preserve">only </w:t>
      </w:r>
      <w:r w:rsidR="00452C04" w:rsidRPr="002F5171">
        <w:rPr>
          <w:rFonts w:ascii="Avenir Book" w:hAnsi="Avenir Book"/>
          <w:sz w:val="22"/>
          <w:szCs w:val="22"/>
        </w:rPr>
        <w:t>on particular service settings and domains risk</w:t>
      </w:r>
      <w:r w:rsidR="00313DEA" w:rsidRPr="002F5171">
        <w:rPr>
          <w:rFonts w:ascii="Avenir Book" w:hAnsi="Avenir Book"/>
          <w:sz w:val="22"/>
          <w:szCs w:val="22"/>
        </w:rPr>
        <w:t>s</w:t>
      </w:r>
      <w:r w:rsidR="00452C04" w:rsidRPr="002F5171">
        <w:rPr>
          <w:rFonts w:ascii="Avenir Book" w:hAnsi="Avenir Book"/>
          <w:sz w:val="22"/>
          <w:szCs w:val="22"/>
        </w:rPr>
        <w:t>:</w:t>
      </w:r>
    </w:p>
    <w:p w14:paraId="2D961E72" w14:textId="77777777" w:rsidR="00452C04" w:rsidRPr="002F5171" w:rsidRDefault="00452C04" w:rsidP="00EF5411">
      <w:pPr>
        <w:pStyle w:val="ListParagraph"/>
        <w:numPr>
          <w:ilvl w:val="0"/>
          <w:numId w:val="6"/>
        </w:numPr>
        <w:snapToGrid w:val="0"/>
        <w:spacing w:after="120"/>
        <w:ind w:left="1276" w:hanging="284"/>
        <w:contextualSpacing w:val="0"/>
        <w:rPr>
          <w:rFonts w:ascii="Avenir Book" w:hAnsi="Avenir Book"/>
          <w:sz w:val="22"/>
          <w:szCs w:val="22"/>
        </w:rPr>
      </w:pPr>
      <w:r w:rsidRPr="002F5171">
        <w:rPr>
          <w:rFonts w:ascii="Avenir Book" w:hAnsi="Avenir Book"/>
          <w:sz w:val="22"/>
          <w:szCs w:val="22"/>
        </w:rPr>
        <w:t xml:space="preserve">ignoring the reality of the pervasive nature of violence, abuse, neglect and exploitation that can be experienced by people with disability across all domains and aspects of their lives, and the specific and unique forms of this violence for women and girls with disability; and </w:t>
      </w:r>
    </w:p>
    <w:p w14:paraId="22440C44" w14:textId="364106F8" w:rsidR="00452C04" w:rsidRPr="002F5171" w:rsidRDefault="00452C04" w:rsidP="00EF5411">
      <w:pPr>
        <w:pStyle w:val="ListParagraph"/>
        <w:numPr>
          <w:ilvl w:val="0"/>
          <w:numId w:val="6"/>
        </w:numPr>
        <w:ind w:left="1276" w:hanging="283"/>
        <w:rPr>
          <w:rFonts w:ascii="Avenir Book" w:hAnsi="Avenir Book"/>
          <w:sz w:val="22"/>
          <w:szCs w:val="22"/>
        </w:rPr>
      </w:pPr>
      <w:r w:rsidRPr="002F5171">
        <w:rPr>
          <w:rFonts w:ascii="Avenir Book" w:hAnsi="Avenir Book"/>
          <w:sz w:val="22"/>
          <w:szCs w:val="22"/>
        </w:rPr>
        <w:t xml:space="preserve">failing to expose </w:t>
      </w:r>
      <w:r w:rsidR="0087629B" w:rsidRPr="002F5171">
        <w:rPr>
          <w:rFonts w:ascii="Avenir Book" w:hAnsi="Avenir Book"/>
          <w:sz w:val="22"/>
          <w:szCs w:val="22"/>
        </w:rPr>
        <w:t xml:space="preserve">the underpinning driver or enabler of violence, abuse, neglect and exploitation in the Australian law, policy and practice landscape and within society in general.  As outlined in section </w:t>
      </w:r>
      <w:r w:rsidR="00DA770A" w:rsidRPr="002F5171">
        <w:rPr>
          <w:rFonts w:ascii="Avenir Book" w:hAnsi="Avenir Book"/>
          <w:sz w:val="22"/>
          <w:szCs w:val="22"/>
        </w:rPr>
        <w:t>6</w:t>
      </w:r>
      <w:r w:rsidR="0087629B" w:rsidRPr="002F5171">
        <w:rPr>
          <w:rFonts w:ascii="Avenir Book" w:hAnsi="Avenir Book"/>
          <w:sz w:val="22"/>
          <w:szCs w:val="22"/>
        </w:rPr>
        <w:t xml:space="preserve"> of this submission, ableism, and the resulting inequality and discrimination</w:t>
      </w:r>
      <w:r w:rsidR="00AA3219" w:rsidRPr="002F5171">
        <w:rPr>
          <w:rFonts w:ascii="Avenir Book" w:hAnsi="Avenir Book"/>
          <w:sz w:val="22"/>
          <w:szCs w:val="22"/>
        </w:rPr>
        <w:t>, including intersectional discrimination</w:t>
      </w:r>
      <w:r w:rsidR="0087629B" w:rsidRPr="002F5171">
        <w:rPr>
          <w:rFonts w:ascii="Avenir Book" w:hAnsi="Avenir Book"/>
          <w:sz w:val="22"/>
          <w:szCs w:val="22"/>
        </w:rPr>
        <w:t xml:space="preserve"> is a key driver of all forms of violence against people with disability</w:t>
      </w:r>
      <w:r w:rsidR="00171113" w:rsidRPr="002F5171">
        <w:rPr>
          <w:rFonts w:ascii="Avenir Book" w:hAnsi="Avenir Book"/>
          <w:sz w:val="22"/>
          <w:szCs w:val="22"/>
        </w:rPr>
        <w:t xml:space="preserve"> in all settings</w:t>
      </w:r>
      <w:r w:rsidR="0087629B" w:rsidRPr="002F5171">
        <w:rPr>
          <w:rFonts w:ascii="Avenir Book" w:hAnsi="Avenir Book"/>
          <w:sz w:val="22"/>
          <w:szCs w:val="22"/>
        </w:rPr>
        <w:t xml:space="preserve">.  </w:t>
      </w:r>
    </w:p>
    <w:p w14:paraId="279741D4" w14:textId="77777777" w:rsidR="00452C04" w:rsidRPr="002F5171" w:rsidRDefault="00452C04" w:rsidP="002245C0">
      <w:pPr>
        <w:pStyle w:val="ListParagraph"/>
        <w:ind w:left="0"/>
        <w:rPr>
          <w:rFonts w:ascii="Avenir Book" w:hAnsi="Avenir Book"/>
          <w:sz w:val="22"/>
          <w:szCs w:val="22"/>
        </w:rPr>
      </w:pPr>
    </w:p>
    <w:p w14:paraId="63C6EE59" w14:textId="247668BE" w:rsidR="00171113" w:rsidRPr="002F5171" w:rsidRDefault="0087629B"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 xml:space="preserve">For women and girls with disability, it is imperative that the intersection between </w:t>
      </w:r>
      <w:r w:rsidR="008117E8" w:rsidRPr="002F5171">
        <w:rPr>
          <w:rFonts w:ascii="Avenir Book" w:hAnsi="Avenir Book"/>
          <w:sz w:val="22"/>
          <w:szCs w:val="22"/>
        </w:rPr>
        <w:t>ableism</w:t>
      </w:r>
      <w:r w:rsidRPr="002F5171">
        <w:rPr>
          <w:rFonts w:ascii="Avenir Book" w:hAnsi="Avenir Book"/>
          <w:sz w:val="22"/>
          <w:szCs w:val="22"/>
        </w:rPr>
        <w:t xml:space="preserve"> and gender inequality and discrimination is </w:t>
      </w:r>
      <w:r w:rsidR="00E10FB8" w:rsidRPr="002F5171">
        <w:rPr>
          <w:rFonts w:ascii="Avenir Book" w:hAnsi="Avenir Book"/>
          <w:sz w:val="22"/>
          <w:szCs w:val="22"/>
        </w:rPr>
        <w:t xml:space="preserve">explicitly </w:t>
      </w:r>
      <w:r w:rsidRPr="002F5171">
        <w:rPr>
          <w:rFonts w:ascii="Avenir Book" w:hAnsi="Avenir Book"/>
          <w:sz w:val="22"/>
          <w:szCs w:val="22"/>
        </w:rPr>
        <w:t xml:space="preserve">identified, examined and addressed.  </w:t>
      </w:r>
      <w:r w:rsidR="00064D97" w:rsidRPr="002F5171">
        <w:rPr>
          <w:rFonts w:ascii="Avenir Book" w:hAnsi="Avenir Book"/>
          <w:sz w:val="22"/>
          <w:szCs w:val="22"/>
        </w:rPr>
        <w:t xml:space="preserve">Intersectionality is </w:t>
      </w:r>
      <w:r w:rsidR="00436AC9" w:rsidRPr="002F5171">
        <w:rPr>
          <w:rFonts w:ascii="Avenir Book" w:hAnsi="Avenir Book"/>
          <w:sz w:val="22"/>
          <w:szCs w:val="22"/>
        </w:rPr>
        <w:t xml:space="preserve">outlined </w:t>
      </w:r>
      <w:r w:rsidR="00064D97" w:rsidRPr="002F5171">
        <w:rPr>
          <w:rFonts w:ascii="Avenir Book" w:hAnsi="Avenir Book"/>
          <w:sz w:val="22"/>
          <w:szCs w:val="22"/>
        </w:rPr>
        <w:t xml:space="preserve">in section </w:t>
      </w:r>
      <w:r w:rsidR="00DA770A" w:rsidRPr="002F5171">
        <w:rPr>
          <w:rFonts w:ascii="Avenir Book" w:hAnsi="Avenir Book"/>
          <w:sz w:val="22"/>
          <w:szCs w:val="22"/>
        </w:rPr>
        <w:t>5</w:t>
      </w:r>
      <w:r w:rsidR="00064D97" w:rsidRPr="002F5171">
        <w:rPr>
          <w:rFonts w:ascii="Avenir Book" w:hAnsi="Avenir Book"/>
          <w:sz w:val="22"/>
          <w:szCs w:val="22"/>
        </w:rPr>
        <w:t xml:space="preserve"> of this submission.</w:t>
      </w:r>
    </w:p>
    <w:p w14:paraId="6D9D09ED" w14:textId="77777777" w:rsidR="000E3188" w:rsidRPr="002F5171" w:rsidRDefault="000E3188" w:rsidP="002245C0">
      <w:pPr>
        <w:pStyle w:val="ListParagraph"/>
        <w:ind w:left="0"/>
        <w:rPr>
          <w:rFonts w:ascii="Avenir Book" w:hAnsi="Avenir Book"/>
          <w:sz w:val="22"/>
          <w:szCs w:val="22"/>
        </w:rPr>
      </w:pPr>
    </w:p>
    <w:p w14:paraId="5BFD1361" w14:textId="3AC0286F" w:rsidR="00027C8F" w:rsidRPr="002F5171" w:rsidRDefault="00027C8F"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Restrictive practices are often accepted and unregulated practices</w:t>
      </w:r>
      <w:r w:rsidR="00C70D96" w:rsidRPr="002F5171">
        <w:rPr>
          <w:rFonts w:ascii="Avenir Book" w:hAnsi="Avenir Book"/>
          <w:sz w:val="22"/>
          <w:szCs w:val="22"/>
        </w:rPr>
        <w:t xml:space="preserve"> </w:t>
      </w:r>
      <w:r w:rsidRPr="002F5171">
        <w:rPr>
          <w:rFonts w:ascii="Avenir Book" w:hAnsi="Avenir Book"/>
          <w:sz w:val="22"/>
          <w:szCs w:val="22"/>
        </w:rPr>
        <w:t xml:space="preserve">within educational settings, often under the guise of ‘behaviour management’.  In section </w:t>
      </w:r>
      <w:r w:rsidR="00DA770A" w:rsidRPr="002F5171">
        <w:rPr>
          <w:rFonts w:ascii="Avenir Book" w:hAnsi="Avenir Book"/>
          <w:sz w:val="22"/>
          <w:szCs w:val="22"/>
        </w:rPr>
        <w:t>7</w:t>
      </w:r>
      <w:r w:rsidRPr="002F5171">
        <w:rPr>
          <w:rFonts w:ascii="Avenir Book" w:hAnsi="Avenir Book"/>
          <w:sz w:val="22"/>
          <w:szCs w:val="22"/>
        </w:rPr>
        <w:t xml:space="preserve">, we outline how these practices constitute torture and ill-treatment under the CRPD and international human </w:t>
      </w:r>
      <w:r w:rsidR="002245C0" w:rsidRPr="002F5171">
        <w:rPr>
          <w:rFonts w:ascii="Avenir Book" w:hAnsi="Avenir Book"/>
          <w:sz w:val="22"/>
          <w:szCs w:val="22"/>
        </w:rPr>
        <w:t>rights law and</w:t>
      </w:r>
      <w:r w:rsidRPr="002F5171">
        <w:rPr>
          <w:rFonts w:ascii="Avenir Book" w:hAnsi="Avenir Book"/>
          <w:sz w:val="22"/>
          <w:szCs w:val="22"/>
        </w:rPr>
        <w:t xml:space="preserve"> </w:t>
      </w:r>
      <w:r w:rsidR="00C70D96" w:rsidRPr="002F5171">
        <w:rPr>
          <w:rFonts w:ascii="Avenir Book" w:hAnsi="Avenir Book"/>
          <w:sz w:val="22"/>
          <w:szCs w:val="22"/>
        </w:rPr>
        <w:t xml:space="preserve">argue that </w:t>
      </w:r>
      <w:r w:rsidRPr="002F5171">
        <w:rPr>
          <w:rFonts w:ascii="Avenir Book" w:hAnsi="Avenir Book"/>
          <w:sz w:val="22"/>
          <w:szCs w:val="22"/>
        </w:rPr>
        <w:t xml:space="preserve">they need to be understood </w:t>
      </w:r>
      <w:r w:rsidR="00AE502C" w:rsidRPr="002F5171">
        <w:rPr>
          <w:rFonts w:ascii="Avenir Book" w:hAnsi="Avenir Book"/>
          <w:sz w:val="22"/>
          <w:szCs w:val="22"/>
        </w:rPr>
        <w:t xml:space="preserve">and addressed </w:t>
      </w:r>
      <w:r w:rsidR="00C70D96" w:rsidRPr="002F5171">
        <w:rPr>
          <w:rFonts w:ascii="Avenir Book" w:hAnsi="Avenir Book"/>
          <w:sz w:val="22"/>
          <w:szCs w:val="22"/>
        </w:rPr>
        <w:t>by the Royal Commission within</w:t>
      </w:r>
      <w:r w:rsidRPr="002F5171">
        <w:rPr>
          <w:rFonts w:ascii="Avenir Book" w:hAnsi="Avenir Book"/>
          <w:sz w:val="22"/>
          <w:szCs w:val="22"/>
        </w:rPr>
        <w:t xml:space="preserve"> this framework</w:t>
      </w:r>
      <w:r w:rsidR="00C70D96" w:rsidRPr="002F5171">
        <w:rPr>
          <w:rFonts w:ascii="Avenir Book" w:hAnsi="Avenir Book"/>
          <w:sz w:val="22"/>
          <w:szCs w:val="22"/>
        </w:rPr>
        <w:t>.</w:t>
      </w:r>
      <w:r w:rsidRPr="002F5171">
        <w:rPr>
          <w:rFonts w:ascii="Avenir Book" w:hAnsi="Avenir Book"/>
          <w:sz w:val="22"/>
          <w:szCs w:val="22"/>
        </w:rPr>
        <w:t xml:space="preserve"> </w:t>
      </w:r>
    </w:p>
    <w:p w14:paraId="69E3AF34" w14:textId="77777777" w:rsidR="000E3188" w:rsidRPr="002F5171" w:rsidRDefault="000E3188" w:rsidP="002245C0">
      <w:pPr>
        <w:pStyle w:val="ListParagraph"/>
        <w:ind w:left="0"/>
        <w:rPr>
          <w:rFonts w:ascii="Avenir Book" w:hAnsi="Avenir Book"/>
          <w:sz w:val="22"/>
          <w:szCs w:val="22"/>
        </w:rPr>
      </w:pPr>
    </w:p>
    <w:p w14:paraId="0A7AE341" w14:textId="0920AB22" w:rsidR="00064D97" w:rsidRPr="002F5171" w:rsidRDefault="00C70D96"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 xml:space="preserve">Inclusive education has the potential to be a critical facilitator of human rights for people with disability, particular in its role in building knowledge, skills and capacity in decision-making and autonomy, and in recognising all forms of </w:t>
      </w:r>
      <w:r w:rsidR="002262A9" w:rsidRPr="002F5171">
        <w:rPr>
          <w:rFonts w:ascii="Avenir Book" w:hAnsi="Avenir Book"/>
          <w:sz w:val="22"/>
          <w:szCs w:val="22"/>
        </w:rPr>
        <w:t>violence</w:t>
      </w:r>
      <w:r w:rsidRPr="002F5171">
        <w:rPr>
          <w:rFonts w:ascii="Avenir Book" w:hAnsi="Avenir Book"/>
          <w:sz w:val="22"/>
          <w:szCs w:val="22"/>
        </w:rPr>
        <w:t xml:space="preserve"> and rights to </w:t>
      </w:r>
      <w:r w:rsidR="002262A9" w:rsidRPr="002F5171">
        <w:rPr>
          <w:rFonts w:ascii="Avenir Book" w:hAnsi="Avenir Book"/>
          <w:sz w:val="22"/>
          <w:szCs w:val="22"/>
        </w:rPr>
        <w:t>bodily integrity</w:t>
      </w:r>
      <w:r w:rsidRPr="002F5171">
        <w:rPr>
          <w:rFonts w:ascii="Avenir Book" w:hAnsi="Avenir Book"/>
          <w:sz w:val="22"/>
          <w:szCs w:val="22"/>
        </w:rPr>
        <w:t xml:space="preserve">. This is discussed in section </w:t>
      </w:r>
      <w:r w:rsidR="00DA770A" w:rsidRPr="002F5171">
        <w:rPr>
          <w:rFonts w:ascii="Avenir Book" w:hAnsi="Avenir Book"/>
          <w:sz w:val="22"/>
          <w:szCs w:val="22"/>
        </w:rPr>
        <w:t>9</w:t>
      </w:r>
      <w:r w:rsidRPr="002F5171">
        <w:rPr>
          <w:rFonts w:ascii="Avenir Book" w:hAnsi="Avenir Book"/>
          <w:sz w:val="22"/>
          <w:szCs w:val="22"/>
        </w:rPr>
        <w:t>.</w:t>
      </w:r>
    </w:p>
    <w:p w14:paraId="71B9238C" w14:textId="77777777" w:rsidR="000E3188" w:rsidRPr="002F5171" w:rsidRDefault="000E3188" w:rsidP="002245C0">
      <w:pPr>
        <w:pStyle w:val="ListParagraph"/>
        <w:ind w:left="0"/>
        <w:rPr>
          <w:rFonts w:ascii="Avenir Book" w:hAnsi="Avenir Book"/>
          <w:sz w:val="22"/>
          <w:szCs w:val="22"/>
        </w:rPr>
      </w:pPr>
    </w:p>
    <w:p w14:paraId="4A435BA6" w14:textId="6013E286" w:rsidR="00A131E4" w:rsidRPr="002F5171" w:rsidRDefault="001F0632"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O</w:t>
      </w:r>
      <w:r w:rsidR="00FA77DE" w:rsidRPr="002F5171">
        <w:rPr>
          <w:rFonts w:ascii="Avenir Book" w:hAnsi="Avenir Book"/>
          <w:sz w:val="22"/>
          <w:szCs w:val="22"/>
        </w:rPr>
        <w:t xml:space="preserve">ur submission </w:t>
      </w:r>
      <w:r w:rsidR="0005244C" w:rsidRPr="002F5171">
        <w:rPr>
          <w:rFonts w:ascii="Avenir Book" w:hAnsi="Avenir Book"/>
          <w:sz w:val="22"/>
          <w:szCs w:val="22"/>
        </w:rPr>
        <w:t xml:space="preserve">provides an overview of </w:t>
      </w:r>
      <w:r w:rsidRPr="002F5171">
        <w:rPr>
          <w:rFonts w:ascii="Avenir Book" w:hAnsi="Avenir Book"/>
          <w:sz w:val="22"/>
          <w:szCs w:val="22"/>
        </w:rPr>
        <w:t xml:space="preserve">key human rights </w:t>
      </w:r>
      <w:r w:rsidR="00FA761D" w:rsidRPr="002F5171">
        <w:rPr>
          <w:rFonts w:ascii="Avenir Book" w:hAnsi="Avenir Book"/>
          <w:sz w:val="22"/>
          <w:szCs w:val="22"/>
        </w:rPr>
        <w:t xml:space="preserve">issues and </w:t>
      </w:r>
      <w:r w:rsidR="009C5B2D" w:rsidRPr="002F5171">
        <w:rPr>
          <w:rFonts w:ascii="Avenir Book" w:hAnsi="Avenir Book"/>
          <w:sz w:val="22"/>
          <w:szCs w:val="22"/>
        </w:rPr>
        <w:t>the intersection between gender and disability</w:t>
      </w:r>
      <w:r w:rsidR="00FA761D" w:rsidRPr="002F5171">
        <w:rPr>
          <w:rFonts w:ascii="Avenir Book" w:hAnsi="Avenir Book"/>
          <w:sz w:val="22"/>
          <w:szCs w:val="22"/>
        </w:rPr>
        <w:t xml:space="preserve"> in relation to the area of education and learning</w:t>
      </w:r>
      <w:r w:rsidR="009C5B2D" w:rsidRPr="002F5171">
        <w:rPr>
          <w:rFonts w:ascii="Avenir Book" w:hAnsi="Avenir Book"/>
          <w:sz w:val="22"/>
          <w:szCs w:val="22"/>
        </w:rPr>
        <w:t xml:space="preserve">. </w:t>
      </w:r>
      <w:r w:rsidR="00FA761D" w:rsidRPr="002F5171">
        <w:rPr>
          <w:rFonts w:ascii="Avenir Book" w:hAnsi="Avenir Book"/>
          <w:sz w:val="22"/>
          <w:szCs w:val="22"/>
        </w:rPr>
        <w:t xml:space="preserve"> </w:t>
      </w:r>
      <w:r w:rsidR="0005244C" w:rsidRPr="002F5171">
        <w:rPr>
          <w:rFonts w:ascii="Avenir Book" w:hAnsi="Avenir Book"/>
          <w:sz w:val="22"/>
          <w:szCs w:val="22"/>
        </w:rPr>
        <w:t xml:space="preserve">We highlight overarching concerns with </w:t>
      </w:r>
      <w:r w:rsidR="00EF7535" w:rsidRPr="002F5171">
        <w:rPr>
          <w:rFonts w:ascii="Avenir Book" w:hAnsi="Avenir Book"/>
          <w:sz w:val="22"/>
          <w:szCs w:val="22"/>
        </w:rPr>
        <w:t xml:space="preserve">aspects of </w:t>
      </w:r>
      <w:r w:rsidR="0005244C" w:rsidRPr="002F5171">
        <w:rPr>
          <w:rFonts w:ascii="Avenir Book" w:hAnsi="Avenir Book"/>
          <w:sz w:val="22"/>
          <w:szCs w:val="22"/>
        </w:rPr>
        <w:t xml:space="preserve">the Royal Commission’s focus in the area of education and learning and its lack of intersectional analysis </w:t>
      </w:r>
      <w:r w:rsidR="002F440E" w:rsidRPr="002F5171">
        <w:rPr>
          <w:rFonts w:ascii="Avenir Book" w:hAnsi="Avenir Book"/>
          <w:sz w:val="22"/>
          <w:szCs w:val="22"/>
        </w:rPr>
        <w:t xml:space="preserve">in its work </w:t>
      </w:r>
      <w:r w:rsidR="0005244C" w:rsidRPr="002F5171">
        <w:rPr>
          <w:rFonts w:ascii="Avenir Book" w:hAnsi="Avenir Book"/>
          <w:sz w:val="22"/>
          <w:szCs w:val="22"/>
        </w:rPr>
        <w:t xml:space="preserve">to date.  </w:t>
      </w:r>
      <w:r w:rsidR="00FA761D" w:rsidRPr="002F5171">
        <w:rPr>
          <w:rFonts w:ascii="Avenir Book" w:hAnsi="Avenir Book"/>
          <w:sz w:val="22"/>
          <w:szCs w:val="22"/>
        </w:rPr>
        <w:t xml:space="preserve">We argue that </w:t>
      </w:r>
      <w:r w:rsidR="0005244C" w:rsidRPr="002F5171">
        <w:rPr>
          <w:rFonts w:ascii="Avenir Book" w:hAnsi="Avenir Book"/>
          <w:sz w:val="22"/>
          <w:szCs w:val="22"/>
        </w:rPr>
        <w:t xml:space="preserve">human rights, strong adherence to the CRPD, and intersectionality </w:t>
      </w:r>
      <w:r w:rsidR="00A131E4" w:rsidRPr="002F5171">
        <w:rPr>
          <w:rFonts w:ascii="Avenir Book" w:hAnsi="Avenir Book"/>
          <w:sz w:val="22"/>
          <w:szCs w:val="22"/>
        </w:rPr>
        <w:t xml:space="preserve">needs to underpin the work of the Royal Commission not just in the area of education and learning but </w:t>
      </w:r>
      <w:r w:rsidR="00AE502C" w:rsidRPr="002F5171">
        <w:rPr>
          <w:rFonts w:ascii="Avenir Book" w:hAnsi="Avenir Book"/>
          <w:sz w:val="22"/>
          <w:szCs w:val="22"/>
        </w:rPr>
        <w:t>in all its work.</w:t>
      </w:r>
      <w:r w:rsidR="00A131E4" w:rsidRPr="002F5171">
        <w:rPr>
          <w:rFonts w:ascii="Avenir Book" w:hAnsi="Avenir Book"/>
          <w:sz w:val="22"/>
          <w:szCs w:val="22"/>
        </w:rPr>
        <w:t xml:space="preserve">  </w:t>
      </w:r>
    </w:p>
    <w:p w14:paraId="170F4EE7" w14:textId="77777777" w:rsidR="000E3188" w:rsidRPr="002F5171" w:rsidRDefault="000E3188" w:rsidP="002245C0">
      <w:pPr>
        <w:pStyle w:val="ListParagraph"/>
        <w:ind w:left="0"/>
        <w:rPr>
          <w:rFonts w:ascii="Avenir Book" w:hAnsi="Avenir Book"/>
          <w:sz w:val="22"/>
          <w:szCs w:val="22"/>
        </w:rPr>
      </w:pPr>
    </w:p>
    <w:p w14:paraId="4A99E649" w14:textId="43DB491A" w:rsidR="00BE01FB" w:rsidRPr="002F5171" w:rsidRDefault="00442937"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 xml:space="preserve">For a comprehensive discussion of </w:t>
      </w:r>
      <w:r w:rsidR="00A352CE" w:rsidRPr="002F5171">
        <w:rPr>
          <w:rFonts w:ascii="Avenir Book" w:hAnsi="Avenir Book"/>
          <w:sz w:val="22"/>
          <w:szCs w:val="22"/>
        </w:rPr>
        <w:t xml:space="preserve">the human rights approach to violence, abuse, neglect and exploitation against people with disability, including women and girls with disability, </w:t>
      </w:r>
      <w:r w:rsidR="00430D9C" w:rsidRPr="002F5171">
        <w:rPr>
          <w:rFonts w:ascii="Avenir Book" w:hAnsi="Avenir Book"/>
          <w:sz w:val="22"/>
          <w:szCs w:val="22"/>
        </w:rPr>
        <w:t>we draw the attention of the Royal Commission to our submission</w:t>
      </w:r>
      <w:r w:rsidR="00A352CE" w:rsidRPr="002F5171">
        <w:rPr>
          <w:rFonts w:ascii="Avenir Book" w:hAnsi="Avenir Book"/>
          <w:sz w:val="22"/>
          <w:szCs w:val="22"/>
        </w:rPr>
        <w:t>,</w:t>
      </w:r>
      <w:r w:rsidR="00430D9C" w:rsidRPr="002F5171">
        <w:rPr>
          <w:rFonts w:ascii="Avenir Book" w:hAnsi="Avenir Book"/>
          <w:sz w:val="22"/>
          <w:szCs w:val="22"/>
        </w:rPr>
        <w:t xml:space="preserve"> as part of DPO Australia (formerly the Australian Cross Disability Alliance) to the Senate Inquiry </w:t>
      </w:r>
      <w:r w:rsidR="00430D9C" w:rsidRPr="002F5171">
        <w:rPr>
          <w:rFonts w:ascii="Avenir Book" w:hAnsi="Avenir Book"/>
          <w:sz w:val="22"/>
          <w:szCs w:val="22"/>
        </w:rPr>
        <w:lastRenderedPageBreak/>
        <w:t>into violence, abuse and neglect against people with disability.</w:t>
      </w:r>
      <w:r w:rsidR="00A352CE" w:rsidRPr="002F5171">
        <w:rPr>
          <w:rStyle w:val="FootnoteReference"/>
          <w:rFonts w:ascii="Avenir Book" w:hAnsi="Avenir Book"/>
          <w:sz w:val="22"/>
          <w:szCs w:val="22"/>
        </w:rPr>
        <w:footnoteReference w:id="14"/>
      </w:r>
      <w:r w:rsidR="00A352CE" w:rsidRPr="002F5171">
        <w:rPr>
          <w:rFonts w:ascii="Avenir Book" w:hAnsi="Avenir Book"/>
          <w:sz w:val="22"/>
          <w:szCs w:val="22"/>
        </w:rPr>
        <w:t xml:space="preserve"> </w:t>
      </w:r>
      <w:r w:rsidR="00430D9C" w:rsidRPr="002F5171">
        <w:rPr>
          <w:rFonts w:ascii="Avenir Book" w:hAnsi="Avenir Book"/>
          <w:sz w:val="22"/>
          <w:szCs w:val="22"/>
        </w:rPr>
        <w:t>Th</w:t>
      </w:r>
      <w:r w:rsidR="00A352CE" w:rsidRPr="002F5171">
        <w:rPr>
          <w:rFonts w:ascii="Avenir Book" w:hAnsi="Avenir Book"/>
          <w:sz w:val="22"/>
          <w:szCs w:val="22"/>
        </w:rPr>
        <w:t xml:space="preserve">is </w:t>
      </w:r>
      <w:r w:rsidR="00430D9C" w:rsidRPr="002F5171">
        <w:rPr>
          <w:rFonts w:ascii="Avenir Book" w:hAnsi="Avenir Book"/>
          <w:sz w:val="22"/>
          <w:szCs w:val="22"/>
        </w:rPr>
        <w:t xml:space="preserve">submission comprehensively examines the human rights conceptualisation of ‘disability’, ‘intersectionality’ and ‘violence against people with disability’; provides information on the scope and prevalence of violence, including gendered disability violence; outlines human rights violations that constitute violence, abuse, neglect and exploitation against people with disability; and highlights failures in the Australian legislative, policy and service landscape in relation to violence.  </w:t>
      </w:r>
    </w:p>
    <w:p w14:paraId="107B8BFA" w14:textId="77777777" w:rsidR="000E3188" w:rsidRPr="002F5171" w:rsidRDefault="000E3188" w:rsidP="002245C0">
      <w:pPr>
        <w:pStyle w:val="ListParagraph"/>
        <w:ind w:left="0"/>
        <w:rPr>
          <w:rFonts w:ascii="Avenir Book" w:hAnsi="Avenir Book"/>
          <w:sz w:val="22"/>
          <w:szCs w:val="22"/>
        </w:rPr>
      </w:pPr>
    </w:p>
    <w:p w14:paraId="2D2263B7" w14:textId="0B34614F" w:rsidR="00430D9C" w:rsidRPr="002F5171" w:rsidRDefault="00BE01FB" w:rsidP="00EF5411">
      <w:pPr>
        <w:pStyle w:val="ListParagraph"/>
        <w:numPr>
          <w:ilvl w:val="1"/>
          <w:numId w:val="22"/>
        </w:numPr>
        <w:ind w:left="993" w:hanging="567"/>
        <w:rPr>
          <w:rFonts w:ascii="Avenir Book" w:hAnsi="Avenir Book"/>
          <w:sz w:val="22"/>
          <w:szCs w:val="22"/>
        </w:rPr>
      </w:pPr>
      <w:r w:rsidRPr="002F5171">
        <w:rPr>
          <w:rFonts w:ascii="Avenir Book" w:hAnsi="Avenir Book"/>
          <w:sz w:val="22"/>
          <w:szCs w:val="22"/>
        </w:rPr>
        <w:t xml:space="preserve">For a comprehensive discussion of </w:t>
      </w:r>
      <w:r w:rsidR="00436AC9" w:rsidRPr="002F5171">
        <w:rPr>
          <w:rFonts w:ascii="Avenir Book" w:hAnsi="Avenir Book"/>
          <w:sz w:val="22"/>
          <w:szCs w:val="22"/>
        </w:rPr>
        <w:t xml:space="preserve">the human rights approach to violence, abuse, neglect and exploitation specific to women and girls with disability, we draw the attention of the Royal Commission to </w:t>
      </w:r>
      <w:r w:rsidR="00AE502C" w:rsidRPr="002F5171">
        <w:rPr>
          <w:rFonts w:ascii="Avenir Book" w:hAnsi="Avenir Book"/>
          <w:sz w:val="22"/>
          <w:szCs w:val="22"/>
        </w:rPr>
        <w:t>the</w:t>
      </w:r>
      <w:r w:rsidR="00436AC9" w:rsidRPr="002F5171">
        <w:rPr>
          <w:rFonts w:ascii="Avenir Book" w:hAnsi="Avenir Book"/>
          <w:sz w:val="22"/>
          <w:szCs w:val="22"/>
        </w:rPr>
        <w:t xml:space="preserve"> paper, </w:t>
      </w:r>
      <w:r w:rsidR="00436AC9" w:rsidRPr="002F5171">
        <w:rPr>
          <w:rFonts w:ascii="Avenir Book" w:hAnsi="Avenir Book"/>
          <w:i/>
          <w:sz w:val="22"/>
          <w:szCs w:val="22"/>
        </w:rPr>
        <w:t>Preventing Violence against Women and Girls with Disabilities: Integrating A Human Rights Perspective</w:t>
      </w:r>
      <w:r w:rsidR="00436AC9" w:rsidRPr="002F5171">
        <w:rPr>
          <w:rFonts w:ascii="Avenir Book" w:hAnsi="Avenir Book"/>
          <w:sz w:val="22"/>
          <w:szCs w:val="22"/>
        </w:rPr>
        <w:t>.</w:t>
      </w:r>
      <w:r w:rsidR="00436AC9" w:rsidRPr="002F5171">
        <w:rPr>
          <w:rStyle w:val="FootnoteReference"/>
          <w:rFonts w:ascii="Avenir Book" w:hAnsi="Avenir Book"/>
          <w:sz w:val="22"/>
          <w:szCs w:val="22"/>
        </w:rPr>
        <w:footnoteReference w:id="15"/>
      </w:r>
      <w:r w:rsidR="00436AC9" w:rsidRPr="002F5171">
        <w:rPr>
          <w:rFonts w:ascii="Avenir Book" w:hAnsi="Avenir Book"/>
          <w:sz w:val="22"/>
          <w:szCs w:val="22"/>
        </w:rPr>
        <w:t xml:space="preserve"> This paper elaborates substantially on key points ma</w:t>
      </w:r>
      <w:r w:rsidR="00AE502C" w:rsidRPr="002F5171">
        <w:rPr>
          <w:rFonts w:ascii="Avenir Book" w:hAnsi="Avenir Book"/>
          <w:sz w:val="22"/>
          <w:szCs w:val="22"/>
        </w:rPr>
        <w:t>de</w:t>
      </w:r>
      <w:r w:rsidR="00436AC9" w:rsidRPr="002F5171">
        <w:rPr>
          <w:rFonts w:ascii="Avenir Book" w:hAnsi="Avenir Book"/>
          <w:sz w:val="22"/>
          <w:szCs w:val="22"/>
        </w:rPr>
        <w:t xml:space="preserve"> in this submission. </w:t>
      </w:r>
    </w:p>
    <w:p w14:paraId="58930D57" w14:textId="77777777" w:rsidR="00430D9C" w:rsidRPr="002F5171" w:rsidRDefault="00430D9C" w:rsidP="00121931">
      <w:pPr>
        <w:spacing w:line="276" w:lineRule="auto"/>
        <w:rPr>
          <w:rFonts w:ascii="Avenir Book" w:hAnsi="Avenir Book" w:cs="Calibri"/>
          <w:sz w:val="22"/>
          <w:szCs w:val="22"/>
        </w:rPr>
      </w:pPr>
    </w:p>
    <w:p w14:paraId="60816A20" w14:textId="77777777" w:rsidR="00436AC9" w:rsidRPr="002F5171" w:rsidRDefault="00436AC9" w:rsidP="00121931">
      <w:pPr>
        <w:spacing w:line="276" w:lineRule="auto"/>
        <w:rPr>
          <w:rFonts w:ascii="Avenir Book" w:hAnsi="Avenir Book" w:cs="Calibri"/>
          <w:color w:val="000000" w:themeColor="text1"/>
          <w:sz w:val="22"/>
          <w:szCs w:val="22"/>
        </w:rPr>
      </w:pPr>
    </w:p>
    <w:p w14:paraId="42E28CB0" w14:textId="77777777" w:rsidR="00CC74E7" w:rsidRPr="002F5171" w:rsidRDefault="00CC74E7" w:rsidP="00121931">
      <w:pPr>
        <w:spacing w:line="276" w:lineRule="auto"/>
        <w:rPr>
          <w:rFonts w:ascii="Avenir Book" w:hAnsi="Avenir Book" w:cs="Calibri"/>
          <w:color w:val="000000" w:themeColor="text1"/>
          <w:sz w:val="22"/>
          <w:szCs w:val="22"/>
        </w:rPr>
      </w:pPr>
    </w:p>
    <w:p w14:paraId="047B20B3" w14:textId="77777777" w:rsidR="00CC74E7" w:rsidRPr="002F5171" w:rsidRDefault="00CC74E7" w:rsidP="00121931">
      <w:pPr>
        <w:spacing w:line="276" w:lineRule="auto"/>
        <w:rPr>
          <w:rFonts w:ascii="Avenir Book" w:hAnsi="Avenir Book" w:cs="Calibri"/>
          <w:color w:val="000000" w:themeColor="text1"/>
          <w:sz w:val="22"/>
          <w:szCs w:val="22"/>
        </w:rPr>
      </w:pPr>
    </w:p>
    <w:p w14:paraId="019F30AC" w14:textId="77777777" w:rsidR="009802D8" w:rsidRDefault="009802D8">
      <w:pPr>
        <w:rPr>
          <w:rFonts w:ascii="Calibri" w:eastAsiaTheme="minorHAnsi" w:hAnsi="Calibri" w:cs="Calibri"/>
          <w:b/>
          <w:color w:val="7030A0"/>
          <w:sz w:val="28"/>
        </w:rPr>
      </w:pPr>
      <w:r>
        <w:rPr>
          <w:rFonts w:ascii="Calibri" w:hAnsi="Calibri" w:cs="Calibri"/>
          <w:color w:val="7030A0"/>
        </w:rPr>
        <w:br w:type="page"/>
      </w:r>
    </w:p>
    <w:p w14:paraId="4A7EC9C2" w14:textId="5E2DF430" w:rsidR="00D7106F" w:rsidRPr="00896999" w:rsidRDefault="00C942E7" w:rsidP="00EF5411">
      <w:pPr>
        <w:pStyle w:val="Heading2"/>
        <w:numPr>
          <w:ilvl w:val="0"/>
          <w:numId w:val="13"/>
        </w:numPr>
        <w:ind w:left="426" w:hanging="426"/>
        <w:jc w:val="left"/>
        <w:rPr>
          <w:rFonts w:ascii="Avenir Book" w:hAnsi="Avenir Book" w:cs="Calibri"/>
          <w:color w:val="AC1F79"/>
        </w:rPr>
      </w:pPr>
      <w:bookmarkStart w:id="82" w:name="_Toc32759988"/>
      <w:r w:rsidRPr="00896999">
        <w:rPr>
          <w:rFonts w:ascii="Avenir Book" w:hAnsi="Avenir Book" w:cs="Calibri"/>
          <w:color w:val="AC1F79"/>
        </w:rPr>
        <w:lastRenderedPageBreak/>
        <w:t>I</w:t>
      </w:r>
      <w:r w:rsidR="00430D9C" w:rsidRPr="00896999">
        <w:rPr>
          <w:rFonts w:ascii="Avenir Book" w:hAnsi="Avenir Book" w:cs="Calibri"/>
          <w:color w:val="AC1F79"/>
        </w:rPr>
        <w:t xml:space="preserve">nclusive education </w:t>
      </w:r>
      <w:r w:rsidRPr="00896999">
        <w:rPr>
          <w:rFonts w:ascii="Avenir Book" w:hAnsi="Avenir Book" w:cs="Calibri"/>
          <w:color w:val="AC1F79"/>
        </w:rPr>
        <w:t>– right denied</w:t>
      </w:r>
      <w:bookmarkEnd w:id="82"/>
    </w:p>
    <w:p w14:paraId="237AF231" w14:textId="77777777" w:rsidR="00430D9C" w:rsidRPr="00896999" w:rsidRDefault="00430D9C" w:rsidP="00430D9C">
      <w:pPr>
        <w:rPr>
          <w:rFonts w:ascii="Avenir Book" w:hAnsi="Avenir Book"/>
          <w:sz w:val="22"/>
          <w:szCs w:val="22"/>
        </w:rPr>
      </w:pPr>
    </w:p>
    <w:p w14:paraId="685C3B56" w14:textId="62D33AF2" w:rsidR="00430D9C" w:rsidRPr="00896999" w:rsidRDefault="00430D9C"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 xml:space="preserve">As noted in the Issues Paper, the right to inclusive education is guaranteed in article 24 of the CRPD.  Guidance on interpretation and implementation of article 24 is </w:t>
      </w:r>
      <w:r w:rsidR="00602D8C" w:rsidRPr="00896999">
        <w:rPr>
          <w:rFonts w:ascii="Avenir Book" w:hAnsi="Avenir Book"/>
          <w:sz w:val="22"/>
          <w:szCs w:val="22"/>
        </w:rPr>
        <w:t>provided</w:t>
      </w:r>
      <w:r w:rsidRPr="00896999">
        <w:rPr>
          <w:rFonts w:ascii="Avenir Book" w:hAnsi="Avenir Book"/>
          <w:sz w:val="22"/>
          <w:szCs w:val="22"/>
        </w:rPr>
        <w:t xml:space="preserve"> in General Comment </w:t>
      </w:r>
      <w:r w:rsidR="00602D8C" w:rsidRPr="00896999">
        <w:rPr>
          <w:rFonts w:ascii="Avenir Book" w:hAnsi="Avenir Book"/>
          <w:sz w:val="22"/>
          <w:szCs w:val="22"/>
        </w:rPr>
        <w:t xml:space="preserve">No. </w:t>
      </w:r>
      <w:r w:rsidRPr="00896999">
        <w:rPr>
          <w:rFonts w:ascii="Avenir Book" w:hAnsi="Avenir Book"/>
          <w:sz w:val="22"/>
          <w:szCs w:val="22"/>
        </w:rPr>
        <w:t xml:space="preserve">4 on the right to inclusive education.  General Comment </w:t>
      </w:r>
      <w:r w:rsidR="00602D8C" w:rsidRPr="00896999">
        <w:rPr>
          <w:rFonts w:ascii="Avenir Book" w:hAnsi="Avenir Book"/>
          <w:sz w:val="22"/>
          <w:szCs w:val="22"/>
        </w:rPr>
        <w:t xml:space="preserve">No. </w:t>
      </w:r>
      <w:r w:rsidRPr="00896999">
        <w:rPr>
          <w:rFonts w:ascii="Avenir Book" w:hAnsi="Avenir Book"/>
          <w:sz w:val="22"/>
          <w:szCs w:val="22"/>
        </w:rPr>
        <w:t>4 makes clear that segregated models of education, including special schools or separate units within mainstream schools contravene the CRPD.</w:t>
      </w:r>
      <w:r w:rsidR="00602D8C" w:rsidRPr="00896999">
        <w:rPr>
          <w:rStyle w:val="FootnoteReference"/>
          <w:rFonts w:ascii="Avenir Book" w:hAnsi="Avenir Book"/>
          <w:sz w:val="22"/>
          <w:szCs w:val="22"/>
        </w:rPr>
        <w:footnoteReference w:id="16"/>
      </w:r>
      <w:r w:rsidRPr="00896999">
        <w:rPr>
          <w:rFonts w:ascii="Avenir Book" w:hAnsi="Avenir Book"/>
          <w:sz w:val="22"/>
          <w:szCs w:val="22"/>
        </w:rPr>
        <w:t xml:space="preserve"> </w:t>
      </w:r>
    </w:p>
    <w:p w14:paraId="5C893D8A" w14:textId="77777777" w:rsidR="007919F5" w:rsidRPr="00896999" w:rsidRDefault="007919F5" w:rsidP="00A16A73">
      <w:pPr>
        <w:pStyle w:val="ListParagraph"/>
        <w:ind w:left="0"/>
        <w:rPr>
          <w:rFonts w:ascii="Avenir Book" w:hAnsi="Avenir Book"/>
          <w:sz w:val="22"/>
          <w:szCs w:val="22"/>
        </w:rPr>
      </w:pPr>
    </w:p>
    <w:p w14:paraId="53512936" w14:textId="2176301F" w:rsidR="00430D9C" w:rsidRPr="00896999" w:rsidRDefault="00430D9C"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 xml:space="preserve">This is reinforced in General Comment </w:t>
      </w:r>
      <w:r w:rsidR="00602D8C" w:rsidRPr="00896999">
        <w:rPr>
          <w:rFonts w:ascii="Avenir Book" w:hAnsi="Avenir Book"/>
          <w:sz w:val="22"/>
          <w:szCs w:val="22"/>
        </w:rPr>
        <w:t>No.</w:t>
      </w:r>
      <w:r w:rsidRPr="00896999">
        <w:rPr>
          <w:rFonts w:ascii="Avenir Book" w:hAnsi="Avenir Book"/>
          <w:sz w:val="22"/>
          <w:szCs w:val="22"/>
        </w:rPr>
        <w:t>6 on equality and non-discrimination, which states that segregated models of education contravene the CRPD</w:t>
      </w:r>
      <w:r w:rsidR="00602D8C" w:rsidRPr="00896999">
        <w:rPr>
          <w:rFonts w:ascii="Avenir Book" w:hAnsi="Avenir Book"/>
          <w:sz w:val="22"/>
          <w:szCs w:val="22"/>
        </w:rPr>
        <w:t>,</w:t>
      </w:r>
      <w:r w:rsidRPr="00896999">
        <w:rPr>
          <w:rFonts w:ascii="Avenir Book" w:hAnsi="Avenir Book"/>
          <w:sz w:val="22"/>
          <w:szCs w:val="22"/>
        </w:rPr>
        <w:t xml:space="preserve"> and the failure to provide inclusive education is discrimination and a direct contravention of articles 5 and 24.</w:t>
      </w:r>
      <w:r w:rsidR="00602D8C" w:rsidRPr="00896999">
        <w:rPr>
          <w:rStyle w:val="FootnoteReference"/>
          <w:rFonts w:ascii="Avenir Book" w:hAnsi="Avenir Book"/>
          <w:sz w:val="22"/>
          <w:szCs w:val="22"/>
        </w:rPr>
        <w:footnoteReference w:id="17"/>
      </w:r>
      <w:r w:rsidRPr="00896999">
        <w:rPr>
          <w:rFonts w:ascii="Avenir Book" w:hAnsi="Avenir Book"/>
          <w:sz w:val="22"/>
          <w:szCs w:val="22"/>
        </w:rPr>
        <w:t xml:space="preserve"> </w:t>
      </w:r>
    </w:p>
    <w:p w14:paraId="5E53E334" w14:textId="77777777" w:rsidR="007919F5" w:rsidRPr="00896999" w:rsidRDefault="007919F5" w:rsidP="00A16A73">
      <w:pPr>
        <w:pStyle w:val="ListParagraph"/>
        <w:ind w:left="0"/>
        <w:rPr>
          <w:rFonts w:ascii="Avenir Book" w:hAnsi="Avenir Book"/>
          <w:sz w:val="22"/>
          <w:szCs w:val="22"/>
        </w:rPr>
      </w:pPr>
    </w:p>
    <w:p w14:paraId="463C2C2D" w14:textId="6DF4BA4F" w:rsidR="00C942E7" w:rsidRPr="00896999" w:rsidRDefault="00722EAA" w:rsidP="00EF5411">
      <w:pPr>
        <w:pStyle w:val="ListParagraph"/>
        <w:numPr>
          <w:ilvl w:val="1"/>
          <w:numId w:val="23"/>
        </w:numPr>
        <w:ind w:left="993" w:hanging="567"/>
        <w:rPr>
          <w:rFonts w:ascii="Avenir Book" w:hAnsi="Avenir Book"/>
          <w:sz w:val="22"/>
          <w:szCs w:val="22"/>
        </w:rPr>
      </w:pPr>
      <w:r w:rsidRPr="00896999">
        <w:rPr>
          <w:rFonts w:ascii="Avenir Book" w:hAnsi="Avenir Book" w:cstheme="minorHAnsi"/>
          <w:sz w:val="22"/>
          <w:szCs w:val="22"/>
        </w:rPr>
        <w:t>People with disability rarely receive a genuine inclusive educational experience in Australia.</w:t>
      </w:r>
      <w:r w:rsidRPr="00896999">
        <w:rPr>
          <w:rStyle w:val="FootnoteReference"/>
          <w:rFonts w:ascii="Avenir Book" w:hAnsi="Avenir Book" w:cstheme="minorHAnsi"/>
          <w:sz w:val="22"/>
          <w:szCs w:val="22"/>
        </w:rPr>
        <w:footnoteReference w:id="18"/>
      </w:r>
      <w:r w:rsidRPr="00896999">
        <w:rPr>
          <w:rFonts w:ascii="Avenir Book" w:hAnsi="Avenir Book" w:cstheme="minorHAnsi"/>
          <w:sz w:val="22"/>
          <w:szCs w:val="22"/>
        </w:rPr>
        <w:t xml:space="preserve"> Over the past decade, segregation of students with disability has increased significantly, with a 35% increase in students with disability attending special schools.</w:t>
      </w:r>
      <w:r w:rsidR="0042139D" w:rsidRPr="00896999">
        <w:rPr>
          <w:rStyle w:val="FootnoteReference"/>
          <w:rFonts w:ascii="Avenir Book" w:hAnsi="Avenir Book" w:cstheme="minorHAnsi"/>
          <w:sz w:val="22"/>
          <w:szCs w:val="22"/>
        </w:rPr>
        <w:footnoteReference w:id="19"/>
      </w:r>
      <w:r w:rsidRPr="00896999">
        <w:rPr>
          <w:rFonts w:ascii="Avenir Book" w:hAnsi="Avenir Book" w:cstheme="minorHAnsi"/>
          <w:sz w:val="22"/>
          <w:szCs w:val="22"/>
        </w:rPr>
        <w:t xml:space="preserve"> Funding incentives support this increase, with higher funding going to children with disability if they attend a special school rather than a mainstream school</w:t>
      </w:r>
      <w:r w:rsidR="0042139D" w:rsidRPr="00896999">
        <w:rPr>
          <w:rFonts w:ascii="Avenir Book" w:hAnsi="Avenir Book" w:cstheme="minorHAnsi"/>
          <w:sz w:val="22"/>
          <w:szCs w:val="22"/>
        </w:rPr>
        <w:t>.</w:t>
      </w:r>
      <w:r w:rsidR="0042139D" w:rsidRPr="00896999">
        <w:rPr>
          <w:rStyle w:val="FootnoteReference"/>
          <w:rFonts w:ascii="Avenir Book" w:hAnsi="Avenir Book" w:cstheme="minorHAnsi"/>
          <w:sz w:val="22"/>
          <w:szCs w:val="22"/>
        </w:rPr>
        <w:footnoteReference w:id="20"/>
      </w:r>
    </w:p>
    <w:p w14:paraId="69912D2F" w14:textId="77777777" w:rsidR="007919F5" w:rsidRPr="00896999" w:rsidRDefault="007919F5" w:rsidP="00A16A73">
      <w:pPr>
        <w:pStyle w:val="ListParagraph"/>
        <w:ind w:left="0"/>
        <w:rPr>
          <w:rFonts w:ascii="Avenir Book" w:hAnsi="Avenir Book"/>
          <w:sz w:val="22"/>
          <w:szCs w:val="22"/>
        </w:rPr>
      </w:pPr>
    </w:p>
    <w:p w14:paraId="54419C00" w14:textId="27CD1931" w:rsidR="00D55985" w:rsidRPr="00896999" w:rsidRDefault="00C942E7" w:rsidP="00EF5411">
      <w:pPr>
        <w:pStyle w:val="ListParagraph"/>
        <w:numPr>
          <w:ilvl w:val="1"/>
          <w:numId w:val="23"/>
        </w:numPr>
        <w:ind w:left="993" w:hanging="567"/>
        <w:rPr>
          <w:rFonts w:ascii="Avenir Book" w:hAnsi="Avenir Book"/>
          <w:sz w:val="22"/>
          <w:szCs w:val="22"/>
        </w:rPr>
      </w:pPr>
      <w:r w:rsidRPr="00896999">
        <w:rPr>
          <w:rFonts w:ascii="Avenir Book" w:hAnsi="Avenir Book" w:cstheme="minorHAnsi"/>
          <w:sz w:val="22"/>
          <w:szCs w:val="22"/>
        </w:rPr>
        <w:t xml:space="preserve">The National Disability Strategy 2010-2020 (NDS), which is the national plan for CRPD implementation, does commit to “an inclusive </w:t>
      </w:r>
      <w:r w:rsidR="00E5747A" w:rsidRPr="00896999">
        <w:rPr>
          <w:rFonts w:ascii="Avenir Book" w:hAnsi="Avenir Book" w:cstheme="minorHAnsi"/>
          <w:sz w:val="22"/>
          <w:szCs w:val="22"/>
        </w:rPr>
        <w:t>high-quality</w:t>
      </w:r>
      <w:r w:rsidRPr="00896999">
        <w:rPr>
          <w:rFonts w:ascii="Avenir Book" w:hAnsi="Avenir Book" w:cstheme="minorHAnsi"/>
          <w:sz w:val="22"/>
          <w:szCs w:val="22"/>
        </w:rPr>
        <w:t xml:space="preserve"> education system”</w:t>
      </w:r>
      <w:r w:rsidRPr="00896999">
        <w:rPr>
          <w:rStyle w:val="FootnoteReference"/>
          <w:rFonts w:ascii="Avenir Book" w:hAnsi="Avenir Book" w:cstheme="minorHAnsi"/>
          <w:sz w:val="22"/>
          <w:szCs w:val="22"/>
        </w:rPr>
        <w:footnoteReference w:id="21"/>
      </w:r>
      <w:r w:rsidRPr="00896999">
        <w:rPr>
          <w:rFonts w:ascii="Avenir Book" w:hAnsi="Avenir Book" w:cstheme="minorHAnsi"/>
          <w:sz w:val="22"/>
          <w:szCs w:val="22"/>
        </w:rPr>
        <w:t xml:space="preserve"> but the outcome has not been achieved.</w:t>
      </w:r>
      <w:r w:rsidR="00D55985" w:rsidRPr="00896999">
        <w:rPr>
          <w:rFonts w:ascii="Avenir Book" w:hAnsi="Avenir Book" w:cstheme="minorHAnsi"/>
          <w:sz w:val="22"/>
          <w:szCs w:val="22"/>
        </w:rPr>
        <w:t xml:space="preserve"> </w:t>
      </w:r>
    </w:p>
    <w:p w14:paraId="4E8E563E" w14:textId="77777777" w:rsidR="007919F5" w:rsidRPr="00896999" w:rsidRDefault="007919F5" w:rsidP="00A16A73">
      <w:pPr>
        <w:pStyle w:val="ListParagraph"/>
        <w:ind w:left="0"/>
        <w:rPr>
          <w:rFonts w:ascii="Avenir Book" w:hAnsi="Avenir Book"/>
          <w:sz w:val="22"/>
          <w:szCs w:val="22"/>
        </w:rPr>
      </w:pPr>
    </w:p>
    <w:p w14:paraId="154E22B1" w14:textId="5724436D" w:rsidR="00D55985" w:rsidRPr="00896999" w:rsidRDefault="00C942E7" w:rsidP="00EF5411">
      <w:pPr>
        <w:pStyle w:val="ListParagraph"/>
        <w:numPr>
          <w:ilvl w:val="1"/>
          <w:numId w:val="23"/>
        </w:numPr>
        <w:ind w:left="993" w:hanging="567"/>
        <w:rPr>
          <w:rFonts w:ascii="Avenir Book" w:hAnsi="Avenir Book"/>
          <w:sz w:val="22"/>
          <w:szCs w:val="22"/>
        </w:rPr>
      </w:pPr>
      <w:r w:rsidRPr="00896999">
        <w:rPr>
          <w:rFonts w:ascii="Avenir Book" w:hAnsi="Avenir Book" w:cstheme="minorHAnsi"/>
          <w:sz w:val="22"/>
          <w:szCs w:val="22"/>
        </w:rPr>
        <w:t xml:space="preserve">The NDS does not </w:t>
      </w:r>
      <w:r w:rsidR="001B64B2" w:rsidRPr="00896999">
        <w:rPr>
          <w:rFonts w:ascii="Avenir Book" w:hAnsi="Avenir Book" w:cstheme="minorHAnsi"/>
          <w:sz w:val="22"/>
          <w:szCs w:val="22"/>
        </w:rPr>
        <w:t xml:space="preserve">contain measures to </w:t>
      </w:r>
      <w:r w:rsidRPr="00896999">
        <w:rPr>
          <w:rFonts w:ascii="Avenir Book" w:hAnsi="Avenir Book" w:cstheme="minorHAnsi"/>
          <w:sz w:val="22"/>
          <w:szCs w:val="22"/>
        </w:rPr>
        <w:t>address the gender and disability inequality an</w:t>
      </w:r>
      <w:r w:rsidR="001B64B2" w:rsidRPr="00896999">
        <w:rPr>
          <w:rFonts w:ascii="Avenir Book" w:hAnsi="Avenir Book" w:cstheme="minorHAnsi"/>
          <w:sz w:val="22"/>
          <w:szCs w:val="22"/>
        </w:rPr>
        <w:t>d</w:t>
      </w:r>
      <w:r w:rsidRPr="00896999">
        <w:rPr>
          <w:rFonts w:ascii="Avenir Book" w:hAnsi="Avenir Book" w:cstheme="minorHAnsi"/>
          <w:sz w:val="22"/>
          <w:szCs w:val="22"/>
        </w:rPr>
        <w:t xml:space="preserve"> intersectional discrimination experienced by women and girls with disability</w:t>
      </w:r>
      <w:r w:rsidR="00D55985" w:rsidRPr="00896999">
        <w:rPr>
          <w:rFonts w:ascii="Avenir Book" w:hAnsi="Avenir Book" w:cstheme="minorHAnsi"/>
          <w:sz w:val="22"/>
          <w:szCs w:val="22"/>
        </w:rPr>
        <w:t xml:space="preserve"> in relation to all areas of their life, including in the area of education and learning</w:t>
      </w:r>
      <w:r w:rsidRPr="00896999">
        <w:rPr>
          <w:rFonts w:ascii="Avenir Book" w:hAnsi="Avenir Book" w:cstheme="minorHAnsi"/>
          <w:sz w:val="22"/>
          <w:szCs w:val="22"/>
        </w:rPr>
        <w:t>.</w:t>
      </w:r>
      <w:r w:rsidR="00D55985" w:rsidRPr="00896999">
        <w:rPr>
          <w:rStyle w:val="FootnoteReference"/>
          <w:rFonts w:ascii="Avenir Book" w:hAnsi="Avenir Book" w:cstheme="minorHAnsi"/>
          <w:sz w:val="22"/>
          <w:szCs w:val="22"/>
        </w:rPr>
        <w:footnoteReference w:id="22"/>
      </w:r>
      <w:r w:rsidRPr="00896999">
        <w:rPr>
          <w:rFonts w:ascii="Avenir Book" w:hAnsi="Avenir Book" w:cstheme="minorHAnsi"/>
          <w:sz w:val="22"/>
          <w:szCs w:val="22"/>
        </w:rPr>
        <w:t xml:space="preserve"> </w:t>
      </w:r>
    </w:p>
    <w:p w14:paraId="78E05A00" w14:textId="77777777" w:rsidR="007919F5" w:rsidRPr="00896999" w:rsidRDefault="007919F5" w:rsidP="00A16A73">
      <w:pPr>
        <w:pStyle w:val="ListParagraph"/>
        <w:ind w:left="0"/>
        <w:rPr>
          <w:rFonts w:ascii="Avenir Book" w:hAnsi="Avenir Book"/>
          <w:sz w:val="22"/>
          <w:szCs w:val="22"/>
        </w:rPr>
      </w:pPr>
    </w:p>
    <w:p w14:paraId="4882E9EF" w14:textId="10FCDE12" w:rsidR="00722EAA" w:rsidRPr="00896999" w:rsidRDefault="00722764" w:rsidP="00EF5411">
      <w:pPr>
        <w:pStyle w:val="ListParagraph"/>
        <w:numPr>
          <w:ilvl w:val="1"/>
          <w:numId w:val="23"/>
        </w:numPr>
        <w:ind w:left="993" w:hanging="567"/>
        <w:rPr>
          <w:rFonts w:ascii="Avenir Book" w:hAnsi="Avenir Book"/>
          <w:sz w:val="22"/>
          <w:szCs w:val="22"/>
        </w:rPr>
      </w:pPr>
      <w:r w:rsidRPr="00896999">
        <w:rPr>
          <w:rFonts w:ascii="Avenir Book" w:hAnsi="Avenir Book" w:cstheme="minorHAnsi"/>
          <w:sz w:val="22"/>
          <w:szCs w:val="22"/>
        </w:rPr>
        <w:t xml:space="preserve">The </w:t>
      </w:r>
      <w:r w:rsidRPr="00896999">
        <w:rPr>
          <w:rFonts w:ascii="Avenir Book" w:hAnsi="Avenir Book" w:cstheme="minorHAnsi"/>
          <w:i/>
          <w:sz w:val="22"/>
          <w:szCs w:val="22"/>
        </w:rPr>
        <w:t>Disability Discrimination Act 1992</w:t>
      </w:r>
      <w:r w:rsidRPr="00896999">
        <w:rPr>
          <w:rFonts w:ascii="Avenir Book" w:hAnsi="Avenir Book" w:cstheme="minorHAnsi"/>
          <w:sz w:val="22"/>
          <w:szCs w:val="22"/>
        </w:rPr>
        <w:t xml:space="preserve"> (</w:t>
      </w:r>
      <w:proofErr w:type="spellStart"/>
      <w:r w:rsidRPr="00896999">
        <w:rPr>
          <w:rFonts w:ascii="Avenir Book" w:hAnsi="Avenir Book" w:cstheme="minorHAnsi"/>
          <w:sz w:val="22"/>
          <w:szCs w:val="22"/>
        </w:rPr>
        <w:t>Cth</w:t>
      </w:r>
      <w:proofErr w:type="spellEnd"/>
      <w:r w:rsidRPr="00896999">
        <w:rPr>
          <w:rFonts w:ascii="Avenir Book" w:hAnsi="Avenir Book" w:cstheme="minorHAnsi"/>
          <w:sz w:val="22"/>
          <w:szCs w:val="22"/>
        </w:rPr>
        <w:t xml:space="preserve">) </w:t>
      </w:r>
      <w:r w:rsidR="006E2EC7" w:rsidRPr="00896999">
        <w:rPr>
          <w:rFonts w:ascii="Avenir Book" w:hAnsi="Avenir Book" w:cstheme="minorHAnsi"/>
          <w:sz w:val="22"/>
          <w:szCs w:val="22"/>
        </w:rPr>
        <w:t xml:space="preserve">(DDA) </w:t>
      </w:r>
      <w:r w:rsidRPr="00896999">
        <w:rPr>
          <w:rFonts w:ascii="Avenir Book" w:hAnsi="Avenir Book" w:cstheme="minorHAnsi"/>
          <w:sz w:val="22"/>
          <w:szCs w:val="22"/>
        </w:rPr>
        <w:t>and the Disability Standards for Education (2005) do not provide a legislative or policy framework for inclusive education that fully complies with article 24 and General Comment No. 4.</w:t>
      </w:r>
      <w:r w:rsidR="00A929F4" w:rsidRPr="00896999">
        <w:rPr>
          <w:rStyle w:val="FootnoteReference"/>
          <w:rFonts w:ascii="Avenir Book" w:hAnsi="Avenir Book" w:cstheme="minorHAnsi"/>
          <w:sz w:val="22"/>
          <w:szCs w:val="22"/>
        </w:rPr>
        <w:footnoteReference w:id="23"/>
      </w:r>
      <w:r w:rsidR="006E2EC7" w:rsidRPr="00896999">
        <w:rPr>
          <w:rFonts w:ascii="Avenir Book" w:hAnsi="Avenir Book" w:cstheme="minorHAnsi"/>
          <w:sz w:val="22"/>
          <w:szCs w:val="22"/>
        </w:rPr>
        <w:t xml:space="preserve"> The DDA also does not protect against systemic and intersectional discrimination.</w:t>
      </w:r>
      <w:r w:rsidR="006E2EC7" w:rsidRPr="00896999">
        <w:rPr>
          <w:rStyle w:val="FootnoteReference"/>
          <w:rFonts w:ascii="Avenir Book" w:hAnsi="Avenir Book" w:cstheme="minorHAnsi"/>
          <w:sz w:val="22"/>
          <w:szCs w:val="22"/>
        </w:rPr>
        <w:footnoteReference w:id="24"/>
      </w:r>
    </w:p>
    <w:p w14:paraId="6339701A" w14:textId="77777777" w:rsidR="00600359" w:rsidRPr="00896999" w:rsidRDefault="00600359" w:rsidP="00A16A73">
      <w:pPr>
        <w:pStyle w:val="ListParagraph"/>
        <w:ind w:left="0"/>
        <w:rPr>
          <w:rFonts w:ascii="Avenir Book" w:hAnsi="Avenir Book"/>
          <w:sz w:val="22"/>
          <w:szCs w:val="22"/>
        </w:rPr>
      </w:pPr>
    </w:p>
    <w:p w14:paraId="65BF4920" w14:textId="795C2F0D" w:rsidR="00A929F4" w:rsidRPr="00896999" w:rsidRDefault="00A929F4" w:rsidP="00EF5411">
      <w:pPr>
        <w:pStyle w:val="ListParagraph"/>
        <w:numPr>
          <w:ilvl w:val="1"/>
          <w:numId w:val="23"/>
        </w:numPr>
        <w:ind w:left="993" w:hanging="567"/>
        <w:rPr>
          <w:rFonts w:ascii="Avenir Book" w:hAnsi="Avenir Book"/>
          <w:sz w:val="22"/>
          <w:szCs w:val="22"/>
        </w:rPr>
      </w:pPr>
      <w:r w:rsidRPr="00896999">
        <w:rPr>
          <w:rFonts w:ascii="Avenir Book" w:hAnsi="Avenir Book" w:cstheme="minorHAnsi"/>
          <w:sz w:val="22"/>
          <w:szCs w:val="22"/>
        </w:rPr>
        <w:t xml:space="preserve">The increase in students with disability attending special schools demonstrates that Australia is not </w:t>
      </w:r>
      <w:r w:rsidR="00275320" w:rsidRPr="00896999">
        <w:rPr>
          <w:rFonts w:ascii="Avenir Book" w:hAnsi="Avenir Book" w:cstheme="minorHAnsi"/>
          <w:sz w:val="22"/>
          <w:szCs w:val="22"/>
        </w:rPr>
        <w:t xml:space="preserve">only not complying with </w:t>
      </w:r>
      <w:r w:rsidRPr="00896999">
        <w:rPr>
          <w:rFonts w:ascii="Avenir Book" w:hAnsi="Avenir Book" w:cstheme="minorHAnsi"/>
          <w:sz w:val="22"/>
          <w:szCs w:val="22"/>
        </w:rPr>
        <w:t xml:space="preserve">its obligations under article 24, </w:t>
      </w:r>
      <w:r w:rsidR="00275320" w:rsidRPr="00896999">
        <w:rPr>
          <w:rFonts w:ascii="Avenir Book" w:hAnsi="Avenir Book" w:cstheme="minorHAnsi"/>
          <w:sz w:val="22"/>
          <w:szCs w:val="22"/>
        </w:rPr>
        <w:t>it</w:t>
      </w:r>
      <w:r w:rsidRPr="00896999">
        <w:rPr>
          <w:rFonts w:ascii="Avenir Book" w:hAnsi="Avenir Book" w:cstheme="minorHAnsi"/>
          <w:sz w:val="22"/>
          <w:szCs w:val="22"/>
        </w:rPr>
        <w:t xml:space="preserve"> is</w:t>
      </w:r>
      <w:r w:rsidR="00275320" w:rsidRPr="00896999">
        <w:rPr>
          <w:rFonts w:ascii="Avenir Book" w:hAnsi="Avenir Book" w:cstheme="minorHAnsi"/>
          <w:sz w:val="22"/>
          <w:szCs w:val="22"/>
        </w:rPr>
        <w:t xml:space="preserve"> also </w:t>
      </w:r>
      <w:r w:rsidRPr="00896999">
        <w:rPr>
          <w:rFonts w:ascii="Avenir Book" w:hAnsi="Avenir Book" w:cstheme="minorHAnsi"/>
          <w:sz w:val="22"/>
          <w:szCs w:val="22"/>
        </w:rPr>
        <w:t xml:space="preserve">taking </w:t>
      </w:r>
      <w:r w:rsidRPr="00896999">
        <w:rPr>
          <w:rFonts w:ascii="Avenir Book" w:hAnsi="Avenir Book" w:cstheme="minorHAnsi"/>
          <w:sz w:val="22"/>
          <w:szCs w:val="22"/>
        </w:rPr>
        <w:lastRenderedPageBreak/>
        <w:t>regressive measures that are not compliant with international human rights standards of implementation. The right to inclusive education needs to be progressively implemented over time and within the maximum extent of available resources. It is not permissible to take regressive or ‘backward’ steps.</w:t>
      </w:r>
      <w:r w:rsidR="00275320" w:rsidRPr="00896999">
        <w:rPr>
          <w:rStyle w:val="FootnoteReference"/>
          <w:rFonts w:ascii="Avenir Book" w:hAnsi="Avenir Book" w:cstheme="minorHAnsi"/>
          <w:sz w:val="22"/>
          <w:szCs w:val="22"/>
        </w:rPr>
        <w:footnoteReference w:id="25"/>
      </w:r>
      <w:r w:rsidRPr="00896999">
        <w:rPr>
          <w:rFonts w:ascii="Avenir Book" w:hAnsi="Avenir Book" w:cstheme="minorHAnsi"/>
          <w:sz w:val="22"/>
          <w:szCs w:val="22"/>
        </w:rPr>
        <w:t xml:space="preserve"> </w:t>
      </w:r>
    </w:p>
    <w:p w14:paraId="2A3124DE" w14:textId="77777777" w:rsidR="00600359" w:rsidRPr="00896999" w:rsidRDefault="00600359" w:rsidP="00600359">
      <w:pPr>
        <w:rPr>
          <w:rFonts w:ascii="Avenir Book" w:hAnsi="Avenir Book"/>
          <w:sz w:val="22"/>
          <w:szCs w:val="22"/>
        </w:rPr>
      </w:pPr>
    </w:p>
    <w:p w14:paraId="0FFB308A" w14:textId="54874812" w:rsidR="00A929F4" w:rsidRPr="00896999" w:rsidRDefault="00A929F4" w:rsidP="00EF5411">
      <w:pPr>
        <w:pStyle w:val="ListParagraph"/>
        <w:numPr>
          <w:ilvl w:val="1"/>
          <w:numId w:val="23"/>
        </w:numPr>
        <w:spacing w:after="120"/>
        <w:ind w:left="992" w:hanging="567"/>
        <w:contextualSpacing w:val="0"/>
        <w:rPr>
          <w:rFonts w:ascii="Avenir Book" w:hAnsi="Avenir Book"/>
          <w:sz w:val="22"/>
          <w:szCs w:val="22"/>
        </w:rPr>
      </w:pPr>
      <w:r w:rsidRPr="00896999">
        <w:rPr>
          <w:rFonts w:ascii="Avenir Book" w:hAnsi="Avenir Book" w:cstheme="minorHAnsi"/>
          <w:sz w:val="22"/>
          <w:szCs w:val="22"/>
        </w:rPr>
        <w:t xml:space="preserve">The Australian Government clearly does not hold that segregated education is discrimination. In its most recent report to the CRPD Committee, Australia stated that it is meeting its obligations under article 24 by providing: </w:t>
      </w:r>
    </w:p>
    <w:p w14:paraId="3281D129" w14:textId="261CA236" w:rsidR="00A929F4" w:rsidRPr="00896999" w:rsidRDefault="00A929F4" w:rsidP="00E5747A">
      <w:pPr>
        <w:pStyle w:val="ListParagraph"/>
        <w:snapToGrid w:val="0"/>
        <w:ind w:left="1418" w:right="720"/>
        <w:rPr>
          <w:rFonts w:ascii="Avenir Book" w:hAnsi="Avenir Book" w:cstheme="minorHAnsi"/>
          <w:sz w:val="22"/>
          <w:szCs w:val="22"/>
        </w:rPr>
      </w:pPr>
      <w:r w:rsidRPr="00896999">
        <w:rPr>
          <w:rFonts w:ascii="Avenir Book" w:hAnsi="Avenir Book" w:cstheme="minorHAnsi"/>
          <w:sz w:val="22"/>
          <w:szCs w:val="22"/>
        </w:rPr>
        <w:t>“an education system that allows for funding of different education modalities so students with disability are able to participate in a range of education options including enrolment in mainstream classes in mainstream schools with additional support, specialist classes or units in mainstream schools and specialist schools”.</w:t>
      </w:r>
      <w:r w:rsidR="00275320" w:rsidRPr="00896999">
        <w:rPr>
          <w:rStyle w:val="FootnoteReference"/>
          <w:rFonts w:ascii="Avenir Book" w:hAnsi="Avenir Book" w:cstheme="minorHAnsi"/>
          <w:sz w:val="22"/>
          <w:szCs w:val="22"/>
        </w:rPr>
        <w:footnoteReference w:id="26"/>
      </w:r>
      <w:r w:rsidRPr="00896999">
        <w:rPr>
          <w:rFonts w:ascii="Avenir Book" w:hAnsi="Avenir Book" w:cstheme="minorHAnsi"/>
          <w:sz w:val="22"/>
          <w:szCs w:val="22"/>
        </w:rPr>
        <w:t xml:space="preserve"> </w:t>
      </w:r>
    </w:p>
    <w:p w14:paraId="3941E01F" w14:textId="77777777" w:rsidR="00A929F4" w:rsidRPr="00896999" w:rsidRDefault="00A929F4" w:rsidP="00A929F4">
      <w:pPr>
        <w:snapToGrid w:val="0"/>
        <w:ind w:right="231"/>
        <w:rPr>
          <w:rFonts w:ascii="Avenir Book" w:hAnsi="Avenir Book" w:cstheme="minorHAnsi"/>
          <w:sz w:val="22"/>
          <w:szCs w:val="22"/>
        </w:rPr>
      </w:pPr>
    </w:p>
    <w:p w14:paraId="08A5604A" w14:textId="093034D9" w:rsidR="00AB2499" w:rsidRPr="00896999" w:rsidRDefault="00A929F4" w:rsidP="00EF5411">
      <w:pPr>
        <w:pStyle w:val="ListParagraph"/>
        <w:numPr>
          <w:ilvl w:val="1"/>
          <w:numId w:val="23"/>
        </w:numPr>
        <w:ind w:left="993" w:hanging="567"/>
        <w:rPr>
          <w:rFonts w:ascii="Avenir Book" w:hAnsi="Avenir Book"/>
          <w:sz w:val="22"/>
          <w:szCs w:val="22"/>
        </w:rPr>
      </w:pPr>
      <w:r w:rsidRPr="00896999">
        <w:rPr>
          <w:rFonts w:ascii="Avenir Book" w:hAnsi="Avenir Book" w:cstheme="minorHAnsi"/>
          <w:sz w:val="22"/>
          <w:szCs w:val="22"/>
        </w:rPr>
        <w:t xml:space="preserve">The report goes on to suggest that the CRPD Committee </w:t>
      </w:r>
      <w:r w:rsidR="00275320" w:rsidRPr="00896999">
        <w:rPr>
          <w:rFonts w:ascii="Avenir Book" w:hAnsi="Avenir Book" w:cstheme="minorHAnsi"/>
          <w:sz w:val="22"/>
          <w:szCs w:val="22"/>
        </w:rPr>
        <w:t xml:space="preserve">should </w:t>
      </w:r>
      <w:r w:rsidRPr="00896999">
        <w:rPr>
          <w:rFonts w:ascii="Avenir Book" w:hAnsi="Avenir Book" w:cstheme="minorHAnsi"/>
          <w:sz w:val="22"/>
          <w:szCs w:val="22"/>
        </w:rPr>
        <w:t>clarify that education can be offered through specialist classes or schools consistent with article 24.</w:t>
      </w:r>
      <w:r w:rsidR="00275320" w:rsidRPr="00896999">
        <w:rPr>
          <w:rStyle w:val="FootnoteReference"/>
          <w:rFonts w:ascii="Avenir Book" w:hAnsi="Avenir Book" w:cstheme="minorHAnsi"/>
          <w:sz w:val="22"/>
          <w:szCs w:val="22"/>
        </w:rPr>
        <w:footnoteReference w:id="27"/>
      </w:r>
      <w:r w:rsidRPr="00896999">
        <w:rPr>
          <w:rFonts w:ascii="Avenir Book" w:hAnsi="Avenir Book" w:cstheme="minorHAnsi"/>
          <w:sz w:val="22"/>
          <w:szCs w:val="22"/>
        </w:rPr>
        <w:t xml:space="preserve"> This is of grave concern because Australia appears to be rejecting </w:t>
      </w:r>
      <w:r w:rsidR="00275320" w:rsidRPr="00896999">
        <w:rPr>
          <w:rFonts w:ascii="Avenir Book" w:hAnsi="Avenir Book" w:cstheme="minorHAnsi"/>
          <w:sz w:val="22"/>
          <w:szCs w:val="22"/>
        </w:rPr>
        <w:t xml:space="preserve">and/or misunderstanding </w:t>
      </w:r>
      <w:r w:rsidRPr="00896999">
        <w:rPr>
          <w:rFonts w:ascii="Avenir Book" w:hAnsi="Avenir Book" w:cstheme="minorHAnsi"/>
          <w:sz w:val="22"/>
          <w:szCs w:val="22"/>
        </w:rPr>
        <w:t xml:space="preserve">internationally agreed human rights obligations, </w:t>
      </w:r>
      <w:r w:rsidR="005B124A" w:rsidRPr="00896999">
        <w:rPr>
          <w:rFonts w:ascii="Avenir Book" w:hAnsi="Avenir Book" w:cstheme="minorHAnsi"/>
          <w:sz w:val="22"/>
          <w:szCs w:val="22"/>
        </w:rPr>
        <w:t xml:space="preserve">which recognise </w:t>
      </w:r>
      <w:r w:rsidRPr="00896999">
        <w:rPr>
          <w:rFonts w:ascii="Avenir Book" w:hAnsi="Avenir Book" w:cstheme="minorHAnsi"/>
          <w:sz w:val="22"/>
          <w:szCs w:val="22"/>
        </w:rPr>
        <w:t>segregation as a form of discrimination</w:t>
      </w:r>
      <w:r w:rsidR="005B124A" w:rsidRPr="00896999">
        <w:rPr>
          <w:rFonts w:ascii="Avenir Book" w:hAnsi="Avenir Book" w:cstheme="minorHAnsi"/>
          <w:sz w:val="22"/>
          <w:szCs w:val="22"/>
        </w:rPr>
        <w:t>.</w:t>
      </w:r>
      <w:r w:rsidRPr="00896999">
        <w:rPr>
          <w:rFonts w:ascii="Avenir Book" w:hAnsi="Avenir Book" w:cstheme="minorHAnsi"/>
          <w:sz w:val="22"/>
          <w:szCs w:val="22"/>
        </w:rPr>
        <w:t xml:space="preserve">   </w:t>
      </w:r>
    </w:p>
    <w:p w14:paraId="19681245" w14:textId="77777777" w:rsidR="00600359" w:rsidRPr="00896999" w:rsidRDefault="00600359" w:rsidP="00A16A73">
      <w:pPr>
        <w:pStyle w:val="ListParagraph"/>
        <w:ind w:left="0"/>
        <w:rPr>
          <w:rFonts w:ascii="Avenir Book" w:hAnsi="Avenir Book"/>
          <w:sz w:val="22"/>
          <w:szCs w:val="22"/>
        </w:rPr>
      </w:pPr>
    </w:p>
    <w:p w14:paraId="2FFA9A3B" w14:textId="72A62FC7" w:rsidR="00AB2499" w:rsidRPr="00896999" w:rsidRDefault="00AB2499"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 xml:space="preserve">A critical starting point for the Royal Commission in examining the area of education and learning must be to explicitly recognise segregated models of education in both ‘special’ and mainstream schools as discrimination. </w:t>
      </w:r>
    </w:p>
    <w:p w14:paraId="188427DB" w14:textId="77777777" w:rsidR="00600359" w:rsidRPr="00896999" w:rsidRDefault="00600359" w:rsidP="00A16A73">
      <w:pPr>
        <w:pStyle w:val="ListParagraph"/>
        <w:ind w:left="0"/>
        <w:rPr>
          <w:rFonts w:ascii="Avenir Book" w:hAnsi="Avenir Book"/>
          <w:sz w:val="22"/>
          <w:szCs w:val="22"/>
        </w:rPr>
      </w:pPr>
    </w:p>
    <w:p w14:paraId="2E7D8D00" w14:textId="0C36A886" w:rsidR="00AB2499" w:rsidRPr="00896999" w:rsidRDefault="00AB2499"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In line with the definition of ‘neglect’ in the Issues Paper, the Royal Commission must also explicitly recognise that the effect of this discrimination constitutes systemic neglect.</w:t>
      </w:r>
      <w:r w:rsidRPr="00896999">
        <w:rPr>
          <w:rStyle w:val="FootnoteReference"/>
          <w:rFonts w:ascii="Avenir Book" w:hAnsi="Avenir Book"/>
          <w:sz w:val="22"/>
          <w:szCs w:val="22"/>
        </w:rPr>
        <w:footnoteReference w:id="28"/>
      </w:r>
      <w:r w:rsidRPr="00896999">
        <w:rPr>
          <w:rFonts w:ascii="Avenir Book" w:hAnsi="Avenir Book"/>
          <w:sz w:val="22"/>
          <w:szCs w:val="22"/>
        </w:rPr>
        <w:t xml:space="preserve">  </w:t>
      </w:r>
    </w:p>
    <w:p w14:paraId="1F1E635E" w14:textId="77777777" w:rsidR="00600359" w:rsidRPr="00896999" w:rsidRDefault="00600359" w:rsidP="00A16A73">
      <w:pPr>
        <w:pStyle w:val="ListParagraph"/>
        <w:ind w:left="0"/>
        <w:rPr>
          <w:rFonts w:ascii="Avenir Book" w:hAnsi="Avenir Book"/>
          <w:sz w:val="22"/>
          <w:szCs w:val="22"/>
        </w:rPr>
      </w:pPr>
    </w:p>
    <w:p w14:paraId="58ED0299" w14:textId="0BF9C329" w:rsidR="003326AF" w:rsidRPr="00896999" w:rsidRDefault="00477638"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The Royal Commission examinations, findings and recommendations must aim to prevent this neglect and realise the right to inclusive education.</w:t>
      </w:r>
      <w:r w:rsidR="00237B03" w:rsidRPr="00896999">
        <w:rPr>
          <w:rFonts w:ascii="Avenir Book" w:hAnsi="Avenir Book"/>
          <w:sz w:val="22"/>
          <w:szCs w:val="22"/>
        </w:rPr>
        <w:t xml:space="preserve">  This means that </w:t>
      </w:r>
      <w:r w:rsidR="00430D9C" w:rsidRPr="00896999">
        <w:rPr>
          <w:rFonts w:ascii="Avenir Book" w:hAnsi="Avenir Book"/>
          <w:sz w:val="22"/>
          <w:szCs w:val="22"/>
        </w:rPr>
        <w:t xml:space="preserve">the Royal Commission </w:t>
      </w:r>
      <w:r w:rsidR="00237B03" w:rsidRPr="00896999">
        <w:rPr>
          <w:rFonts w:ascii="Avenir Book" w:hAnsi="Avenir Book"/>
          <w:sz w:val="22"/>
          <w:szCs w:val="22"/>
        </w:rPr>
        <w:t xml:space="preserve">could focus on, for example, </w:t>
      </w:r>
      <w:r w:rsidR="00430D9C" w:rsidRPr="00896999">
        <w:rPr>
          <w:rFonts w:ascii="Avenir Book" w:hAnsi="Avenir Book"/>
          <w:sz w:val="22"/>
          <w:szCs w:val="22"/>
        </w:rPr>
        <w:t>examining</w:t>
      </w:r>
      <w:r w:rsidR="003326AF" w:rsidRPr="00896999">
        <w:rPr>
          <w:rFonts w:ascii="Avenir Book" w:hAnsi="Avenir Book"/>
          <w:sz w:val="22"/>
          <w:szCs w:val="22"/>
        </w:rPr>
        <w:t xml:space="preserve"> why</w:t>
      </w:r>
      <w:r w:rsidR="00430D9C" w:rsidRPr="00896999">
        <w:rPr>
          <w:rFonts w:ascii="Avenir Book" w:hAnsi="Avenir Book"/>
          <w:sz w:val="22"/>
          <w:szCs w:val="22"/>
        </w:rPr>
        <w:t xml:space="preserve"> Australian governments maintain and condone segregated models of education</w:t>
      </w:r>
      <w:r w:rsidR="00464B8C" w:rsidRPr="00896999">
        <w:rPr>
          <w:rFonts w:ascii="Avenir Book" w:hAnsi="Avenir Book"/>
          <w:sz w:val="22"/>
          <w:szCs w:val="22"/>
        </w:rPr>
        <w:t>?</w:t>
      </w:r>
      <w:r w:rsidR="00430D9C" w:rsidRPr="00896999">
        <w:rPr>
          <w:rFonts w:ascii="Avenir Book" w:hAnsi="Avenir Book"/>
          <w:sz w:val="22"/>
          <w:szCs w:val="22"/>
        </w:rPr>
        <w:t xml:space="preserve"> how this segregation underpins violence, abuse</w:t>
      </w:r>
      <w:r w:rsidR="00237B03" w:rsidRPr="00896999">
        <w:rPr>
          <w:rFonts w:ascii="Avenir Book" w:hAnsi="Avenir Book"/>
          <w:sz w:val="22"/>
          <w:szCs w:val="22"/>
        </w:rPr>
        <w:t>, neglect</w:t>
      </w:r>
      <w:r w:rsidR="00430D9C" w:rsidRPr="00896999">
        <w:rPr>
          <w:rFonts w:ascii="Avenir Book" w:hAnsi="Avenir Book"/>
          <w:sz w:val="22"/>
          <w:szCs w:val="22"/>
        </w:rPr>
        <w:t xml:space="preserve"> and exploitation</w:t>
      </w:r>
      <w:r w:rsidR="00464B8C" w:rsidRPr="00896999">
        <w:rPr>
          <w:rFonts w:ascii="Avenir Book" w:hAnsi="Avenir Book"/>
          <w:sz w:val="22"/>
          <w:szCs w:val="22"/>
        </w:rPr>
        <w:t>?</w:t>
      </w:r>
      <w:r w:rsidR="00430D9C" w:rsidRPr="00896999">
        <w:rPr>
          <w:rFonts w:ascii="Avenir Book" w:hAnsi="Avenir Book"/>
          <w:sz w:val="22"/>
          <w:szCs w:val="22"/>
        </w:rPr>
        <w:t xml:space="preserve"> what measures need to be taken at all levels of government, including accountability measures to prevent segregation and realise inclusion</w:t>
      </w:r>
      <w:r w:rsidR="00464B8C" w:rsidRPr="00896999">
        <w:rPr>
          <w:rFonts w:ascii="Avenir Book" w:hAnsi="Avenir Book"/>
          <w:sz w:val="22"/>
          <w:szCs w:val="22"/>
        </w:rPr>
        <w:t>?</w:t>
      </w:r>
      <w:r w:rsidR="00430D9C" w:rsidRPr="00896999">
        <w:rPr>
          <w:rFonts w:ascii="Avenir Book" w:hAnsi="Avenir Book"/>
          <w:sz w:val="22"/>
          <w:szCs w:val="22"/>
        </w:rPr>
        <w:t xml:space="preserve"> what measures, including accountability measures need to be taken by all levels of education to facilitate the right to inclusive education for people with disability</w:t>
      </w:r>
      <w:r w:rsidR="00464B8C" w:rsidRPr="00896999">
        <w:rPr>
          <w:rFonts w:ascii="Avenir Book" w:hAnsi="Avenir Book"/>
          <w:sz w:val="22"/>
          <w:szCs w:val="22"/>
        </w:rPr>
        <w:t>?</w:t>
      </w:r>
      <w:r w:rsidR="00430D9C" w:rsidRPr="00896999">
        <w:rPr>
          <w:rFonts w:ascii="Avenir Book" w:hAnsi="Avenir Book"/>
          <w:sz w:val="22"/>
          <w:szCs w:val="22"/>
        </w:rPr>
        <w:t xml:space="preserve">  </w:t>
      </w:r>
    </w:p>
    <w:p w14:paraId="0750E157" w14:textId="77777777" w:rsidR="00600359" w:rsidRPr="00896999" w:rsidRDefault="00600359" w:rsidP="00A16A73">
      <w:pPr>
        <w:pStyle w:val="ListParagraph"/>
        <w:ind w:left="0"/>
        <w:rPr>
          <w:rFonts w:ascii="Avenir Book" w:hAnsi="Avenir Book"/>
          <w:sz w:val="22"/>
          <w:szCs w:val="22"/>
        </w:rPr>
      </w:pPr>
    </w:p>
    <w:p w14:paraId="0ABEAC27" w14:textId="0C418134" w:rsidR="00430D9C" w:rsidRPr="00896999" w:rsidRDefault="00237B03"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lastRenderedPageBreak/>
        <w:t xml:space="preserve">The Royal Commission </w:t>
      </w:r>
      <w:r w:rsidR="00601C50" w:rsidRPr="00896999">
        <w:rPr>
          <w:rFonts w:ascii="Avenir Book" w:hAnsi="Avenir Book"/>
          <w:sz w:val="22"/>
          <w:szCs w:val="22"/>
        </w:rPr>
        <w:t xml:space="preserve">should </w:t>
      </w:r>
      <w:r w:rsidR="00430D9C" w:rsidRPr="00896999">
        <w:rPr>
          <w:rFonts w:ascii="Avenir Book" w:hAnsi="Avenir Book"/>
          <w:sz w:val="22"/>
          <w:szCs w:val="22"/>
        </w:rPr>
        <w:t xml:space="preserve">also allow for </w:t>
      </w:r>
      <w:r w:rsidR="00886EBB" w:rsidRPr="00896999">
        <w:rPr>
          <w:rFonts w:ascii="Avenir Book" w:hAnsi="Avenir Book"/>
          <w:sz w:val="22"/>
          <w:szCs w:val="22"/>
        </w:rPr>
        <w:t xml:space="preserve">evidence to be provided by people with disability, including children with disability themselves. This would allow examination of </w:t>
      </w:r>
      <w:r w:rsidR="00430D9C" w:rsidRPr="00896999">
        <w:rPr>
          <w:rFonts w:ascii="Avenir Book" w:hAnsi="Avenir Book"/>
          <w:sz w:val="22"/>
          <w:szCs w:val="22"/>
        </w:rPr>
        <w:t xml:space="preserve">how this systemic neglect is experienced by people with disability, including women and girls with disability, in terms of poor educational outcomes, the culture of low expectations and ongoing segregation, marginalisation and disadvantage, and the exposure to harmful educational practices, such as seclusion and forms of restraint. </w:t>
      </w:r>
    </w:p>
    <w:p w14:paraId="3A055321" w14:textId="77777777" w:rsidR="00600359" w:rsidRPr="00896999" w:rsidRDefault="00600359" w:rsidP="00A16A73">
      <w:pPr>
        <w:pStyle w:val="ListParagraph"/>
        <w:ind w:left="0"/>
        <w:rPr>
          <w:rFonts w:ascii="Avenir Book" w:hAnsi="Avenir Book"/>
          <w:sz w:val="22"/>
          <w:szCs w:val="22"/>
        </w:rPr>
      </w:pPr>
    </w:p>
    <w:p w14:paraId="4FDF1B33" w14:textId="19053AFC" w:rsidR="00430D9C" w:rsidRPr="00896999" w:rsidRDefault="00430D9C"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 xml:space="preserve">While the Townsville Hearing on education and learning in the Queensland school system did to some extent examine some preliminary issues outlined in paragraphs </w:t>
      </w:r>
      <w:r w:rsidR="00471BE7" w:rsidRPr="00896999">
        <w:rPr>
          <w:rFonts w:ascii="Avenir Book" w:hAnsi="Avenir Book"/>
          <w:sz w:val="22"/>
          <w:szCs w:val="22"/>
        </w:rPr>
        <w:t>3</w:t>
      </w:r>
      <w:r w:rsidRPr="00896999">
        <w:rPr>
          <w:rFonts w:ascii="Avenir Book" w:hAnsi="Avenir Book"/>
          <w:sz w:val="22"/>
          <w:szCs w:val="22"/>
        </w:rPr>
        <w:t xml:space="preserve">.5 and </w:t>
      </w:r>
      <w:r w:rsidR="00471BE7" w:rsidRPr="00896999">
        <w:rPr>
          <w:rFonts w:ascii="Avenir Book" w:hAnsi="Avenir Book"/>
          <w:sz w:val="22"/>
          <w:szCs w:val="22"/>
        </w:rPr>
        <w:t>3</w:t>
      </w:r>
      <w:r w:rsidRPr="00896999">
        <w:rPr>
          <w:rFonts w:ascii="Avenir Book" w:hAnsi="Avenir Book"/>
          <w:sz w:val="22"/>
          <w:szCs w:val="22"/>
        </w:rPr>
        <w:t>.6 above, th</w:t>
      </w:r>
      <w:r w:rsidR="00500250" w:rsidRPr="00896999">
        <w:rPr>
          <w:rFonts w:ascii="Avenir Book" w:hAnsi="Avenir Book"/>
          <w:sz w:val="22"/>
          <w:szCs w:val="22"/>
        </w:rPr>
        <w:t xml:space="preserve">is examination was not based in the </w:t>
      </w:r>
      <w:r w:rsidRPr="00896999">
        <w:rPr>
          <w:rFonts w:ascii="Avenir Book" w:hAnsi="Avenir Book"/>
          <w:sz w:val="22"/>
          <w:szCs w:val="22"/>
        </w:rPr>
        <w:t>explicit recognition that segregated models of education constituted discrimination</w:t>
      </w:r>
      <w:r w:rsidR="00692C45" w:rsidRPr="00896999">
        <w:rPr>
          <w:rFonts w:ascii="Avenir Book" w:hAnsi="Avenir Book"/>
          <w:sz w:val="22"/>
          <w:szCs w:val="22"/>
        </w:rPr>
        <w:t xml:space="preserve"> and </w:t>
      </w:r>
      <w:r w:rsidRPr="00896999">
        <w:rPr>
          <w:rFonts w:ascii="Avenir Book" w:hAnsi="Avenir Book"/>
          <w:sz w:val="22"/>
          <w:szCs w:val="22"/>
        </w:rPr>
        <w:t>that Australian governments needed to be accountable and address this discrimination</w:t>
      </w:r>
      <w:r w:rsidR="00692C45" w:rsidRPr="00896999">
        <w:rPr>
          <w:rFonts w:ascii="Avenir Book" w:hAnsi="Avenir Book"/>
          <w:sz w:val="22"/>
          <w:szCs w:val="22"/>
        </w:rPr>
        <w:t xml:space="preserve">.  </w:t>
      </w:r>
      <w:r w:rsidR="00813E8D" w:rsidRPr="00896999">
        <w:rPr>
          <w:rFonts w:ascii="Avenir Book" w:hAnsi="Avenir Book"/>
          <w:sz w:val="22"/>
          <w:szCs w:val="22"/>
        </w:rPr>
        <w:t xml:space="preserve">No evidence was provided directly by people with disability.  </w:t>
      </w:r>
      <w:r w:rsidR="000A02AF" w:rsidRPr="00896999">
        <w:rPr>
          <w:rFonts w:ascii="Avenir Book" w:hAnsi="Avenir Book"/>
          <w:sz w:val="22"/>
          <w:szCs w:val="22"/>
        </w:rPr>
        <w:t>Australian governments, educational authorities, unions and educational authorities were not held to account; t</w:t>
      </w:r>
      <w:r w:rsidR="00692C45" w:rsidRPr="00896999">
        <w:rPr>
          <w:rFonts w:ascii="Avenir Book" w:hAnsi="Avenir Book"/>
          <w:sz w:val="22"/>
          <w:szCs w:val="22"/>
        </w:rPr>
        <w:t xml:space="preserve">here was no </w:t>
      </w:r>
      <w:r w:rsidRPr="00896999">
        <w:rPr>
          <w:rFonts w:ascii="Avenir Book" w:hAnsi="Avenir Book"/>
          <w:sz w:val="22"/>
          <w:szCs w:val="22"/>
        </w:rPr>
        <w:t xml:space="preserve">rebuttal made to witnesses regarding discriminatory views they expressed </w:t>
      </w:r>
      <w:r w:rsidR="00692C45" w:rsidRPr="00896999">
        <w:rPr>
          <w:rFonts w:ascii="Avenir Book" w:hAnsi="Avenir Book"/>
          <w:sz w:val="22"/>
          <w:szCs w:val="22"/>
        </w:rPr>
        <w:t xml:space="preserve">in favour of </w:t>
      </w:r>
      <w:r w:rsidRPr="00896999">
        <w:rPr>
          <w:rFonts w:ascii="Avenir Book" w:hAnsi="Avenir Book"/>
          <w:sz w:val="22"/>
          <w:szCs w:val="22"/>
        </w:rPr>
        <w:t xml:space="preserve">segregated education. </w:t>
      </w:r>
    </w:p>
    <w:p w14:paraId="446ED505" w14:textId="77777777" w:rsidR="00600359" w:rsidRPr="00896999" w:rsidRDefault="00600359" w:rsidP="00A16A73">
      <w:pPr>
        <w:pStyle w:val="ListParagraph"/>
        <w:ind w:left="0"/>
        <w:rPr>
          <w:rFonts w:ascii="Avenir Book" w:hAnsi="Avenir Book"/>
          <w:sz w:val="22"/>
          <w:szCs w:val="22"/>
        </w:rPr>
      </w:pPr>
    </w:p>
    <w:p w14:paraId="0F7B53E4" w14:textId="04AC8BB5" w:rsidR="00430D9C" w:rsidRPr="00896999" w:rsidRDefault="00430D9C"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Of particular concern were remarks made at the end of the Townsville Hearing to the effect that the Royal Commission needed to hear from special schools so as to hear “the other side of the debate”, and the response indicated that the Royal Commission was open to hearing “all sides of the argument”.</w:t>
      </w:r>
      <w:r w:rsidR="00020C84" w:rsidRPr="00896999">
        <w:rPr>
          <w:rStyle w:val="FootnoteReference"/>
          <w:rFonts w:ascii="Avenir Book" w:hAnsi="Avenir Book"/>
          <w:sz w:val="22"/>
          <w:szCs w:val="22"/>
        </w:rPr>
        <w:footnoteReference w:id="29"/>
      </w:r>
      <w:r w:rsidRPr="00896999">
        <w:rPr>
          <w:rFonts w:ascii="Avenir Book" w:hAnsi="Avenir Book"/>
          <w:sz w:val="22"/>
          <w:szCs w:val="22"/>
        </w:rPr>
        <w:t xml:space="preserve">  </w:t>
      </w:r>
    </w:p>
    <w:p w14:paraId="22AA2D9F" w14:textId="77777777" w:rsidR="00600359" w:rsidRPr="00896999" w:rsidRDefault="00600359" w:rsidP="00A16A73">
      <w:pPr>
        <w:pStyle w:val="ListParagraph"/>
        <w:ind w:left="0"/>
        <w:rPr>
          <w:rFonts w:ascii="Avenir Book" w:hAnsi="Avenir Book"/>
          <w:sz w:val="22"/>
          <w:szCs w:val="22"/>
        </w:rPr>
      </w:pPr>
    </w:p>
    <w:p w14:paraId="129882B7" w14:textId="220B36E9" w:rsidR="00430D9C" w:rsidRPr="00896999" w:rsidRDefault="00430D9C" w:rsidP="00EF5411">
      <w:pPr>
        <w:pStyle w:val="ListParagraph"/>
        <w:numPr>
          <w:ilvl w:val="1"/>
          <w:numId w:val="23"/>
        </w:numPr>
        <w:ind w:left="993" w:hanging="567"/>
        <w:rPr>
          <w:rFonts w:ascii="Avenir Book" w:hAnsi="Avenir Book"/>
          <w:sz w:val="22"/>
          <w:szCs w:val="22"/>
        </w:rPr>
      </w:pPr>
      <w:r w:rsidRPr="00896999">
        <w:rPr>
          <w:rFonts w:ascii="Avenir Book" w:hAnsi="Avenir Book"/>
          <w:sz w:val="22"/>
          <w:szCs w:val="22"/>
        </w:rPr>
        <w:t xml:space="preserve">We would be extremely concerned if the Royal Commission was to canvass views in </w:t>
      </w:r>
      <w:r w:rsidR="00644DFF" w:rsidRPr="00896999">
        <w:rPr>
          <w:rFonts w:ascii="Avenir Book" w:hAnsi="Avenir Book"/>
          <w:sz w:val="22"/>
          <w:szCs w:val="22"/>
        </w:rPr>
        <w:t>future</w:t>
      </w:r>
      <w:r w:rsidRPr="00896999">
        <w:rPr>
          <w:rFonts w:ascii="Avenir Book" w:hAnsi="Avenir Book"/>
          <w:sz w:val="22"/>
          <w:szCs w:val="22"/>
        </w:rPr>
        <w:t xml:space="preserve"> hearings</w:t>
      </w:r>
      <w:r w:rsidR="00644DFF" w:rsidRPr="00896999">
        <w:rPr>
          <w:rFonts w:ascii="Avenir Book" w:hAnsi="Avenir Book"/>
          <w:sz w:val="22"/>
          <w:szCs w:val="22"/>
        </w:rPr>
        <w:t xml:space="preserve">, </w:t>
      </w:r>
      <w:r w:rsidRPr="00896999">
        <w:rPr>
          <w:rFonts w:ascii="Avenir Book" w:hAnsi="Avenir Book"/>
          <w:sz w:val="22"/>
          <w:szCs w:val="22"/>
        </w:rPr>
        <w:t xml:space="preserve">forums </w:t>
      </w:r>
      <w:r w:rsidR="00644DFF" w:rsidRPr="00896999">
        <w:rPr>
          <w:rFonts w:ascii="Avenir Book" w:hAnsi="Avenir Book"/>
          <w:sz w:val="22"/>
          <w:szCs w:val="22"/>
        </w:rPr>
        <w:t xml:space="preserve">and papers </w:t>
      </w:r>
      <w:r w:rsidRPr="00896999">
        <w:rPr>
          <w:rFonts w:ascii="Avenir Book" w:hAnsi="Avenir Book"/>
          <w:sz w:val="22"/>
          <w:szCs w:val="22"/>
        </w:rPr>
        <w:t xml:space="preserve">about the value of segregated models of education, thus opening up debate about the right to inclusive education and the right to non-discrimination in education for people with disability.  These rights have already been negotiated and </w:t>
      </w:r>
      <w:r w:rsidR="00A16A73" w:rsidRPr="00896999">
        <w:rPr>
          <w:rFonts w:ascii="Avenir Book" w:hAnsi="Avenir Book"/>
          <w:sz w:val="22"/>
          <w:szCs w:val="22"/>
        </w:rPr>
        <w:t>agreed and</w:t>
      </w:r>
      <w:r w:rsidRPr="00896999">
        <w:rPr>
          <w:rFonts w:ascii="Avenir Book" w:hAnsi="Avenir Book"/>
          <w:sz w:val="22"/>
          <w:szCs w:val="22"/>
        </w:rPr>
        <w:t xml:space="preserve"> outlined in legally binding international human rights law through the CRPD. </w:t>
      </w:r>
    </w:p>
    <w:p w14:paraId="7FDB6B56" w14:textId="37F543C8" w:rsidR="00430D9C" w:rsidRPr="00896999" w:rsidRDefault="00430D9C" w:rsidP="006901C2">
      <w:pPr>
        <w:pStyle w:val="ListParagraph"/>
        <w:ind w:left="0"/>
        <w:rPr>
          <w:rFonts w:ascii="Avenir Book" w:hAnsi="Avenir Book"/>
          <w:sz w:val="22"/>
          <w:szCs w:val="22"/>
        </w:rPr>
      </w:pPr>
    </w:p>
    <w:p w14:paraId="1CFEC94A" w14:textId="77777777" w:rsidR="00DC7DCF" w:rsidRDefault="00DC7DCF">
      <w:pPr>
        <w:rPr>
          <w:rFonts w:asciiTheme="minorHAnsi" w:hAnsiTheme="minorHAnsi" w:cstheme="minorHAnsi"/>
          <w:b/>
          <w:color w:val="7030A0"/>
        </w:rPr>
      </w:pPr>
      <w:r>
        <w:rPr>
          <w:rFonts w:asciiTheme="minorHAnsi" w:hAnsiTheme="minorHAnsi" w:cstheme="minorHAnsi"/>
          <w:b/>
          <w:color w:val="7030A0"/>
        </w:rPr>
        <w:br w:type="page"/>
      </w:r>
    </w:p>
    <w:p w14:paraId="573611F7" w14:textId="4CA625A3" w:rsidR="006901C2" w:rsidRPr="00761F08" w:rsidRDefault="007B4D10" w:rsidP="007B4D10">
      <w:pPr>
        <w:rPr>
          <w:rFonts w:ascii="Avenir Book" w:hAnsi="Avenir Book" w:cstheme="minorHAnsi"/>
          <w:b/>
          <w:color w:val="AC1F79"/>
        </w:rPr>
      </w:pPr>
      <w:r w:rsidRPr="00761F08">
        <w:rPr>
          <w:rFonts w:ascii="Avenir Book" w:hAnsi="Avenir Book" w:cstheme="minorHAnsi"/>
          <w:b/>
          <w:color w:val="AC1F79"/>
        </w:rPr>
        <w:lastRenderedPageBreak/>
        <w:t>Recommendations</w:t>
      </w:r>
    </w:p>
    <w:p w14:paraId="7D0EE805" w14:textId="77777777" w:rsidR="00D7106F" w:rsidRPr="00761F08" w:rsidRDefault="00D7106F" w:rsidP="00121931">
      <w:pPr>
        <w:spacing w:line="276" w:lineRule="auto"/>
        <w:rPr>
          <w:rFonts w:ascii="Avenir Book" w:hAnsi="Avenir Book" w:cs="Calibri"/>
          <w:sz w:val="22"/>
          <w:szCs w:val="22"/>
        </w:rPr>
      </w:pPr>
    </w:p>
    <w:p w14:paraId="65BFBFA0" w14:textId="7CE67E75" w:rsidR="008802B0" w:rsidRPr="00761F08" w:rsidRDefault="00EA36D5" w:rsidP="00EF5411">
      <w:pPr>
        <w:pStyle w:val="ListParagraph"/>
        <w:numPr>
          <w:ilvl w:val="0"/>
          <w:numId w:val="8"/>
        </w:numPr>
        <w:snapToGrid w:val="0"/>
        <w:spacing w:after="120"/>
        <w:ind w:left="425" w:hanging="425"/>
        <w:contextualSpacing w:val="0"/>
        <w:rPr>
          <w:rFonts w:ascii="Avenir Book" w:hAnsi="Avenir Book" w:cs="Calibri"/>
          <w:sz w:val="22"/>
          <w:szCs w:val="22"/>
        </w:rPr>
      </w:pPr>
      <w:r w:rsidRPr="00761F08">
        <w:rPr>
          <w:rFonts w:ascii="Avenir Book" w:hAnsi="Avenir Book" w:cs="Calibri"/>
          <w:sz w:val="22"/>
          <w:szCs w:val="22"/>
        </w:rPr>
        <w:t xml:space="preserve">In line </w:t>
      </w:r>
      <w:r w:rsidR="00FB35AD" w:rsidRPr="00761F08">
        <w:rPr>
          <w:rFonts w:ascii="Avenir Book" w:hAnsi="Avenir Book" w:cs="Calibri"/>
          <w:sz w:val="22"/>
          <w:szCs w:val="22"/>
        </w:rPr>
        <w:t>with i</w:t>
      </w:r>
      <w:r w:rsidRPr="00761F08">
        <w:rPr>
          <w:rFonts w:ascii="Avenir Book" w:hAnsi="Avenir Book" w:cs="Calibri"/>
          <w:sz w:val="22"/>
          <w:szCs w:val="22"/>
        </w:rPr>
        <w:t xml:space="preserve">ts Terms of Reference, </w:t>
      </w:r>
      <w:r w:rsidR="00500250" w:rsidRPr="00761F08">
        <w:rPr>
          <w:rFonts w:ascii="Avenir Book" w:hAnsi="Avenir Book" w:cs="Calibri"/>
          <w:sz w:val="22"/>
          <w:szCs w:val="22"/>
        </w:rPr>
        <w:t xml:space="preserve">which are based in the context of the CRPD, </w:t>
      </w:r>
      <w:r w:rsidRPr="00761F08">
        <w:rPr>
          <w:rFonts w:ascii="Avenir Book" w:hAnsi="Avenir Book" w:cs="Calibri"/>
          <w:sz w:val="22"/>
          <w:szCs w:val="22"/>
        </w:rPr>
        <w:t xml:space="preserve">the Royal Commission should explicitly recognise </w:t>
      </w:r>
      <w:r w:rsidR="008802B0" w:rsidRPr="00761F08">
        <w:rPr>
          <w:rFonts w:ascii="Avenir Book" w:hAnsi="Avenir Book" w:cs="Calibri"/>
          <w:sz w:val="22"/>
          <w:szCs w:val="22"/>
        </w:rPr>
        <w:t xml:space="preserve">as </w:t>
      </w:r>
      <w:r w:rsidR="00500250" w:rsidRPr="00761F08">
        <w:rPr>
          <w:rFonts w:ascii="Avenir Book" w:hAnsi="Avenir Book" w:cs="Calibri"/>
          <w:sz w:val="22"/>
          <w:szCs w:val="22"/>
        </w:rPr>
        <w:t xml:space="preserve">fundamental to </w:t>
      </w:r>
      <w:r w:rsidR="008802B0" w:rsidRPr="00761F08">
        <w:rPr>
          <w:rFonts w:ascii="Avenir Book" w:hAnsi="Avenir Book" w:cs="Calibri"/>
          <w:sz w:val="22"/>
          <w:szCs w:val="22"/>
        </w:rPr>
        <w:t xml:space="preserve">all its work (including reports, community forums, </w:t>
      </w:r>
      <w:r w:rsidR="00026695" w:rsidRPr="00761F08">
        <w:rPr>
          <w:rFonts w:ascii="Avenir Book" w:hAnsi="Avenir Book" w:cs="Calibri"/>
          <w:sz w:val="22"/>
          <w:szCs w:val="22"/>
        </w:rPr>
        <w:t xml:space="preserve">stakeholder engagement, </w:t>
      </w:r>
      <w:r w:rsidR="008802B0" w:rsidRPr="00761F08">
        <w:rPr>
          <w:rFonts w:ascii="Avenir Book" w:hAnsi="Avenir Book" w:cs="Calibri"/>
          <w:sz w:val="22"/>
          <w:szCs w:val="22"/>
        </w:rPr>
        <w:t>Hearings, publications</w:t>
      </w:r>
      <w:r w:rsidR="00930F62" w:rsidRPr="00761F08">
        <w:rPr>
          <w:rFonts w:ascii="Avenir Book" w:hAnsi="Avenir Book" w:cs="Calibri"/>
          <w:sz w:val="22"/>
          <w:szCs w:val="22"/>
        </w:rPr>
        <w:t>, findings and recommendations</w:t>
      </w:r>
      <w:r w:rsidR="008802B0" w:rsidRPr="00761F08">
        <w:rPr>
          <w:rFonts w:ascii="Avenir Book" w:hAnsi="Avenir Book" w:cs="Calibri"/>
          <w:sz w:val="22"/>
          <w:szCs w:val="22"/>
        </w:rPr>
        <w:t>):</w:t>
      </w:r>
    </w:p>
    <w:p w14:paraId="5F365302" w14:textId="3BAA542A" w:rsidR="008802B0" w:rsidRPr="00761F08" w:rsidRDefault="00EA36D5" w:rsidP="00EF5411">
      <w:pPr>
        <w:pStyle w:val="ListParagraph"/>
        <w:numPr>
          <w:ilvl w:val="0"/>
          <w:numId w:val="9"/>
        </w:numPr>
        <w:snapToGrid w:val="0"/>
        <w:ind w:left="851" w:hanging="425"/>
        <w:contextualSpacing w:val="0"/>
        <w:rPr>
          <w:rFonts w:ascii="Avenir Book" w:hAnsi="Avenir Book" w:cs="Calibri"/>
          <w:sz w:val="22"/>
          <w:szCs w:val="22"/>
        </w:rPr>
      </w:pPr>
      <w:r w:rsidRPr="00761F08">
        <w:rPr>
          <w:rFonts w:ascii="Avenir Book" w:hAnsi="Avenir Book" w:cs="Calibri"/>
          <w:sz w:val="22"/>
          <w:szCs w:val="22"/>
        </w:rPr>
        <w:t>the right to inclusive education</w:t>
      </w:r>
      <w:r w:rsidR="008802B0" w:rsidRPr="00761F08">
        <w:rPr>
          <w:rFonts w:ascii="Avenir Book" w:hAnsi="Avenir Book" w:cs="Calibri"/>
          <w:sz w:val="22"/>
          <w:szCs w:val="22"/>
        </w:rPr>
        <w:t xml:space="preserve"> as enshrined in the CRPD and elaborated in General Comment No.4;</w:t>
      </w:r>
      <w:r w:rsidR="008933AB" w:rsidRPr="00761F08">
        <w:rPr>
          <w:rFonts w:ascii="Avenir Book" w:hAnsi="Avenir Book" w:cs="Calibri"/>
          <w:sz w:val="22"/>
          <w:szCs w:val="22"/>
        </w:rPr>
        <w:t xml:space="preserve"> and</w:t>
      </w:r>
      <w:r w:rsidRPr="00761F08">
        <w:rPr>
          <w:rFonts w:ascii="Avenir Book" w:hAnsi="Avenir Book" w:cs="Calibri"/>
          <w:sz w:val="22"/>
          <w:szCs w:val="22"/>
        </w:rPr>
        <w:t xml:space="preserve"> </w:t>
      </w:r>
    </w:p>
    <w:p w14:paraId="3512F028" w14:textId="6598AC79" w:rsidR="004E25B1" w:rsidRPr="00761F08" w:rsidRDefault="00EA36D5" w:rsidP="00EF5411">
      <w:pPr>
        <w:pStyle w:val="ListParagraph"/>
        <w:numPr>
          <w:ilvl w:val="0"/>
          <w:numId w:val="9"/>
        </w:numPr>
        <w:ind w:left="851" w:hanging="425"/>
        <w:rPr>
          <w:rFonts w:ascii="Avenir Book" w:hAnsi="Avenir Book" w:cs="Calibri"/>
          <w:sz w:val="22"/>
          <w:szCs w:val="22"/>
        </w:rPr>
      </w:pPr>
      <w:r w:rsidRPr="00761F08">
        <w:rPr>
          <w:rFonts w:ascii="Avenir Book" w:hAnsi="Avenir Book" w:cs="Calibri"/>
          <w:sz w:val="22"/>
          <w:szCs w:val="22"/>
        </w:rPr>
        <w:t>the failure to provide inclusive education as discrimination and systemic neglect</w:t>
      </w:r>
      <w:r w:rsidR="008933AB" w:rsidRPr="00761F08">
        <w:rPr>
          <w:rFonts w:ascii="Avenir Book" w:hAnsi="Avenir Book" w:cs="Calibri"/>
          <w:sz w:val="22"/>
          <w:szCs w:val="22"/>
        </w:rPr>
        <w:t>.</w:t>
      </w:r>
      <w:r w:rsidRPr="00761F08">
        <w:rPr>
          <w:rFonts w:ascii="Avenir Book" w:hAnsi="Avenir Book" w:cs="Calibri"/>
          <w:sz w:val="22"/>
          <w:szCs w:val="22"/>
        </w:rPr>
        <w:t xml:space="preserve">  </w:t>
      </w:r>
    </w:p>
    <w:p w14:paraId="5853F35D" w14:textId="77777777" w:rsidR="00500250" w:rsidRPr="00761F08" w:rsidRDefault="00500250" w:rsidP="00BB113E">
      <w:pPr>
        <w:rPr>
          <w:rFonts w:ascii="Avenir Book" w:hAnsi="Avenir Book" w:cs="Calibri"/>
          <w:sz w:val="22"/>
          <w:szCs w:val="22"/>
        </w:rPr>
      </w:pPr>
    </w:p>
    <w:p w14:paraId="377615A3" w14:textId="05A21826" w:rsidR="00A17F46" w:rsidRPr="00761F08" w:rsidRDefault="001610E9" w:rsidP="00EF5411">
      <w:pPr>
        <w:pStyle w:val="ListParagraph"/>
        <w:numPr>
          <w:ilvl w:val="0"/>
          <w:numId w:val="6"/>
        </w:numPr>
        <w:ind w:left="426" w:hanging="426"/>
        <w:rPr>
          <w:rFonts w:ascii="Avenir Book" w:hAnsi="Avenir Book" w:cstheme="minorHAnsi"/>
          <w:sz w:val="22"/>
          <w:szCs w:val="22"/>
        </w:rPr>
      </w:pPr>
      <w:r w:rsidRPr="00761F08">
        <w:rPr>
          <w:rFonts w:ascii="Avenir Book" w:hAnsi="Avenir Book" w:cstheme="minorHAnsi"/>
          <w:sz w:val="22"/>
          <w:szCs w:val="22"/>
        </w:rPr>
        <w:t>Without opening debate about the right to inclusive education, t</w:t>
      </w:r>
      <w:r w:rsidR="008933AB" w:rsidRPr="00761F08">
        <w:rPr>
          <w:rFonts w:ascii="Avenir Book" w:hAnsi="Avenir Book" w:cstheme="minorHAnsi"/>
          <w:sz w:val="22"/>
          <w:szCs w:val="22"/>
        </w:rPr>
        <w:t>he Royal Commission should</w:t>
      </w:r>
      <w:r w:rsidR="00500250" w:rsidRPr="00761F08">
        <w:rPr>
          <w:rFonts w:ascii="Avenir Book" w:hAnsi="Avenir Book" w:cstheme="minorHAnsi"/>
          <w:sz w:val="22"/>
          <w:szCs w:val="22"/>
        </w:rPr>
        <w:t xml:space="preserve"> examine the </w:t>
      </w:r>
      <w:r w:rsidR="00A17F46" w:rsidRPr="00761F08">
        <w:rPr>
          <w:rFonts w:ascii="Avenir Book" w:hAnsi="Avenir Book" w:cstheme="minorHAnsi"/>
          <w:sz w:val="22"/>
          <w:szCs w:val="22"/>
        </w:rPr>
        <w:t xml:space="preserve">nature, effects and impact </w:t>
      </w:r>
      <w:r w:rsidR="00500250" w:rsidRPr="00761F08">
        <w:rPr>
          <w:rFonts w:ascii="Avenir Book" w:hAnsi="Avenir Book" w:cstheme="minorHAnsi"/>
          <w:sz w:val="22"/>
          <w:szCs w:val="22"/>
        </w:rPr>
        <w:t>of discrimination and systemic neglect in both special and mainstream schools</w:t>
      </w:r>
      <w:r w:rsidR="00A55592" w:rsidRPr="00761F08">
        <w:rPr>
          <w:rFonts w:ascii="Avenir Book" w:hAnsi="Avenir Book" w:cstheme="minorHAnsi"/>
          <w:sz w:val="22"/>
          <w:szCs w:val="22"/>
        </w:rPr>
        <w:t>, including seeking evidence directly from people with disability</w:t>
      </w:r>
      <w:r w:rsidR="00BF6403" w:rsidRPr="00761F08">
        <w:rPr>
          <w:rFonts w:ascii="Avenir Book" w:hAnsi="Avenir Book" w:cstheme="minorHAnsi"/>
          <w:sz w:val="22"/>
          <w:szCs w:val="22"/>
        </w:rPr>
        <w:t xml:space="preserve">, </w:t>
      </w:r>
      <w:r w:rsidRPr="00761F08">
        <w:rPr>
          <w:rFonts w:ascii="Avenir Book" w:hAnsi="Avenir Book" w:cstheme="minorHAnsi"/>
          <w:sz w:val="22"/>
          <w:szCs w:val="22"/>
        </w:rPr>
        <w:t>and holding governments, policy makers, educational practitioners and other stakeholders to account for discriminatory views.</w:t>
      </w:r>
      <w:r w:rsidR="00D0023D" w:rsidRPr="00761F08">
        <w:rPr>
          <w:rFonts w:ascii="Avenir Book" w:hAnsi="Avenir Book" w:cstheme="minorHAnsi"/>
          <w:sz w:val="22"/>
          <w:szCs w:val="22"/>
        </w:rPr>
        <w:t xml:space="preserve">  </w:t>
      </w:r>
      <w:r w:rsidR="00A17F46" w:rsidRPr="00761F08">
        <w:rPr>
          <w:rFonts w:ascii="Avenir Book" w:hAnsi="Avenir Book" w:cstheme="minorHAnsi"/>
          <w:sz w:val="22"/>
          <w:szCs w:val="22"/>
        </w:rPr>
        <w:t xml:space="preserve"> </w:t>
      </w:r>
    </w:p>
    <w:p w14:paraId="2D76112C" w14:textId="77777777" w:rsidR="000422E8" w:rsidRPr="00761F08" w:rsidRDefault="000422E8" w:rsidP="00A16A73">
      <w:pPr>
        <w:pStyle w:val="ListParagraph"/>
        <w:ind w:left="0"/>
        <w:rPr>
          <w:rFonts w:ascii="Avenir Book" w:hAnsi="Avenir Book" w:cstheme="minorHAnsi"/>
          <w:sz w:val="22"/>
          <w:szCs w:val="22"/>
        </w:rPr>
      </w:pPr>
    </w:p>
    <w:p w14:paraId="6F908D61" w14:textId="457847CE" w:rsidR="001610E9" w:rsidRPr="00761F08" w:rsidRDefault="001610E9" w:rsidP="00EF5411">
      <w:pPr>
        <w:pStyle w:val="ListParagraph"/>
        <w:numPr>
          <w:ilvl w:val="0"/>
          <w:numId w:val="6"/>
        </w:numPr>
        <w:ind w:left="426" w:hanging="426"/>
        <w:rPr>
          <w:rFonts w:ascii="Avenir Book" w:hAnsi="Avenir Book" w:cstheme="minorHAnsi"/>
          <w:sz w:val="22"/>
          <w:szCs w:val="22"/>
        </w:rPr>
      </w:pPr>
      <w:r w:rsidRPr="00761F08">
        <w:rPr>
          <w:rFonts w:ascii="Avenir Book" w:hAnsi="Avenir Book" w:cstheme="minorHAnsi"/>
          <w:sz w:val="22"/>
          <w:szCs w:val="22"/>
        </w:rPr>
        <w:t>A national Action Plan for Inclusive Education should be developed</w:t>
      </w:r>
      <w:r w:rsidR="00F55A3A" w:rsidRPr="00761F08">
        <w:rPr>
          <w:rFonts w:ascii="Avenir Book" w:hAnsi="Avenir Book" w:cstheme="minorHAnsi"/>
          <w:sz w:val="22"/>
          <w:szCs w:val="22"/>
        </w:rPr>
        <w:t xml:space="preserve"> by Australian governments</w:t>
      </w:r>
      <w:r w:rsidRPr="00761F08">
        <w:rPr>
          <w:rFonts w:ascii="Avenir Book" w:hAnsi="Avenir Book" w:cstheme="minorHAnsi"/>
          <w:sz w:val="22"/>
          <w:szCs w:val="22"/>
        </w:rPr>
        <w:t>, and should include:</w:t>
      </w:r>
    </w:p>
    <w:p w14:paraId="0B845A80" w14:textId="3BB046FC" w:rsidR="001610E9" w:rsidRPr="00761F08" w:rsidRDefault="001610E9" w:rsidP="00EF5411">
      <w:pPr>
        <w:pStyle w:val="ListParagraph"/>
        <w:numPr>
          <w:ilvl w:val="0"/>
          <w:numId w:val="10"/>
        </w:numPr>
        <w:ind w:left="851" w:hanging="425"/>
        <w:rPr>
          <w:rFonts w:ascii="Avenir Book" w:hAnsi="Avenir Book" w:cstheme="minorHAnsi"/>
          <w:sz w:val="22"/>
          <w:szCs w:val="22"/>
        </w:rPr>
      </w:pPr>
      <w:r w:rsidRPr="00761F08">
        <w:rPr>
          <w:rFonts w:ascii="Avenir Book" w:hAnsi="Avenir Book" w:cstheme="minorHAnsi"/>
          <w:sz w:val="22"/>
          <w:szCs w:val="22"/>
        </w:rPr>
        <w:t>A nationally consistent legislative and policy framework that fully complies with CRPD article 24 and General Comment No. 4;</w:t>
      </w:r>
    </w:p>
    <w:p w14:paraId="74A003E4" w14:textId="6A69F077" w:rsidR="00A77A9D" w:rsidRPr="00761F08" w:rsidRDefault="00A77A9D" w:rsidP="00EF5411">
      <w:pPr>
        <w:pStyle w:val="ListParagraph"/>
        <w:numPr>
          <w:ilvl w:val="0"/>
          <w:numId w:val="10"/>
        </w:numPr>
        <w:ind w:left="851" w:hanging="425"/>
        <w:rPr>
          <w:rFonts w:ascii="Avenir Book" w:hAnsi="Avenir Book" w:cstheme="minorHAnsi"/>
          <w:sz w:val="22"/>
          <w:szCs w:val="22"/>
        </w:rPr>
      </w:pPr>
      <w:r w:rsidRPr="00761F08">
        <w:rPr>
          <w:rFonts w:ascii="Avenir Book" w:hAnsi="Avenir Book" w:cstheme="minorHAnsi"/>
          <w:sz w:val="22"/>
          <w:szCs w:val="22"/>
        </w:rPr>
        <w:t>Specific actions to recognise and respond to intersectionality, including for women and girls with disability;</w:t>
      </w:r>
    </w:p>
    <w:p w14:paraId="49B862F8" w14:textId="00A52C83" w:rsidR="001610E9" w:rsidRPr="00761F08" w:rsidRDefault="001610E9" w:rsidP="00EF5411">
      <w:pPr>
        <w:pStyle w:val="ListParagraph"/>
        <w:numPr>
          <w:ilvl w:val="0"/>
          <w:numId w:val="10"/>
        </w:numPr>
        <w:ind w:left="851" w:hanging="425"/>
        <w:rPr>
          <w:rFonts w:ascii="Avenir Book" w:hAnsi="Avenir Book" w:cstheme="minorHAnsi"/>
          <w:sz w:val="22"/>
          <w:szCs w:val="22"/>
        </w:rPr>
      </w:pPr>
      <w:r w:rsidRPr="00761F08">
        <w:rPr>
          <w:rFonts w:ascii="Avenir Book" w:hAnsi="Avenir Book" w:cstheme="minorHAnsi"/>
          <w:sz w:val="22"/>
          <w:szCs w:val="22"/>
        </w:rPr>
        <w:t>Measurable actions and rigorous accountability mechanisms for the transition from segregated models of education to inclusive education;</w:t>
      </w:r>
    </w:p>
    <w:p w14:paraId="0FFDC551" w14:textId="77777777" w:rsidR="00366944" w:rsidRPr="00761F08" w:rsidRDefault="00AD319C" w:rsidP="00EF5411">
      <w:pPr>
        <w:pStyle w:val="ListParagraph"/>
        <w:numPr>
          <w:ilvl w:val="0"/>
          <w:numId w:val="10"/>
        </w:numPr>
        <w:ind w:left="851" w:hanging="425"/>
        <w:rPr>
          <w:rFonts w:ascii="Avenir Book" w:hAnsi="Avenir Book" w:cstheme="minorHAnsi"/>
          <w:sz w:val="22"/>
          <w:szCs w:val="22"/>
        </w:rPr>
      </w:pPr>
      <w:r w:rsidRPr="00761F08">
        <w:rPr>
          <w:rFonts w:ascii="Avenir Book" w:hAnsi="Avenir Book" w:cstheme="minorHAnsi"/>
          <w:sz w:val="22"/>
          <w:szCs w:val="22"/>
        </w:rPr>
        <w:t>R</w:t>
      </w:r>
      <w:r w:rsidR="006D06E3" w:rsidRPr="00761F08">
        <w:rPr>
          <w:rFonts w:ascii="Avenir Book" w:hAnsi="Avenir Book" w:cstheme="minorHAnsi"/>
          <w:sz w:val="22"/>
          <w:szCs w:val="22"/>
        </w:rPr>
        <w:t>eallocation of resources and funding from segregated education models to inclusive education</w:t>
      </w:r>
      <w:r w:rsidR="00366944" w:rsidRPr="00761F08">
        <w:rPr>
          <w:rFonts w:ascii="Avenir Book" w:hAnsi="Avenir Book" w:cstheme="minorHAnsi"/>
          <w:sz w:val="22"/>
          <w:szCs w:val="22"/>
        </w:rPr>
        <w:t>;</w:t>
      </w:r>
    </w:p>
    <w:p w14:paraId="764FB88C" w14:textId="19A5CC54" w:rsidR="001610E9" w:rsidRPr="00761F08" w:rsidRDefault="00366944" w:rsidP="00EF5411">
      <w:pPr>
        <w:pStyle w:val="ListParagraph"/>
        <w:numPr>
          <w:ilvl w:val="0"/>
          <w:numId w:val="10"/>
        </w:numPr>
        <w:ind w:left="851" w:hanging="425"/>
        <w:rPr>
          <w:rFonts w:ascii="Avenir Book" w:hAnsi="Avenir Book" w:cstheme="minorHAnsi"/>
          <w:sz w:val="22"/>
          <w:szCs w:val="22"/>
        </w:rPr>
      </w:pPr>
      <w:r w:rsidRPr="00761F08">
        <w:rPr>
          <w:rFonts w:ascii="Avenir Book" w:hAnsi="Avenir Book" w:cstheme="minorHAnsi"/>
          <w:sz w:val="22"/>
          <w:szCs w:val="22"/>
        </w:rPr>
        <w:t xml:space="preserve">Explicit recognition of the right to be free from violence, abuse, neglect and exploitation, </w:t>
      </w:r>
      <w:r w:rsidR="00130F7A" w:rsidRPr="00761F08">
        <w:rPr>
          <w:rFonts w:ascii="Avenir Book" w:hAnsi="Avenir Book" w:cstheme="minorHAnsi"/>
          <w:sz w:val="22"/>
          <w:szCs w:val="22"/>
        </w:rPr>
        <w:t xml:space="preserve">including behaviour management that constitutes </w:t>
      </w:r>
      <w:r w:rsidRPr="00761F08">
        <w:rPr>
          <w:rFonts w:ascii="Avenir Book" w:hAnsi="Avenir Book" w:cstheme="minorHAnsi"/>
          <w:sz w:val="22"/>
          <w:szCs w:val="22"/>
        </w:rPr>
        <w:t xml:space="preserve">torture and ill-treatment, </w:t>
      </w:r>
      <w:r w:rsidR="00130F7A" w:rsidRPr="00761F08">
        <w:rPr>
          <w:rFonts w:ascii="Avenir Book" w:hAnsi="Avenir Book" w:cstheme="minorHAnsi"/>
          <w:sz w:val="22"/>
          <w:szCs w:val="22"/>
        </w:rPr>
        <w:t>such as</w:t>
      </w:r>
      <w:r w:rsidRPr="00761F08">
        <w:rPr>
          <w:rFonts w:ascii="Avenir Book" w:hAnsi="Avenir Book" w:cstheme="minorHAnsi"/>
          <w:sz w:val="22"/>
          <w:szCs w:val="22"/>
        </w:rPr>
        <w:t xml:space="preserve"> restrictive practices</w:t>
      </w:r>
      <w:r w:rsidR="006D06E3" w:rsidRPr="00761F08">
        <w:rPr>
          <w:rFonts w:ascii="Avenir Book" w:hAnsi="Avenir Book" w:cstheme="minorHAnsi"/>
          <w:sz w:val="22"/>
          <w:szCs w:val="22"/>
        </w:rPr>
        <w:t>.</w:t>
      </w:r>
    </w:p>
    <w:p w14:paraId="19DED08A" w14:textId="13F30671" w:rsidR="00AB2499" w:rsidRPr="00761F08" w:rsidRDefault="00AB2499" w:rsidP="00063AD4">
      <w:pPr>
        <w:spacing w:line="276" w:lineRule="auto"/>
        <w:rPr>
          <w:rFonts w:ascii="Avenir Book" w:hAnsi="Avenir Book" w:cs="Calibri"/>
          <w:sz w:val="22"/>
          <w:szCs w:val="22"/>
        </w:rPr>
      </w:pPr>
    </w:p>
    <w:p w14:paraId="6D4ADB64" w14:textId="77777777" w:rsidR="00AB2499" w:rsidRPr="00761F08" w:rsidRDefault="00AB2499" w:rsidP="00063AD4">
      <w:pPr>
        <w:spacing w:line="276" w:lineRule="auto"/>
        <w:rPr>
          <w:rFonts w:ascii="Avenir Book" w:hAnsi="Avenir Book" w:cs="Calibri"/>
          <w:sz w:val="22"/>
          <w:szCs w:val="22"/>
        </w:rPr>
      </w:pPr>
    </w:p>
    <w:p w14:paraId="651D8146" w14:textId="77777777" w:rsidR="006901C2" w:rsidRPr="00761F08" w:rsidRDefault="006901C2" w:rsidP="00121931">
      <w:pPr>
        <w:spacing w:line="276" w:lineRule="auto"/>
        <w:rPr>
          <w:rFonts w:ascii="Avenir Book" w:hAnsi="Avenir Book" w:cs="Calibri"/>
          <w:sz w:val="22"/>
          <w:szCs w:val="22"/>
        </w:rPr>
      </w:pPr>
    </w:p>
    <w:p w14:paraId="22167437" w14:textId="0C577BCE" w:rsidR="00A16838" w:rsidRPr="006575D7" w:rsidRDefault="00A16838" w:rsidP="00FC4BD0">
      <w:pPr>
        <w:pStyle w:val="ListParagraph"/>
        <w:numPr>
          <w:ilvl w:val="0"/>
          <w:numId w:val="1"/>
        </w:numPr>
        <w:spacing w:line="276" w:lineRule="auto"/>
        <w:rPr>
          <w:rFonts w:ascii="Calibri" w:hAnsi="Calibri" w:cs="Calibri"/>
          <w:iCs/>
          <w:lang w:val="en-AU"/>
        </w:rPr>
      </w:pPr>
      <w:r w:rsidRPr="006575D7">
        <w:rPr>
          <w:rFonts w:ascii="Calibri" w:hAnsi="Calibri" w:cs="Calibri"/>
          <w:iCs/>
          <w:lang w:val="en-AU"/>
        </w:rPr>
        <w:br w:type="page"/>
      </w:r>
    </w:p>
    <w:p w14:paraId="0CD120C9" w14:textId="4BE3AE35" w:rsidR="00A16838" w:rsidRPr="00BB4A8F" w:rsidRDefault="00430D9C" w:rsidP="00EF5411">
      <w:pPr>
        <w:pStyle w:val="Heading2"/>
        <w:numPr>
          <w:ilvl w:val="0"/>
          <w:numId w:val="13"/>
        </w:numPr>
        <w:ind w:left="426" w:hanging="426"/>
        <w:jc w:val="left"/>
        <w:rPr>
          <w:rFonts w:ascii="Avenir Book" w:hAnsi="Avenir Book" w:cs="Calibri"/>
          <w:color w:val="AC1F79"/>
        </w:rPr>
      </w:pPr>
      <w:bookmarkStart w:id="83" w:name="_Toc32759989"/>
      <w:r w:rsidRPr="00BB4A8F">
        <w:rPr>
          <w:rFonts w:ascii="Avenir Book" w:hAnsi="Avenir Book" w:cs="Calibri"/>
          <w:color w:val="AC1F79"/>
        </w:rPr>
        <w:lastRenderedPageBreak/>
        <w:t>Intersectionality</w:t>
      </w:r>
      <w:bookmarkEnd w:id="83"/>
    </w:p>
    <w:p w14:paraId="4E7BF516" w14:textId="77777777" w:rsidR="00430D9C" w:rsidRPr="00BB4A8F" w:rsidRDefault="00430D9C" w:rsidP="00430D9C">
      <w:pPr>
        <w:rPr>
          <w:rFonts w:ascii="Avenir Book" w:hAnsi="Avenir Book"/>
          <w:sz w:val="22"/>
          <w:szCs w:val="22"/>
        </w:rPr>
      </w:pPr>
    </w:p>
    <w:p w14:paraId="5C9B5197" w14:textId="20E3F089"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While the </w:t>
      </w:r>
      <w:r w:rsidR="0005244C" w:rsidRPr="00BB4A8F">
        <w:rPr>
          <w:rFonts w:ascii="Avenir Book" w:hAnsi="Avenir Book"/>
          <w:sz w:val="22"/>
          <w:szCs w:val="22"/>
        </w:rPr>
        <w:t xml:space="preserve">Terms of Reference </w:t>
      </w:r>
      <w:r w:rsidRPr="00BB4A8F">
        <w:rPr>
          <w:rFonts w:ascii="Avenir Book" w:hAnsi="Avenir Book"/>
          <w:sz w:val="22"/>
          <w:szCs w:val="22"/>
        </w:rPr>
        <w:t xml:space="preserve">establishing the Royal Commission require examination of </w:t>
      </w:r>
      <w:r w:rsidR="006F472C" w:rsidRPr="00BB4A8F">
        <w:rPr>
          <w:rFonts w:ascii="Avenir Book" w:hAnsi="Avenir Book"/>
          <w:sz w:val="22"/>
          <w:szCs w:val="22"/>
        </w:rPr>
        <w:t>the intersectional dimensions</w:t>
      </w:r>
      <w:r w:rsidR="00F12461" w:rsidRPr="00BB4A8F">
        <w:rPr>
          <w:rFonts w:ascii="Avenir Book" w:hAnsi="Avenir Book"/>
          <w:sz w:val="22"/>
          <w:szCs w:val="22"/>
        </w:rPr>
        <w:t xml:space="preserve"> </w:t>
      </w:r>
      <w:r w:rsidR="006F472C" w:rsidRPr="00BB4A8F">
        <w:rPr>
          <w:rFonts w:ascii="Avenir Book" w:hAnsi="Avenir Book"/>
          <w:sz w:val="22"/>
          <w:szCs w:val="22"/>
        </w:rPr>
        <w:t>of violence, abuse, neglect and exploitation</w:t>
      </w:r>
      <w:r w:rsidRPr="00BB4A8F">
        <w:rPr>
          <w:rFonts w:ascii="Avenir Book" w:hAnsi="Avenir Book"/>
          <w:sz w:val="22"/>
          <w:szCs w:val="22"/>
        </w:rPr>
        <w:t xml:space="preserve">, we note that to date there has been little to no focus on the intersection between disability and gender.  The Hearings, community forums and the Issues Papers have been </w:t>
      </w:r>
      <w:proofErr w:type="gramStart"/>
      <w:r w:rsidRPr="00BB4A8F">
        <w:rPr>
          <w:rFonts w:ascii="Avenir Book" w:hAnsi="Avenir Book"/>
          <w:sz w:val="22"/>
          <w:szCs w:val="22"/>
        </w:rPr>
        <w:t>gender</w:t>
      </w:r>
      <w:proofErr w:type="gramEnd"/>
      <w:r w:rsidR="00D65996" w:rsidRPr="00BB4A8F">
        <w:rPr>
          <w:rFonts w:ascii="Avenir Book" w:hAnsi="Avenir Book"/>
          <w:sz w:val="22"/>
          <w:szCs w:val="22"/>
        </w:rPr>
        <w:t xml:space="preserve"> </w:t>
      </w:r>
      <w:r w:rsidRPr="00BB4A8F">
        <w:rPr>
          <w:rFonts w:ascii="Avenir Book" w:hAnsi="Avenir Book"/>
          <w:sz w:val="22"/>
          <w:szCs w:val="22"/>
        </w:rPr>
        <w:t xml:space="preserve">neutral with little to no identification of the specific experiences of women and girls with disability.  </w:t>
      </w:r>
    </w:p>
    <w:p w14:paraId="638F7C2D" w14:textId="77777777" w:rsidR="00600359" w:rsidRPr="00BB4A8F" w:rsidRDefault="00600359" w:rsidP="00A16A73">
      <w:pPr>
        <w:pStyle w:val="ListParagraph"/>
        <w:ind w:left="0"/>
        <w:rPr>
          <w:rFonts w:ascii="Avenir Book" w:hAnsi="Avenir Book"/>
          <w:sz w:val="22"/>
          <w:szCs w:val="22"/>
        </w:rPr>
      </w:pPr>
    </w:p>
    <w:p w14:paraId="0CA1156C" w14:textId="566061CA"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The most recent Issues Paper on the criminal justice system does state that the Royal Commission will particularly look at “the experiences of First Nations people with disability, the experiences of culturally and linguistically diverse people with disability, and the experiences of women and children with disability”.</w:t>
      </w:r>
      <w:r w:rsidR="00D65996" w:rsidRPr="00BB4A8F">
        <w:rPr>
          <w:rStyle w:val="FootnoteReference"/>
          <w:rFonts w:ascii="Avenir Book" w:hAnsi="Avenir Book"/>
          <w:sz w:val="22"/>
          <w:szCs w:val="22"/>
        </w:rPr>
        <w:footnoteReference w:id="30"/>
      </w:r>
      <w:r w:rsidR="001D62BE" w:rsidRPr="00BB4A8F">
        <w:rPr>
          <w:rFonts w:ascii="Avenir Book" w:hAnsi="Avenir Book"/>
          <w:sz w:val="22"/>
          <w:szCs w:val="22"/>
        </w:rPr>
        <w:t xml:space="preserve"> </w:t>
      </w:r>
      <w:r w:rsidRPr="00BB4A8F">
        <w:rPr>
          <w:rFonts w:ascii="Avenir Book" w:hAnsi="Avenir Book"/>
          <w:sz w:val="22"/>
          <w:szCs w:val="22"/>
        </w:rPr>
        <w:t xml:space="preserve">While this is welcome, we </w:t>
      </w:r>
      <w:r w:rsidR="001D62BE" w:rsidRPr="00BB4A8F">
        <w:rPr>
          <w:rFonts w:ascii="Avenir Book" w:hAnsi="Avenir Book"/>
          <w:sz w:val="22"/>
          <w:szCs w:val="22"/>
        </w:rPr>
        <w:t xml:space="preserve">argue that the experiences of women and girls with disability need to be a cross-cutting theme throughout </w:t>
      </w:r>
      <w:r w:rsidR="00CA4172" w:rsidRPr="00BB4A8F">
        <w:rPr>
          <w:rFonts w:ascii="Avenir Book" w:hAnsi="Avenir Book"/>
          <w:sz w:val="22"/>
          <w:szCs w:val="22"/>
        </w:rPr>
        <w:t xml:space="preserve">all </w:t>
      </w:r>
      <w:r w:rsidR="001D62BE" w:rsidRPr="00BB4A8F">
        <w:rPr>
          <w:rFonts w:ascii="Avenir Book" w:hAnsi="Avenir Book"/>
          <w:sz w:val="22"/>
          <w:szCs w:val="22"/>
        </w:rPr>
        <w:t xml:space="preserve">the work of the Royal Commission.  </w:t>
      </w:r>
    </w:p>
    <w:p w14:paraId="3CCD3866" w14:textId="77777777" w:rsidR="00600359" w:rsidRPr="00BB4A8F" w:rsidRDefault="00600359" w:rsidP="00A16A73">
      <w:pPr>
        <w:pStyle w:val="ListParagraph"/>
        <w:ind w:left="0"/>
        <w:rPr>
          <w:rFonts w:ascii="Avenir Book" w:hAnsi="Avenir Book"/>
          <w:sz w:val="22"/>
          <w:szCs w:val="22"/>
        </w:rPr>
      </w:pPr>
    </w:p>
    <w:p w14:paraId="42BC114E" w14:textId="746F8970"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The Issues Paper on education and learning does note that CRPD </w:t>
      </w:r>
      <w:r w:rsidR="0097351B" w:rsidRPr="00BB4A8F">
        <w:rPr>
          <w:rFonts w:ascii="Avenir Book" w:hAnsi="Avenir Book"/>
          <w:sz w:val="22"/>
          <w:szCs w:val="22"/>
        </w:rPr>
        <w:t>a</w:t>
      </w:r>
      <w:r w:rsidRPr="00BB4A8F">
        <w:rPr>
          <w:rFonts w:ascii="Avenir Book" w:hAnsi="Avenir Book"/>
          <w:sz w:val="22"/>
          <w:szCs w:val="22"/>
        </w:rPr>
        <w:t xml:space="preserve">rticle 24 is guided by cross-cutting obligations, including </w:t>
      </w:r>
      <w:r w:rsidR="0097351B" w:rsidRPr="00BB4A8F">
        <w:rPr>
          <w:rFonts w:ascii="Avenir Book" w:hAnsi="Avenir Book"/>
          <w:sz w:val="22"/>
          <w:szCs w:val="22"/>
        </w:rPr>
        <w:t>a</w:t>
      </w:r>
      <w:r w:rsidRPr="00BB4A8F">
        <w:rPr>
          <w:rFonts w:ascii="Avenir Book" w:hAnsi="Avenir Book"/>
          <w:sz w:val="22"/>
          <w:szCs w:val="22"/>
        </w:rPr>
        <w:t>rticle 7 on children with disability.</w:t>
      </w:r>
      <w:r w:rsidR="0097351B" w:rsidRPr="00BB4A8F">
        <w:rPr>
          <w:rStyle w:val="FootnoteReference"/>
          <w:rFonts w:ascii="Avenir Book" w:hAnsi="Avenir Book"/>
          <w:sz w:val="22"/>
          <w:szCs w:val="22"/>
        </w:rPr>
        <w:footnoteReference w:id="31"/>
      </w:r>
      <w:r w:rsidRPr="00BB4A8F">
        <w:rPr>
          <w:rFonts w:ascii="Avenir Book" w:hAnsi="Avenir Book"/>
          <w:sz w:val="22"/>
          <w:szCs w:val="22"/>
        </w:rPr>
        <w:t xml:space="preserve">  However, it does not explicitly reference Article 6 on women with disability</w:t>
      </w:r>
      <w:r w:rsidR="00F174D2" w:rsidRPr="00BB4A8F">
        <w:rPr>
          <w:rFonts w:ascii="Avenir Book" w:hAnsi="Avenir Book"/>
          <w:sz w:val="22"/>
          <w:szCs w:val="22"/>
        </w:rPr>
        <w:t xml:space="preserve"> as a cross-cutting obligation.  The term ‘children’ is inclusive of girls with disability</w:t>
      </w:r>
      <w:r w:rsidRPr="00BB4A8F">
        <w:rPr>
          <w:rFonts w:ascii="Avenir Book" w:hAnsi="Avenir Book"/>
          <w:sz w:val="22"/>
          <w:szCs w:val="22"/>
        </w:rPr>
        <w:t xml:space="preserve">, </w:t>
      </w:r>
      <w:r w:rsidR="00F174D2" w:rsidRPr="00BB4A8F">
        <w:rPr>
          <w:rFonts w:ascii="Avenir Book" w:hAnsi="Avenir Book"/>
          <w:sz w:val="22"/>
          <w:szCs w:val="22"/>
        </w:rPr>
        <w:t xml:space="preserve">but </w:t>
      </w:r>
      <w:r w:rsidRPr="00BB4A8F">
        <w:rPr>
          <w:rFonts w:ascii="Avenir Book" w:hAnsi="Avenir Book"/>
          <w:sz w:val="22"/>
          <w:szCs w:val="22"/>
        </w:rPr>
        <w:t xml:space="preserve">there </w:t>
      </w:r>
      <w:r w:rsidR="00F174D2" w:rsidRPr="00BB4A8F">
        <w:rPr>
          <w:rFonts w:ascii="Avenir Book" w:hAnsi="Avenir Book"/>
          <w:sz w:val="22"/>
          <w:szCs w:val="22"/>
        </w:rPr>
        <w:t>is no</w:t>
      </w:r>
      <w:r w:rsidRPr="00BB4A8F">
        <w:rPr>
          <w:rFonts w:ascii="Avenir Book" w:hAnsi="Avenir Book"/>
          <w:sz w:val="22"/>
          <w:szCs w:val="22"/>
        </w:rPr>
        <w:t xml:space="preserve"> gender specific content within the Issues Paper</w:t>
      </w:r>
      <w:r w:rsidR="00F174D2" w:rsidRPr="00BB4A8F">
        <w:rPr>
          <w:rFonts w:ascii="Avenir Book" w:hAnsi="Avenir Book"/>
          <w:sz w:val="22"/>
          <w:szCs w:val="22"/>
        </w:rPr>
        <w:t>.</w:t>
      </w:r>
      <w:r w:rsidR="00CE236E" w:rsidRPr="00BB4A8F">
        <w:rPr>
          <w:rFonts w:ascii="Avenir Book" w:hAnsi="Avenir Book"/>
          <w:sz w:val="22"/>
          <w:szCs w:val="22"/>
        </w:rPr>
        <w:t xml:space="preserve"> </w:t>
      </w:r>
    </w:p>
    <w:p w14:paraId="58013CAF" w14:textId="77777777" w:rsidR="00600359" w:rsidRPr="00BB4A8F" w:rsidRDefault="00600359" w:rsidP="00A16A73">
      <w:pPr>
        <w:pStyle w:val="ListParagraph"/>
        <w:ind w:left="0"/>
        <w:rPr>
          <w:rFonts w:ascii="Avenir Book" w:hAnsi="Avenir Book"/>
          <w:sz w:val="22"/>
          <w:szCs w:val="22"/>
        </w:rPr>
      </w:pPr>
    </w:p>
    <w:p w14:paraId="01CA6C64" w14:textId="6B27884F"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Intersectionality is a key </w:t>
      </w:r>
      <w:r w:rsidR="009F2F56" w:rsidRPr="00BB4A8F">
        <w:rPr>
          <w:rFonts w:ascii="Avenir Book" w:hAnsi="Avenir Book"/>
          <w:sz w:val="22"/>
          <w:szCs w:val="22"/>
        </w:rPr>
        <w:t>element</w:t>
      </w:r>
      <w:r w:rsidRPr="00BB4A8F">
        <w:rPr>
          <w:rFonts w:ascii="Avenir Book" w:hAnsi="Avenir Book"/>
          <w:sz w:val="22"/>
          <w:szCs w:val="22"/>
        </w:rPr>
        <w:t xml:space="preserve"> of the human rights approach to disability required by the CRPD.</w:t>
      </w:r>
    </w:p>
    <w:p w14:paraId="6BA1BEB7" w14:textId="77777777" w:rsidR="00600359" w:rsidRPr="00BB4A8F" w:rsidRDefault="00600359" w:rsidP="00A16A73">
      <w:pPr>
        <w:pStyle w:val="ListParagraph"/>
        <w:ind w:left="0"/>
        <w:rPr>
          <w:rFonts w:ascii="Avenir Book" w:hAnsi="Avenir Book"/>
          <w:sz w:val="22"/>
          <w:szCs w:val="22"/>
        </w:rPr>
      </w:pPr>
    </w:p>
    <w:p w14:paraId="7C2A232A" w14:textId="46B24CD7"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People with disability, including women and girls with disability have their rights articulated and upheld through all the international human rights treaties to which Australia is a party.</w:t>
      </w:r>
      <w:r w:rsidR="001B582C" w:rsidRPr="00BB4A8F">
        <w:rPr>
          <w:rStyle w:val="FootnoteReference"/>
          <w:rFonts w:ascii="Avenir Book" w:hAnsi="Avenir Book"/>
          <w:sz w:val="22"/>
          <w:szCs w:val="22"/>
        </w:rPr>
        <w:footnoteReference w:id="32"/>
      </w:r>
      <w:r w:rsidRPr="00BB4A8F">
        <w:rPr>
          <w:rFonts w:ascii="Avenir Book" w:hAnsi="Avenir Book"/>
          <w:sz w:val="22"/>
          <w:szCs w:val="22"/>
        </w:rPr>
        <w:t xml:space="preserve"> However, until the development and adoption of the CRPD, the application of human rights to the issues and concerns of people with disability were largely invisible and not addressed.</w:t>
      </w:r>
      <w:r w:rsidR="006805E5" w:rsidRPr="00BB4A8F">
        <w:rPr>
          <w:rStyle w:val="FootnoteReference"/>
          <w:rFonts w:ascii="Avenir Book" w:hAnsi="Avenir Book"/>
          <w:sz w:val="22"/>
          <w:szCs w:val="22"/>
        </w:rPr>
        <w:footnoteReference w:id="33"/>
      </w:r>
      <w:r w:rsidRPr="00BB4A8F">
        <w:rPr>
          <w:rFonts w:ascii="Avenir Book" w:hAnsi="Avenir Book"/>
          <w:sz w:val="22"/>
          <w:szCs w:val="22"/>
        </w:rPr>
        <w:t xml:space="preserve"> The CRPD is a response to th</w:t>
      </w:r>
      <w:r w:rsidR="00E1031E" w:rsidRPr="00BB4A8F">
        <w:rPr>
          <w:rFonts w:ascii="Avenir Book" w:hAnsi="Avenir Book"/>
          <w:sz w:val="22"/>
          <w:szCs w:val="22"/>
        </w:rPr>
        <w:t>is</w:t>
      </w:r>
      <w:r w:rsidRPr="00BB4A8F">
        <w:rPr>
          <w:rFonts w:ascii="Avenir Book" w:hAnsi="Avenir Book"/>
          <w:sz w:val="22"/>
          <w:szCs w:val="22"/>
        </w:rPr>
        <w:t xml:space="preserve"> lack of recognition of the rights of persons with disability.</w:t>
      </w:r>
    </w:p>
    <w:p w14:paraId="02443932" w14:textId="77777777" w:rsidR="00600359" w:rsidRPr="00BB4A8F" w:rsidRDefault="00600359" w:rsidP="00A16A73">
      <w:pPr>
        <w:pStyle w:val="ListParagraph"/>
        <w:ind w:left="0"/>
        <w:rPr>
          <w:rFonts w:ascii="Avenir Book" w:hAnsi="Avenir Book"/>
          <w:sz w:val="22"/>
          <w:szCs w:val="22"/>
        </w:rPr>
      </w:pPr>
    </w:p>
    <w:p w14:paraId="30F9A21D" w14:textId="6DCFD788" w:rsidR="0033434D"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Until the CRPD, the specific issues and concerns for women and girls with disability </w:t>
      </w:r>
      <w:r w:rsidR="00B73C8A" w:rsidRPr="00BB4A8F">
        <w:rPr>
          <w:rFonts w:ascii="Avenir Book" w:hAnsi="Avenir Book"/>
          <w:sz w:val="22"/>
          <w:szCs w:val="22"/>
        </w:rPr>
        <w:t xml:space="preserve">were </w:t>
      </w:r>
      <w:r w:rsidRPr="00BB4A8F">
        <w:rPr>
          <w:rFonts w:ascii="Avenir Book" w:hAnsi="Avenir Book"/>
          <w:sz w:val="22"/>
          <w:szCs w:val="22"/>
        </w:rPr>
        <w:t>mainly articulated, in varying degrees</w:t>
      </w:r>
      <w:r w:rsidR="00C13735" w:rsidRPr="00BB4A8F">
        <w:rPr>
          <w:rFonts w:ascii="Avenir Book" w:hAnsi="Avenir Book"/>
          <w:sz w:val="22"/>
          <w:szCs w:val="22"/>
        </w:rPr>
        <w:t>,</w:t>
      </w:r>
      <w:r w:rsidRPr="00BB4A8F">
        <w:rPr>
          <w:rFonts w:ascii="Avenir Book" w:hAnsi="Avenir Book"/>
          <w:sz w:val="22"/>
          <w:szCs w:val="22"/>
        </w:rPr>
        <w:t xml:space="preserve"> within the jurisprudence developed under the </w:t>
      </w:r>
      <w:r w:rsidRPr="00BB4A8F">
        <w:rPr>
          <w:rFonts w:ascii="Avenir Book" w:hAnsi="Avenir Book"/>
          <w:i/>
          <w:sz w:val="22"/>
          <w:szCs w:val="22"/>
        </w:rPr>
        <w:t>Convention on the Elimination of all Forms of Discrimination against Women</w:t>
      </w:r>
      <w:r w:rsidRPr="00BB4A8F">
        <w:rPr>
          <w:rFonts w:ascii="Avenir Book" w:hAnsi="Avenir Book"/>
          <w:sz w:val="22"/>
          <w:szCs w:val="22"/>
        </w:rPr>
        <w:t xml:space="preserve"> (CEDAW) and the </w:t>
      </w:r>
      <w:r w:rsidRPr="00BB4A8F">
        <w:rPr>
          <w:rFonts w:ascii="Avenir Book" w:hAnsi="Avenir Book"/>
          <w:i/>
          <w:sz w:val="22"/>
          <w:szCs w:val="22"/>
        </w:rPr>
        <w:t>Convention on the Rights of the Child</w:t>
      </w:r>
      <w:r w:rsidRPr="00BB4A8F">
        <w:rPr>
          <w:rFonts w:ascii="Avenir Book" w:hAnsi="Avenir Book"/>
          <w:sz w:val="22"/>
          <w:szCs w:val="22"/>
        </w:rPr>
        <w:t xml:space="preserve"> (CRC).  </w:t>
      </w:r>
    </w:p>
    <w:p w14:paraId="426BF6DD" w14:textId="77777777" w:rsidR="00600359" w:rsidRPr="00BB4A8F" w:rsidRDefault="00600359" w:rsidP="005248CC">
      <w:pPr>
        <w:rPr>
          <w:rFonts w:ascii="Avenir Book" w:hAnsi="Avenir Book"/>
          <w:sz w:val="22"/>
          <w:szCs w:val="22"/>
        </w:rPr>
      </w:pPr>
    </w:p>
    <w:p w14:paraId="659668FA" w14:textId="1F19846A" w:rsidR="00B73C8A" w:rsidRPr="00BB4A8F" w:rsidRDefault="00430D9C" w:rsidP="00EF5411">
      <w:pPr>
        <w:pStyle w:val="ListParagraph"/>
        <w:numPr>
          <w:ilvl w:val="1"/>
          <w:numId w:val="24"/>
        </w:numPr>
        <w:spacing w:after="120"/>
        <w:ind w:left="992" w:hanging="567"/>
        <w:contextualSpacing w:val="0"/>
        <w:rPr>
          <w:rFonts w:ascii="Avenir Book" w:hAnsi="Avenir Book"/>
          <w:sz w:val="22"/>
          <w:szCs w:val="22"/>
        </w:rPr>
      </w:pPr>
      <w:r w:rsidRPr="00BB4A8F">
        <w:rPr>
          <w:rFonts w:ascii="Avenir Book" w:hAnsi="Avenir Book"/>
          <w:sz w:val="22"/>
          <w:szCs w:val="22"/>
        </w:rPr>
        <w:lastRenderedPageBreak/>
        <w:t>However, the CRPD explicitly acknowledges different layers or intersections of identity, through its preamble paragraph (p)</w:t>
      </w:r>
      <w:r w:rsidR="00B73C8A" w:rsidRPr="00BB4A8F">
        <w:rPr>
          <w:rFonts w:ascii="Avenir Book" w:hAnsi="Avenir Book"/>
          <w:sz w:val="22"/>
          <w:szCs w:val="22"/>
        </w:rPr>
        <w:t>:</w:t>
      </w:r>
    </w:p>
    <w:p w14:paraId="56463EF2" w14:textId="479EDB8A" w:rsidR="00B73C8A" w:rsidRPr="00BB4A8F" w:rsidRDefault="00B73C8A" w:rsidP="00866DCB">
      <w:pPr>
        <w:pStyle w:val="ListParagraph"/>
        <w:ind w:left="1276" w:right="720"/>
        <w:rPr>
          <w:rFonts w:ascii="Avenir Book" w:hAnsi="Avenir Book"/>
          <w:sz w:val="22"/>
          <w:szCs w:val="22"/>
        </w:rPr>
      </w:pPr>
      <w:r w:rsidRPr="00BB4A8F">
        <w:rPr>
          <w:rFonts w:ascii="Avenir Book" w:hAnsi="Avenir Book"/>
          <w:sz w:val="22"/>
          <w:szCs w:val="22"/>
        </w:rPr>
        <w:t>“Concerned about the difficult conditions faced by persons with disabilities who are subject to multiple and aggravated forms of discrimination on the basis of race, colour, sex, language, religion, political or other opinion, national, ethnic, indigenous or social origin, property, birth, age or other status”</w:t>
      </w:r>
      <w:r w:rsidR="00EE0328" w:rsidRPr="00BB4A8F">
        <w:rPr>
          <w:rFonts w:ascii="Avenir Book" w:hAnsi="Avenir Book"/>
          <w:sz w:val="22"/>
          <w:szCs w:val="22"/>
        </w:rPr>
        <w:t>.</w:t>
      </w:r>
    </w:p>
    <w:p w14:paraId="1D11D04D" w14:textId="77777777" w:rsidR="00430D9C" w:rsidRPr="00BB4A8F" w:rsidRDefault="00430D9C" w:rsidP="0033434D">
      <w:pPr>
        <w:rPr>
          <w:rFonts w:ascii="Avenir Book" w:hAnsi="Avenir Book"/>
          <w:sz w:val="22"/>
          <w:szCs w:val="22"/>
        </w:rPr>
      </w:pPr>
    </w:p>
    <w:p w14:paraId="4F70DF0E" w14:textId="3310B7D9"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Intersectional discrimination acknowledges that people with disability do not experience discrimination in the same way as a homogenous group. It recognises the “multidimensional layers of identities, statuses and life realities”</w:t>
      </w:r>
      <w:r w:rsidR="00C427CF" w:rsidRPr="00BB4A8F">
        <w:rPr>
          <w:rStyle w:val="FootnoteReference"/>
          <w:rFonts w:ascii="Avenir Book" w:hAnsi="Avenir Book"/>
          <w:sz w:val="22"/>
          <w:szCs w:val="22"/>
        </w:rPr>
        <w:footnoteReference w:id="34"/>
      </w:r>
      <w:r w:rsidRPr="00BB4A8F">
        <w:rPr>
          <w:rFonts w:ascii="Avenir Book" w:hAnsi="Avenir Book"/>
          <w:sz w:val="22"/>
          <w:szCs w:val="22"/>
        </w:rPr>
        <w:t xml:space="preserve"> that “interact with each other at the same time in such a way as to be inseparable”.</w:t>
      </w:r>
      <w:r w:rsidR="009B0622" w:rsidRPr="00BB4A8F">
        <w:rPr>
          <w:rStyle w:val="FootnoteReference"/>
          <w:rFonts w:ascii="Avenir Book" w:hAnsi="Avenir Book"/>
          <w:sz w:val="22"/>
          <w:szCs w:val="22"/>
        </w:rPr>
        <w:footnoteReference w:id="35"/>
      </w:r>
    </w:p>
    <w:p w14:paraId="2369C3CB" w14:textId="77777777" w:rsidR="005248CC" w:rsidRPr="00BB4A8F" w:rsidRDefault="005248CC" w:rsidP="00A16A73">
      <w:pPr>
        <w:pStyle w:val="ListParagraph"/>
        <w:ind w:left="0"/>
        <w:rPr>
          <w:rFonts w:ascii="Avenir Book" w:hAnsi="Avenir Book"/>
          <w:sz w:val="22"/>
          <w:szCs w:val="22"/>
        </w:rPr>
      </w:pPr>
    </w:p>
    <w:p w14:paraId="2871605E" w14:textId="5888FB75" w:rsidR="0083635D" w:rsidRPr="00BB4A8F" w:rsidRDefault="0083635D"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Intersectional discrimination is specifically articulated for women and girls with disability and children with disability in the CRPD through the inclusion of article 6, </w:t>
      </w:r>
      <w:r w:rsidRPr="00BB4A8F">
        <w:rPr>
          <w:rFonts w:ascii="Avenir Book" w:hAnsi="Avenir Book"/>
          <w:i/>
          <w:sz w:val="22"/>
          <w:szCs w:val="22"/>
        </w:rPr>
        <w:t>Women with disabilities</w:t>
      </w:r>
      <w:r w:rsidRPr="00BB4A8F">
        <w:rPr>
          <w:rFonts w:ascii="Avenir Book" w:hAnsi="Avenir Book"/>
          <w:sz w:val="22"/>
          <w:szCs w:val="22"/>
        </w:rPr>
        <w:t xml:space="preserve"> and article 7, </w:t>
      </w:r>
      <w:r w:rsidRPr="00BB4A8F">
        <w:rPr>
          <w:rFonts w:ascii="Avenir Book" w:hAnsi="Avenir Book"/>
          <w:i/>
          <w:sz w:val="22"/>
          <w:szCs w:val="22"/>
        </w:rPr>
        <w:t>Children with disabilities</w:t>
      </w:r>
      <w:r w:rsidRPr="00BB4A8F">
        <w:rPr>
          <w:rFonts w:ascii="Avenir Book" w:hAnsi="Avenir Book"/>
          <w:sz w:val="22"/>
          <w:szCs w:val="22"/>
        </w:rPr>
        <w:t xml:space="preserve">. </w:t>
      </w:r>
    </w:p>
    <w:p w14:paraId="661D9A01" w14:textId="77777777" w:rsidR="005248CC" w:rsidRPr="00BB4A8F" w:rsidRDefault="005248CC" w:rsidP="00A16A73">
      <w:pPr>
        <w:pStyle w:val="ListParagraph"/>
        <w:ind w:left="0"/>
        <w:rPr>
          <w:rFonts w:ascii="Avenir Book" w:hAnsi="Avenir Book"/>
          <w:sz w:val="22"/>
          <w:szCs w:val="22"/>
        </w:rPr>
      </w:pPr>
    </w:p>
    <w:p w14:paraId="3F83F779" w14:textId="6C9FA721" w:rsidR="00430D9C" w:rsidRPr="00BB4A8F" w:rsidRDefault="00430D9C" w:rsidP="00EF5411">
      <w:pPr>
        <w:pStyle w:val="ListParagraph"/>
        <w:numPr>
          <w:ilvl w:val="1"/>
          <w:numId w:val="24"/>
        </w:numPr>
        <w:spacing w:after="120"/>
        <w:ind w:left="992" w:hanging="567"/>
        <w:contextualSpacing w:val="0"/>
        <w:rPr>
          <w:rFonts w:ascii="Avenir Book" w:hAnsi="Avenir Book"/>
          <w:sz w:val="22"/>
          <w:szCs w:val="22"/>
        </w:rPr>
      </w:pPr>
      <w:r w:rsidRPr="00BB4A8F">
        <w:rPr>
          <w:rFonts w:ascii="Avenir Book" w:hAnsi="Avenir Book"/>
          <w:sz w:val="22"/>
          <w:szCs w:val="22"/>
        </w:rPr>
        <w:t xml:space="preserve">Intersectional discrimination recognises the diversity of women and girls with disability: </w:t>
      </w:r>
    </w:p>
    <w:p w14:paraId="239B024D" w14:textId="29B140F2" w:rsidR="00430D9C" w:rsidRPr="00BB4A8F" w:rsidRDefault="00430D9C" w:rsidP="0064398D">
      <w:pPr>
        <w:pStyle w:val="ListParagraph"/>
        <w:ind w:left="1276" w:right="720"/>
        <w:rPr>
          <w:rFonts w:ascii="Avenir Book" w:hAnsi="Avenir Book"/>
          <w:sz w:val="22"/>
          <w:szCs w:val="22"/>
        </w:rPr>
      </w:pPr>
      <w:r w:rsidRPr="00BB4A8F">
        <w:rPr>
          <w:rFonts w:ascii="Avenir Book" w:hAnsi="Avenir Book"/>
          <w:sz w:val="22"/>
          <w:szCs w:val="22"/>
        </w:rPr>
        <w:t>“They include indigenous women; refugee, migrant, asylum-seeing and internally displaced women; women in detention (hospitals, residential institutions, juvenile or correctional facilities and prisons); women living in poverty; women from different ethnic, religious and racial backgrounds; women with multiple disabilities and high levels of support; women with albinism; and lesbian, bisexual and transgender women, as well as intersex persons.”</w:t>
      </w:r>
      <w:r w:rsidR="009B0622" w:rsidRPr="00BB4A8F">
        <w:rPr>
          <w:rStyle w:val="FootnoteReference"/>
          <w:rFonts w:ascii="Avenir Book" w:hAnsi="Avenir Book"/>
          <w:sz w:val="22"/>
          <w:szCs w:val="22"/>
        </w:rPr>
        <w:footnoteReference w:id="36"/>
      </w:r>
      <w:r w:rsidRPr="00BB4A8F">
        <w:rPr>
          <w:rFonts w:ascii="Avenir Book" w:hAnsi="Avenir Book"/>
          <w:sz w:val="22"/>
          <w:szCs w:val="22"/>
        </w:rPr>
        <w:t xml:space="preserve"> </w:t>
      </w:r>
    </w:p>
    <w:p w14:paraId="718FECC5" w14:textId="77777777" w:rsidR="00430D9C" w:rsidRPr="00BB4A8F" w:rsidRDefault="00430D9C" w:rsidP="00A16A73">
      <w:pPr>
        <w:pStyle w:val="ListParagraph"/>
        <w:ind w:left="0"/>
        <w:rPr>
          <w:rFonts w:ascii="Avenir Book" w:hAnsi="Avenir Book"/>
          <w:sz w:val="22"/>
          <w:szCs w:val="22"/>
        </w:rPr>
      </w:pPr>
    </w:p>
    <w:p w14:paraId="397B41C5" w14:textId="6AC72069"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Article 6 recognises “that women and girls with disabilities are subject to multiple discrimination”</w:t>
      </w:r>
      <w:r w:rsidR="00471E94" w:rsidRPr="00BB4A8F">
        <w:rPr>
          <w:rFonts w:ascii="Avenir Book" w:hAnsi="Avenir Book"/>
          <w:sz w:val="22"/>
          <w:szCs w:val="22"/>
        </w:rPr>
        <w:t>,</w:t>
      </w:r>
      <w:r w:rsidR="00707DEE" w:rsidRPr="00BB4A8F">
        <w:rPr>
          <w:rStyle w:val="FootnoteReference"/>
          <w:rFonts w:ascii="Avenir Book" w:hAnsi="Avenir Book"/>
          <w:sz w:val="22"/>
          <w:szCs w:val="22"/>
        </w:rPr>
        <w:footnoteReference w:id="37"/>
      </w:r>
      <w:r w:rsidRPr="00BB4A8F">
        <w:rPr>
          <w:rFonts w:ascii="Avenir Book" w:hAnsi="Avenir Book"/>
          <w:sz w:val="22"/>
          <w:szCs w:val="22"/>
        </w:rPr>
        <w:t xml:space="preserve"> which establishes “the first binding intersectionality clause in a human rights treaty”.</w:t>
      </w:r>
      <w:r w:rsidR="00471E94" w:rsidRPr="00BB4A8F">
        <w:rPr>
          <w:rStyle w:val="FootnoteReference"/>
          <w:rFonts w:ascii="Avenir Book" w:hAnsi="Avenir Book"/>
          <w:sz w:val="22"/>
          <w:szCs w:val="22"/>
        </w:rPr>
        <w:footnoteReference w:id="38"/>
      </w:r>
      <w:r w:rsidRPr="00BB4A8F">
        <w:rPr>
          <w:rFonts w:ascii="Avenir Book" w:hAnsi="Avenir Book"/>
          <w:sz w:val="22"/>
          <w:szCs w:val="22"/>
        </w:rPr>
        <w:t xml:space="preserve"> </w:t>
      </w:r>
    </w:p>
    <w:p w14:paraId="74334B7C" w14:textId="77777777" w:rsidR="00775F6C" w:rsidRPr="00BB4A8F" w:rsidRDefault="00775F6C" w:rsidP="00A16A73">
      <w:pPr>
        <w:rPr>
          <w:rFonts w:ascii="Avenir Book" w:hAnsi="Avenir Book"/>
          <w:sz w:val="22"/>
          <w:szCs w:val="22"/>
        </w:rPr>
      </w:pPr>
    </w:p>
    <w:p w14:paraId="6227816B" w14:textId="61461636"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Importantly, article 6 is a cross-cutting article that relates to all other articles of the CRPD</w:t>
      </w:r>
      <w:r w:rsidR="002C27AC" w:rsidRPr="00BB4A8F">
        <w:rPr>
          <w:rFonts w:ascii="Avenir Book" w:hAnsi="Avenir Book"/>
          <w:sz w:val="22"/>
          <w:szCs w:val="22"/>
        </w:rPr>
        <w:t>.</w:t>
      </w:r>
      <w:r w:rsidR="002C27AC" w:rsidRPr="00BB4A8F">
        <w:rPr>
          <w:rStyle w:val="FootnoteReference"/>
          <w:rFonts w:ascii="Avenir Book" w:hAnsi="Avenir Book"/>
          <w:sz w:val="22"/>
          <w:szCs w:val="22"/>
        </w:rPr>
        <w:footnoteReference w:id="39"/>
      </w:r>
      <w:r w:rsidR="002C27AC" w:rsidRPr="00BB4A8F">
        <w:rPr>
          <w:rFonts w:ascii="Avenir Book" w:hAnsi="Avenir Book"/>
          <w:sz w:val="22"/>
          <w:szCs w:val="22"/>
        </w:rPr>
        <w:t xml:space="preserve"> </w:t>
      </w:r>
      <w:r w:rsidRPr="00BB4A8F">
        <w:rPr>
          <w:rFonts w:ascii="Avenir Book" w:hAnsi="Avenir Book"/>
          <w:sz w:val="22"/>
          <w:szCs w:val="22"/>
        </w:rPr>
        <w:t>This means that the issues and concerns of women and girls with disability must be included in all actions to implement the CRPD, including the implementation of “positive measures… to ensure that women with disabilities are protected against multiple discrimination and can enjoy human rights and fundamental freedoms on an equal basis with others”.</w:t>
      </w:r>
      <w:r w:rsidR="002C27AC" w:rsidRPr="00BB4A8F">
        <w:rPr>
          <w:rStyle w:val="FootnoteReference"/>
          <w:rFonts w:ascii="Avenir Book" w:hAnsi="Avenir Book"/>
          <w:sz w:val="22"/>
          <w:szCs w:val="22"/>
        </w:rPr>
        <w:footnoteReference w:id="40"/>
      </w:r>
      <w:r w:rsidRPr="00BB4A8F">
        <w:rPr>
          <w:rFonts w:ascii="Avenir Book" w:hAnsi="Avenir Book"/>
          <w:sz w:val="22"/>
          <w:szCs w:val="22"/>
        </w:rPr>
        <w:t xml:space="preserve"> </w:t>
      </w:r>
    </w:p>
    <w:p w14:paraId="5F99A3E1" w14:textId="77777777" w:rsidR="00775F6C" w:rsidRPr="00BB4A8F" w:rsidRDefault="00775F6C" w:rsidP="00775F6C">
      <w:pPr>
        <w:rPr>
          <w:rFonts w:ascii="Avenir Book" w:hAnsi="Avenir Book"/>
          <w:sz w:val="22"/>
          <w:szCs w:val="22"/>
        </w:rPr>
      </w:pPr>
    </w:p>
    <w:p w14:paraId="3BD793BC" w14:textId="42A01479" w:rsidR="00430D9C" w:rsidRPr="00BB4A8F" w:rsidRDefault="00430D9C" w:rsidP="00EF5411">
      <w:pPr>
        <w:pStyle w:val="ListParagraph"/>
        <w:numPr>
          <w:ilvl w:val="1"/>
          <w:numId w:val="24"/>
        </w:numPr>
        <w:spacing w:after="120"/>
        <w:ind w:left="992" w:hanging="567"/>
        <w:contextualSpacing w:val="0"/>
        <w:rPr>
          <w:rFonts w:ascii="Avenir Book" w:hAnsi="Avenir Book"/>
          <w:sz w:val="22"/>
          <w:szCs w:val="22"/>
        </w:rPr>
      </w:pPr>
      <w:r w:rsidRPr="00BB4A8F">
        <w:rPr>
          <w:rFonts w:ascii="Avenir Book" w:hAnsi="Avenir Book"/>
          <w:sz w:val="22"/>
          <w:szCs w:val="22"/>
        </w:rPr>
        <w:t>Article 6 ensures that the CRPD is not gender neutral</w:t>
      </w:r>
      <w:r w:rsidR="00046A85" w:rsidRPr="00BB4A8F">
        <w:rPr>
          <w:rFonts w:ascii="Avenir Book" w:hAnsi="Avenir Book"/>
          <w:sz w:val="22"/>
          <w:szCs w:val="22"/>
        </w:rPr>
        <w:t>,</w:t>
      </w:r>
      <w:r w:rsidRPr="00BB4A8F">
        <w:rPr>
          <w:rFonts w:ascii="Avenir Book" w:hAnsi="Avenir Book"/>
          <w:sz w:val="22"/>
          <w:szCs w:val="22"/>
        </w:rPr>
        <w:t xml:space="preserve"> and this is reinforced by other elements within the CRPD:</w:t>
      </w:r>
    </w:p>
    <w:p w14:paraId="584B5BC0" w14:textId="565CF7E4" w:rsidR="00430D9C" w:rsidRPr="00BB4A8F" w:rsidRDefault="00430D9C" w:rsidP="00EF5411">
      <w:pPr>
        <w:pStyle w:val="ListParagraph"/>
        <w:numPr>
          <w:ilvl w:val="0"/>
          <w:numId w:val="4"/>
        </w:numPr>
        <w:snapToGrid w:val="0"/>
        <w:spacing w:after="120"/>
        <w:ind w:left="1276" w:hanging="284"/>
        <w:contextualSpacing w:val="0"/>
        <w:rPr>
          <w:rFonts w:ascii="Avenir Book" w:hAnsi="Avenir Book"/>
          <w:sz w:val="22"/>
          <w:szCs w:val="22"/>
        </w:rPr>
      </w:pPr>
      <w:r w:rsidRPr="00BB4A8F">
        <w:rPr>
          <w:rFonts w:ascii="Avenir Book" w:hAnsi="Avenir Book"/>
          <w:sz w:val="22"/>
          <w:szCs w:val="22"/>
        </w:rPr>
        <w:lastRenderedPageBreak/>
        <w:t>Preamble paragraph (s) states</w:t>
      </w:r>
      <w:r w:rsidR="00046A85" w:rsidRPr="00BB4A8F">
        <w:rPr>
          <w:rFonts w:ascii="Avenir Book" w:hAnsi="Avenir Book"/>
          <w:sz w:val="22"/>
          <w:szCs w:val="22"/>
        </w:rPr>
        <w:t>,</w:t>
      </w:r>
      <w:r w:rsidRPr="00BB4A8F">
        <w:rPr>
          <w:rFonts w:ascii="Avenir Book" w:hAnsi="Avenir Book"/>
          <w:sz w:val="22"/>
          <w:szCs w:val="22"/>
        </w:rPr>
        <w:t xml:space="preserve"> “[e]</w:t>
      </w:r>
      <w:proofErr w:type="spellStart"/>
      <w:r w:rsidRPr="00BB4A8F">
        <w:rPr>
          <w:rFonts w:ascii="Avenir Book" w:hAnsi="Avenir Book"/>
          <w:sz w:val="22"/>
          <w:szCs w:val="22"/>
        </w:rPr>
        <w:t>mphasising</w:t>
      </w:r>
      <w:proofErr w:type="spellEnd"/>
      <w:r w:rsidRPr="00BB4A8F">
        <w:rPr>
          <w:rFonts w:ascii="Avenir Book" w:hAnsi="Avenir Book"/>
          <w:sz w:val="22"/>
          <w:szCs w:val="22"/>
        </w:rPr>
        <w:t xml:space="preserve"> the need to incorporate a gender perspective in all efforts to promote the full enjoyment of human rights and fundamental freedoms by persons with disabilitie</w:t>
      </w:r>
      <w:r w:rsidR="00EE0328" w:rsidRPr="00BB4A8F">
        <w:rPr>
          <w:rFonts w:ascii="Avenir Book" w:hAnsi="Avenir Book"/>
          <w:sz w:val="22"/>
          <w:szCs w:val="22"/>
        </w:rPr>
        <w:t>s</w:t>
      </w:r>
      <w:r w:rsidRPr="00BB4A8F">
        <w:rPr>
          <w:rFonts w:ascii="Avenir Book" w:hAnsi="Avenir Book"/>
          <w:sz w:val="22"/>
          <w:szCs w:val="22"/>
        </w:rPr>
        <w:t>”;</w:t>
      </w:r>
    </w:p>
    <w:p w14:paraId="5E0BC764" w14:textId="70F0E2A9" w:rsidR="00430D9C" w:rsidRPr="00BB4A8F" w:rsidRDefault="00430D9C" w:rsidP="00EF5411">
      <w:pPr>
        <w:pStyle w:val="ListParagraph"/>
        <w:numPr>
          <w:ilvl w:val="0"/>
          <w:numId w:val="4"/>
        </w:numPr>
        <w:snapToGrid w:val="0"/>
        <w:spacing w:after="120"/>
        <w:ind w:left="1276" w:hanging="284"/>
        <w:contextualSpacing w:val="0"/>
        <w:rPr>
          <w:rFonts w:ascii="Avenir Book" w:hAnsi="Avenir Book"/>
          <w:sz w:val="22"/>
          <w:szCs w:val="22"/>
        </w:rPr>
      </w:pPr>
      <w:r w:rsidRPr="00BB4A8F">
        <w:rPr>
          <w:rFonts w:ascii="Avenir Book" w:hAnsi="Avenir Book"/>
          <w:sz w:val="22"/>
          <w:szCs w:val="22"/>
        </w:rPr>
        <w:t>Article 3 (g) contains the principle “Equality between men and women”;</w:t>
      </w:r>
      <w:r w:rsidR="00EE0328" w:rsidRPr="00BB4A8F">
        <w:rPr>
          <w:rFonts w:ascii="Avenir Book" w:hAnsi="Avenir Book"/>
          <w:sz w:val="22"/>
          <w:szCs w:val="22"/>
        </w:rPr>
        <w:t xml:space="preserve"> and </w:t>
      </w:r>
    </w:p>
    <w:p w14:paraId="04ED1DB9" w14:textId="54F824D4" w:rsidR="00430D9C" w:rsidRPr="00BB4A8F" w:rsidRDefault="00EE0328" w:rsidP="00EF5411">
      <w:pPr>
        <w:pStyle w:val="ListParagraph"/>
        <w:numPr>
          <w:ilvl w:val="0"/>
          <w:numId w:val="4"/>
        </w:numPr>
        <w:ind w:left="1276" w:hanging="283"/>
        <w:rPr>
          <w:rFonts w:ascii="Avenir Book" w:hAnsi="Avenir Book"/>
          <w:sz w:val="22"/>
          <w:szCs w:val="22"/>
        </w:rPr>
      </w:pPr>
      <w:r w:rsidRPr="00BB4A8F">
        <w:rPr>
          <w:rFonts w:ascii="Avenir Book" w:hAnsi="Avenir Book"/>
          <w:sz w:val="22"/>
          <w:szCs w:val="22"/>
        </w:rPr>
        <w:t>S</w:t>
      </w:r>
      <w:r w:rsidR="00430D9C" w:rsidRPr="00BB4A8F">
        <w:rPr>
          <w:rFonts w:ascii="Avenir Book" w:hAnsi="Avenir Book"/>
          <w:sz w:val="22"/>
          <w:szCs w:val="22"/>
        </w:rPr>
        <w:t xml:space="preserve">pecific </w:t>
      </w:r>
      <w:r w:rsidRPr="00BB4A8F">
        <w:rPr>
          <w:rFonts w:ascii="Avenir Book" w:hAnsi="Avenir Book"/>
          <w:sz w:val="22"/>
          <w:szCs w:val="22"/>
        </w:rPr>
        <w:t>‘sex’, ‘</w:t>
      </w:r>
      <w:r w:rsidR="00430D9C" w:rsidRPr="00BB4A8F">
        <w:rPr>
          <w:rFonts w:ascii="Avenir Book" w:hAnsi="Avenir Book"/>
          <w:sz w:val="22"/>
          <w:szCs w:val="22"/>
        </w:rPr>
        <w:t>gender</w:t>
      </w:r>
      <w:r w:rsidRPr="00BB4A8F">
        <w:rPr>
          <w:rFonts w:ascii="Avenir Book" w:hAnsi="Avenir Book"/>
          <w:sz w:val="22"/>
          <w:szCs w:val="22"/>
        </w:rPr>
        <w:t>’</w:t>
      </w:r>
      <w:r w:rsidR="00430D9C" w:rsidRPr="00BB4A8F">
        <w:rPr>
          <w:rFonts w:ascii="Avenir Book" w:hAnsi="Avenir Book"/>
          <w:sz w:val="22"/>
          <w:szCs w:val="22"/>
        </w:rPr>
        <w:t xml:space="preserve"> and </w:t>
      </w:r>
      <w:r w:rsidRPr="00BB4A8F">
        <w:rPr>
          <w:rFonts w:ascii="Avenir Book" w:hAnsi="Avenir Book"/>
          <w:sz w:val="22"/>
          <w:szCs w:val="22"/>
        </w:rPr>
        <w:t>‘</w:t>
      </w:r>
      <w:r w:rsidR="00430D9C" w:rsidRPr="00BB4A8F">
        <w:rPr>
          <w:rFonts w:ascii="Avenir Book" w:hAnsi="Avenir Book"/>
          <w:sz w:val="22"/>
          <w:szCs w:val="22"/>
        </w:rPr>
        <w:t>age</w:t>
      </w:r>
      <w:r w:rsidRPr="00BB4A8F">
        <w:rPr>
          <w:rFonts w:ascii="Avenir Book" w:hAnsi="Avenir Book"/>
          <w:sz w:val="22"/>
          <w:szCs w:val="22"/>
        </w:rPr>
        <w:t>’</w:t>
      </w:r>
      <w:r w:rsidR="00430D9C" w:rsidRPr="00BB4A8F">
        <w:rPr>
          <w:rFonts w:ascii="Avenir Book" w:hAnsi="Avenir Book"/>
          <w:sz w:val="22"/>
          <w:szCs w:val="22"/>
        </w:rPr>
        <w:t xml:space="preserve"> references throughout the CRPD.</w:t>
      </w:r>
      <w:r w:rsidR="00D45893" w:rsidRPr="00BB4A8F">
        <w:rPr>
          <w:rStyle w:val="FootnoteReference"/>
          <w:rFonts w:ascii="Avenir Book" w:hAnsi="Avenir Book"/>
          <w:sz w:val="22"/>
          <w:szCs w:val="22"/>
        </w:rPr>
        <w:footnoteReference w:id="41"/>
      </w:r>
    </w:p>
    <w:p w14:paraId="179A063F" w14:textId="77777777" w:rsidR="00430D9C" w:rsidRPr="00BB4A8F" w:rsidRDefault="00430D9C" w:rsidP="00146969">
      <w:pPr>
        <w:pStyle w:val="ListParagraph"/>
        <w:ind w:left="0"/>
        <w:rPr>
          <w:rFonts w:ascii="Avenir Book" w:hAnsi="Avenir Book"/>
          <w:sz w:val="22"/>
          <w:szCs w:val="22"/>
        </w:rPr>
      </w:pPr>
    </w:p>
    <w:p w14:paraId="0AEE4FAB" w14:textId="6A05F548"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Guidance on interpretation and implementation of article 6 has been developed by the CRPD Committee in its </w:t>
      </w:r>
      <w:r w:rsidRPr="00BB4A8F">
        <w:rPr>
          <w:rFonts w:ascii="Avenir Book" w:hAnsi="Avenir Book"/>
          <w:i/>
          <w:sz w:val="22"/>
          <w:szCs w:val="22"/>
        </w:rPr>
        <w:t>General Comment No. 3 (2016) on women and girls with disabilities</w:t>
      </w:r>
      <w:r w:rsidRPr="00BB4A8F">
        <w:rPr>
          <w:rFonts w:ascii="Avenir Book" w:hAnsi="Avenir Book"/>
          <w:sz w:val="22"/>
          <w:szCs w:val="22"/>
        </w:rPr>
        <w:t>.</w:t>
      </w:r>
    </w:p>
    <w:p w14:paraId="019FBF60" w14:textId="77777777" w:rsidR="00775F6C" w:rsidRPr="00BB4A8F" w:rsidRDefault="00775F6C" w:rsidP="00146969">
      <w:pPr>
        <w:pStyle w:val="ListParagraph"/>
        <w:ind w:left="0"/>
        <w:rPr>
          <w:rFonts w:ascii="Avenir Book" w:hAnsi="Avenir Book"/>
          <w:sz w:val="22"/>
          <w:szCs w:val="22"/>
        </w:rPr>
      </w:pPr>
    </w:p>
    <w:p w14:paraId="203DFCD5" w14:textId="62302131"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This General Comment highlights that women and girls with disability experience the “same harmful practices”</w:t>
      </w:r>
      <w:r w:rsidR="000358C1" w:rsidRPr="00BB4A8F">
        <w:rPr>
          <w:rStyle w:val="FootnoteReference"/>
          <w:rFonts w:ascii="Avenir Book" w:hAnsi="Avenir Book"/>
          <w:sz w:val="22"/>
          <w:szCs w:val="22"/>
        </w:rPr>
        <w:footnoteReference w:id="42"/>
      </w:r>
      <w:r w:rsidRPr="00BB4A8F">
        <w:rPr>
          <w:rFonts w:ascii="Avenir Book" w:hAnsi="Avenir Book"/>
          <w:sz w:val="22"/>
          <w:szCs w:val="22"/>
        </w:rPr>
        <w:t xml:space="preserve"> committed against women without disability but also </w:t>
      </w:r>
      <w:r w:rsidR="00681FAE" w:rsidRPr="00BB4A8F">
        <w:rPr>
          <w:rFonts w:ascii="Avenir Book" w:hAnsi="Avenir Book"/>
          <w:sz w:val="22"/>
          <w:szCs w:val="22"/>
        </w:rPr>
        <w:t xml:space="preserve">experience </w:t>
      </w:r>
      <w:r w:rsidRPr="00BB4A8F">
        <w:rPr>
          <w:rFonts w:ascii="Avenir Book" w:hAnsi="Avenir Book"/>
          <w:sz w:val="22"/>
          <w:szCs w:val="22"/>
        </w:rPr>
        <w:t>specific and unique forms of violence.  This includes the absence of free and informed consent and legal compuls</w:t>
      </w:r>
      <w:r w:rsidR="00DD1C30" w:rsidRPr="00BB4A8F">
        <w:rPr>
          <w:rFonts w:ascii="Avenir Book" w:hAnsi="Avenir Book"/>
          <w:sz w:val="22"/>
          <w:szCs w:val="22"/>
        </w:rPr>
        <w:t>ory detention and treatment</w:t>
      </w:r>
      <w:r w:rsidRPr="00BB4A8F">
        <w:rPr>
          <w:rFonts w:ascii="Avenir Book" w:hAnsi="Avenir Book"/>
          <w:sz w:val="22"/>
          <w:szCs w:val="22"/>
        </w:rPr>
        <w:t>, economic exploitation, violations of sexual and reproductive rights, and forms of violence that constitute torture and ill-treatment, such as forced or coerced sterilisation, the administration of electroshock treatment and the use of chemical, physical or mechanical restraints, and isolation and seclusion.</w:t>
      </w:r>
      <w:r w:rsidR="00681FAE" w:rsidRPr="00BB4A8F">
        <w:rPr>
          <w:rStyle w:val="FootnoteReference"/>
          <w:rFonts w:ascii="Avenir Book" w:hAnsi="Avenir Book"/>
          <w:sz w:val="22"/>
          <w:szCs w:val="22"/>
        </w:rPr>
        <w:footnoteReference w:id="43"/>
      </w:r>
    </w:p>
    <w:p w14:paraId="3016192F" w14:textId="77777777" w:rsidR="00775F6C" w:rsidRPr="00BB4A8F" w:rsidRDefault="00775F6C" w:rsidP="009A3A16">
      <w:pPr>
        <w:pStyle w:val="ListParagraph"/>
        <w:ind w:left="0"/>
        <w:rPr>
          <w:rFonts w:ascii="Avenir Book" w:hAnsi="Avenir Book"/>
          <w:sz w:val="22"/>
          <w:szCs w:val="22"/>
        </w:rPr>
      </w:pPr>
    </w:p>
    <w:p w14:paraId="338D8E36" w14:textId="1CEA87B5"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 xml:space="preserve">The recognition that women and girls with disability are more likely to experience violence, abuse, neglect and exploitation than </w:t>
      </w:r>
      <w:r w:rsidR="009F2F56" w:rsidRPr="00BB4A8F">
        <w:rPr>
          <w:rFonts w:ascii="Avenir Book" w:hAnsi="Avenir Book"/>
          <w:sz w:val="22"/>
          <w:szCs w:val="22"/>
        </w:rPr>
        <w:t xml:space="preserve">both men with disability and </w:t>
      </w:r>
      <w:r w:rsidRPr="00BB4A8F">
        <w:rPr>
          <w:rFonts w:ascii="Avenir Book" w:hAnsi="Avenir Book"/>
          <w:sz w:val="22"/>
          <w:szCs w:val="22"/>
        </w:rPr>
        <w:t xml:space="preserve">women and girls without disability warrants a concerted and specific focus on women and girls with disability within the Royal Commission.  An intersectional analysis should be integral to all its work, not only to deliver on the </w:t>
      </w:r>
      <w:r w:rsidR="00BB113E" w:rsidRPr="00BB4A8F">
        <w:rPr>
          <w:rFonts w:ascii="Avenir Book" w:hAnsi="Avenir Book"/>
          <w:sz w:val="22"/>
          <w:szCs w:val="22"/>
        </w:rPr>
        <w:t xml:space="preserve">Terms of Reference, </w:t>
      </w:r>
      <w:r w:rsidRPr="00BB4A8F">
        <w:rPr>
          <w:rFonts w:ascii="Avenir Book" w:hAnsi="Avenir Book"/>
          <w:sz w:val="22"/>
          <w:szCs w:val="22"/>
        </w:rPr>
        <w:t xml:space="preserve">but to also adequately investigate and make recommendations that respond to the specific situation of women and girls with disability, including in the area of education and learning.  </w:t>
      </w:r>
    </w:p>
    <w:p w14:paraId="787CC343" w14:textId="77777777" w:rsidR="00775F6C" w:rsidRPr="00BB4A8F" w:rsidRDefault="00775F6C" w:rsidP="009A3A16">
      <w:pPr>
        <w:pStyle w:val="ListParagraph"/>
        <w:ind w:left="0"/>
        <w:rPr>
          <w:rFonts w:ascii="Avenir Book" w:hAnsi="Avenir Book"/>
          <w:sz w:val="22"/>
          <w:szCs w:val="22"/>
        </w:rPr>
      </w:pPr>
    </w:p>
    <w:p w14:paraId="7AB6EDF7" w14:textId="207397CC"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Importantly, the Royal Commission needs to recognise that violence, abuse, neglect and exploitation of women and girls with disability cannot be confined to an examination of domestic and family violence</w:t>
      </w:r>
      <w:r w:rsidR="00BB113E" w:rsidRPr="00BB4A8F">
        <w:rPr>
          <w:rFonts w:ascii="Avenir Book" w:hAnsi="Avenir Book"/>
          <w:sz w:val="22"/>
          <w:szCs w:val="22"/>
        </w:rPr>
        <w:t>, which is often the only area where there is focus on women and girls with disability</w:t>
      </w:r>
      <w:r w:rsidRPr="00BB4A8F">
        <w:rPr>
          <w:rFonts w:ascii="Avenir Book" w:hAnsi="Avenir Book"/>
          <w:sz w:val="22"/>
          <w:szCs w:val="22"/>
        </w:rPr>
        <w:t xml:space="preserve">. There needs to be recognition that the experiences of women and girls with disability are integral to all areas examined by the Royal Commission, and that there will also be areas that disproportionately impact on women and girls, such as violations of sexual and reproductive rights, which should also be examined by the Royal Commission.  </w:t>
      </w:r>
    </w:p>
    <w:p w14:paraId="651E7512" w14:textId="77777777" w:rsidR="00775F6C" w:rsidRPr="00BB4A8F" w:rsidRDefault="00775F6C" w:rsidP="009A3A16">
      <w:pPr>
        <w:pStyle w:val="ListParagraph"/>
        <w:ind w:left="0"/>
        <w:rPr>
          <w:rFonts w:ascii="Avenir Book" w:hAnsi="Avenir Book"/>
          <w:sz w:val="22"/>
          <w:szCs w:val="22"/>
        </w:rPr>
      </w:pPr>
    </w:p>
    <w:p w14:paraId="2415FB2D" w14:textId="41A72F2C" w:rsidR="00430D9C" w:rsidRPr="00BB4A8F" w:rsidRDefault="00430D9C" w:rsidP="00EF5411">
      <w:pPr>
        <w:pStyle w:val="ListParagraph"/>
        <w:numPr>
          <w:ilvl w:val="1"/>
          <w:numId w:val="24"/>
        </w:numPr>
        <w:ind w:left="993" w:hanging="567"/>
        <w:rPr>
          <w:rFonts w:ascii="Avenir Book" w:hAnsi="Avenir Book"/>
          <w:sz w:val="22"/>
          <w:szCs w:val="22"/>
        </w:rPr>
      </w:pPr>
      <w:r w:rsidRPr="00BB4A8F">
        <w:rPr>
          <w:rFonts w:ascii="Avenir Book" w:hAnsi="Avenir Book"/>
          <w:sz w:val="22"/>
          <w:szCs w:val="22"/>
        </w:rPr>
        <w:t>The issues, barriers, discrimination and human rights violations that are specific to women and girls and</w:t>
      </w:r>
      <w:r w:rsidR="00930F62" w:rsidRPr="00BB4A8F">
        <w:rPr>
          <w:rFonts w:ascii="Avenir Book" w:hAnsi="Avenir Book"/>
          <w:sz w:val="22"/>
          <w:szCs w:val="22"/>
        </w:rPr>
        <w:t>/or</w:t>
      </w:r>
      <w:r w:rsidR="00BB113E" w:rsidRPr="00BB4A8F">
        <w:rPr>
          <w:rFonts w:ascii="Avenir Book" w:hAnsi="Avenir Book"/>
          <w:sz w:val="22"/>
          <w:szCs w:val="22"/>
        </w:rPr>
        <w:t xml:space="preserve"> </w:t>
      </w:r>
      <w:r w:rsidRPr="00BB4A8F">
        <w:rPr>
          <w:rFonts w:ascii="Avenir Book" w:hAnsi="Avenir Book"/>
          <w:sz w:val="22"/>
          <w:szCs w:val="22"/>
        </w:rPr>
        <w:t xml:space="preserve">that disproportionally affect women and girls with disability must be identified, analysed and addressed by the Royal Commission. </w:t>
      </w:r>
    </w:p>
    <w:p w14:paraId="4DE36ADA" w14:textId="4D2BAA85" w:rsidR="00A16838" w:rsidRDefault="00A16838" w:rsidP="00121931">
      <w:pPr>
        <w:spacing w:line="276" w:lineRule="auto"/>
        <w:rPr>
          <w:rFonts w:ascii="Avenir Book" w:hAnsi="Avenir Book" w:cs="Calibri"/>
          <w:sz w:val="22"/>
          <w:szCs w:val="22"/>
        </w:rPr>
      </w:pPr>
    </w:p>
    <w:p w14:paraId="1F397D92" w14:textId="77777777" w:rsidR="003449E6" w:rsidRPr="00BB4A8F" w:rsidRDefault="003449E6" w:rsidP="00121931">
      <w:pPr>
        <w:spacing w:line="276" w:lineRule="auto"/>
        <w:rPr>
          <w:rFonts w:ascii="Avenir Book" w:hAnsi="Avenir Book" w:cs="Calibri"/>
          <w:sz w:val="22"/>
          <w:szCs w:val="22"/>
        </w:rPr>
      </w:pPr>
    </w:p>
    <w:p w14:paraId="05AEA65D" w14:textId="77777777" w:rsidR="00BB113E" w:rsidRPr="003449E6" w:rsidRDefault="00BB113E" w:rsidP="00BB113E">
      <w:pPr>
        <w:rPr>
          <w:rFonts w:ascii="Avenir Book" w:hAnsi="Avenir Book" w:cstheme="minorHAnsi"/>
          <w:b/>
          <w:color w:val="AC1F79"/>
        </w:rPr>
      </w:pPr>
      <w:r w:rsidRPr="003449E6">
        <w:rPr>
          <w:rFonts w:ascii="Avenir Book" w:hAnsi="Avenir Book" w:cstheme="minorHAnsi"/>
          <w:b/>
          <w:color w:val="AC1F79"/>
        </w:rPr>
        <w:lastRenderedPageBreak/>
        <w:t>Recommendations</w:t>
      </w:r>
    </w:p>
    <w:p w14:paraId="1830F862" w14:textId="77777777" w:rsidR="00BB113E" w:rsidRPr="003449E6" w:rsidRDefault="00BB113E" w:rsidP="00BB113E">
      <w:pPr>
        <w:spacing w:line="276" w:lineRule="auto"/>
        <w:rPr>
          <w:rFonts w:ascii="Avenir Book" w:hAnsi="Avenir Book" w:cs="Calibri"/>
          <w:sz w:val="22"/>
          <w:szCs w:val="22"/>
        </w:rPr>
      </w:pPr>
    </w:p>
    <w:p w14:paraId="6C8B59AE" w14:textId="1217EC3A" w:rsidR="00026695" w:rsidRPr="003449E6" w:rsidRDefault="00BB113E" w:rsidP="00EF5411">
      <w:pPr>
        <w:pStyle w:val="ListParagraph"/>
        <w:numPr>
          <w:ilvl w:val="0"/>
          <w:numId w:val="11"/>
        </w:numPr>
        <w:snapToGrid w:val="0"/>
        <w:spacing w:after="120"/>
        <w:ind w:left="425" w:hanging="425"/>
        <w:contextualSpacing w:val="0"/>
        <w:rPr>
          <w:rFonts w:ascii="Avenir Book" w:hAnsi="Avenir Book" w:cs="Calibri"/>
          <w:sz w:val="22"/>
          <w:szCs w:val="22"/>
        </w:rPr>
      </w:pPr>
      <w:r w:rsidRPr="003449E6">
        <w:rPr>
          <w:rFonts w:ascii="Avenir Book" w:hAnsi="Avenir Book" w:cs="Calibri"/>
          <w:sz w:val="22"/>
          <w:szCs w:val="22"/>
        </w:rPr>
        <w:t>In line with its Terms of Reference, which are based in the context of the CRPD, the Royal Commission should</w:t>
      </w:r>
      <w:r w:rsidR="00026695" w:rsidRPr="003449E6">
        <w:rPr>
          <w:rFonts w:ascii="Avenir Book" w:hAnsi="Avenir Book" w:cs="Calibri"/>
          <w:sz w:val="22"/>
          <w:szCs w:val="22"/>
        </w:rPr>
        <w:t>:</w:t>
      </w:r>
    </w:p>
    <w:p w14:paraId="6F853D51" w14:textId="45C97949" w:rsidR="00026695" w:rsidRPr="003449E6" w:rsidRDefault="00BB113E" w:rsidP="00EF5411">
      <w:pPr>
        <w:pStyle w:val="ListParagraph"/>
        <w:numPr>
          <w:ilvl w:val="0"/>
          <w:numId w:val="12"/>
        </w:numPr>
        <w:snapToGrid w:val="0"/>
        <w:ind w:left="851" w:hanging="425"/>
        <w:contextualSpacing w:val="0"/>
        <w:rPr>
          <w:rFonts w:ascii="Avenir Book" w:hAnsi="Avenir Book" w:cs="Calibri"/>
          <w:sz w:val="22"/>
          <w:szCs w:val="22"/>
        </w:rPr>
      </w:pPr>
      <w:r w:rsidRPr="003449E6">
        <w:rPr>
          <w:rFonts w:ascii="Avenir Book" w:hAnsi="Avenir Book" w:cs="Calibri"/>
          <w:sz w:val="22"/>
          <w:szCs w:val="22"/>
        </w:rPr>
        <w:t xml:space="preserve">explicitly </w:t>
      </w:r>
      <w:r w:rsidR="00026695" w:rsidRPr="003449E6">
        <w:rPr>
          <w:rFonts w:ascii="Avenir Book" w:hAnsi="Avenir Book" w:cs="Calibri"/>
          <w:sz w:val="22"/>
          <w:szCs w:val="22"/>
        </w:rPr>
        <w:t>recognise</w:t>
      </w:r>
      <w:r w:rsidRPr="003449E6">
        <w:rPr>
          <w:rFonts w:ascii="Avenir Book" w:hAnsi="Avenir Book" w:cs="Calibri"/>
          <w:sz w:val="22"/>
          <w:szCs w:val="22"/>
        </w:rPr>
        <w:t xml:space="preserve"> </w:t>
      </w:r>
      <w:r w:rsidR="00026695" w:rsidRPr="003449E6">
        <w:rPr>
          <w:rFonts w:ascii="Avenir Book" w:hAnsi="Avenir Book" w:cs="Calibri"/>
          <w:sz w:val="22"/>
          <w:szCs w:val="22"/>
        </w:rPr>
        <w:t xml:space="preserve">intersectionality </w:t>
      </w:r>
      <w:r w:rsidRPr="003449E6">
        <w:rPr>
          <w:rFonts w:ascii="Avenir Book" w:hAnsi="Avenir Book" w:cs="Calibri"/>
          <w:sz w:val="22"/>
          <w:szCs w:val="22"/>
        </w:rPr>
        <w:t xml:space="preserve">as </w:t>
      </w:r>
      <w:r w:rsidR="00026695" w:rsidRPr="003449E6">
        <w:rPr>
          <w:rFonts w:ascii="Avenir Book" w:hAnsi="Avenir Book" w:cs="Calibri"/>
          <w:sz w:val="22"/>
          <w:szCs w:val="22"/>
        </w:rPr>
        <w:t>a key aspect of the human rights approach to disability;</w:t>
      </w:r>
      <w:r w:rsidR="00930F62" w:rsidRPr="003449E6">
        <w:rPr>
          <w:rFonts w:ascii="Avenir Book" w:hAnsi="Avenir Book" w:cs="Calibri"/>
          <w:sz w:val="22"/>
          <w:szCs w:val="22"/>
        </w:rPr>
        <w:t xml:space="preserve"> </w:t>
      </w:r>
    </w:p>
    <w:p w14:paraId="65D227ED" w14:textId="2DA6C527" w:rsidR="00026695" w:rsidRPr="003449E6" w:rsidRDefault="00026695" w:rsidP="00EF5411">
      <w:pPr>
        <w:pStyle w:val="ListParagraph"/>
        <w:numPr>
          <w:ilvl w:val="0"/>
          <w:numId w:val="12"/>
        </w:numPr>
        <w:snapToGrid w:val="0"/>
        <w:ind w:left="851" w:hanging="425"/>
        <w:contextualSpacing w:val="0"/>
        <w:rPr>
          <w:rFonts w:ascii="Avenir Book" w:hAnsi="Avenir Book" w:cs="Calibri"/>
          <w:sz w:val="22"/>
          <w:szCs w:val="22"/>
        </w:rPr>
      </w:pPr>
      <w:r w:rsidRPr="003449E6">
        <w:rPr>
          <w:rFonts w:ascii="Avenir Book" w:hAnsi="Avenir Book" w:cs="Calibri"/>
          <w:sz w:val="22"/>
          <w:szCs w:val="22"/>
        </w:rPr>
        <w:t xml:space="preserve">ensure that an intersectional analysis is integral to all its work </w:t>
      </w:r>
      <w:r w:rsidR="00BB113E" w:rsidRPr="003449E6">
        <w:rPr>
          <w:rFonts w:ascii="Avenir Book" w:hAnsi="Avenir Book" w:cs="Calibri"/>
          <w:sz w:val="22"/>
          <w:szCs w:val="22"/>
        </w:rPr>
        <w:t xml:space="preserve">(including reports, community forums, </w:t>
      </w:r>
      <w:r w:rsidRPr="003449E6">
        <w:rPr>
          <w:rFonts w:ascii="Avenir Book" w:hAnsi="Avenir Book" w:cs="Calibri"/>
          <w:sz w:val="22"/>
          <w:szCs w:val="22"/>
        </w:rPr>
        <w:t xml:space="preserve">stakeholder engagement, </w:t>
      </w:r>
      <w:r w:rsidR="00BB113E" w:rsidRPr="003449E6">
        <w:rPr>
          <w:rFonts w:ascii="Avenir Book" w:hAnsi="Avenir Book" w:cs="Calibri"/>
          <w:sz w:val="22"/>
          <w:szCs w:val="22"/>
        </w:rPr>
        <w:t>Hearings, publications</w:t>
      </w:r>
      <w:r w:rsidR="00930F62" w:rsidRPr="003449E6">
        <w:rPr>
          <w:rFonts w:ascii="Avenir Book" w:hAnsi="Avenir Book" w:cs="Calibri"/>
          <w:sz w:val="22"/>
          <w:szCs w:val="22"/>
        </w:rPr>
        <w:t>, findings and recommendations</w:t>
      </w:r>
      <w:r w:rsidR="00BB113E" w:rsidRPr="003449E6">
        <w:rPr>
          <w:rFonts w:ascii="Avenir Book" w:hAnsi="Avenir Book" w:cs="Calibri"/>
          <w:sz w:val="22"/>
          <w:szCs w:val="22"/>
        </w:rPr>
        <w:t>)</w:t>
      </w:r>
      <w:r w:rsidR="00930F62" w:rsidRPr="003449E6">
        <w:rPr>
          <w:rFonts w:ascii="Avenir Book" w:hAnsi="Avenir Book" w:cs="Calibri"/>
          <w:sz w:val="22"/>
          <w:szCs w:val="22"/>
        </w:rPr>
        <w:t>;</w:t>
      </w:r>
    </w:p>
    <w:p w14:paraId="44357D82" w14:textId="2CF89AEB" w:rsidR="00930F62" w:rsidRPr="003449E6" w:rsidRDefault="00930F62" w:rsidP="00EF5411">
      <w:pPr>
        <w:pStyle w:val="ListParagraph"/>
        <w:numPr>
          <w:ilvl w:val="0"/>
          <w:numId w:val="12"/>
        </w:numPr>
        <w:ind w:left="851" w:hanging="425"/>
        <w:rPr>
          <w:rFonts w:ascii="Avenir Book" w:hAnsi="Avenir Book" w:cs="Calibri"/>
          <w:sz w:val="22"/>
          <w:szCs w:val="22"/>
        </w:rPr>
      </w:pPr>
      <w:r w:rsidRPr="003449E6">
        <w:rPr>
          <w:rFonts w:ascii="Avenir Book" w:hAnsi="Avenir Book" w:cs="Calibri"/>
          <w:sz w:val="22"/>
          <w:szCs w:val="22"/>
        </w:rPr>
        <w:t xml:space="preserve">identify, examine and address the </w:t>
      </w:r>
      <w:r w:rsidR="00C915D1" w:rsidRPr="003449E6">
        <w:rPr>
          <w:rFonts w:ascii="Avenir Book" w:hAnsi="Avenir Book" w:cs="Calibri"/>
          <w:sz w:val="22"/>
          <w:szCs w:val="22"/>
        </w:rPr>
        <w:t xml:space="preserve">specific </w:t>
      </w:r>
      <w:r w:rsidRPr="003449E6">
        <w:rPr>
          <w:rFonts w:ascii="Avenir Book" w:hAnsi="Avenir Book"/>
          <w:sz w:val="22"/>
          <w:szCs w:val="22"/>
        </w:rPr>
        <w:t>issues, barriers, discrimination and human rights violations across all areas</w:t>
      </w:r>
      <w:r w:rsidR="00C915D1" w:rsidRPr="003449E6">
        <w:rPr>
          <w:rFonts w:ascii="Avenir Book" w:hAnsi="Avenir Book"/>
          <w:sz w:val="22"/>
          <w:szCs w:val="22"/>
        </w:rPr>
        <w:t xml:space="preserve"> for women and girls with disability</w:t>
      </w:r>
      <w:r w:rsidRPr="003449E6">
        <w:rPr>
          <w:rFonts w:ascii="Avenir Book" w:hAnsi="Avenir Book"/>
          <w:sz w:val="22"/>
          <w:szCs w:val="22"/>
        </w:rPr>
        <w:t>, as well as those that are specific to women and girls and/or that disproportionally affect women and girls with disability.</w:t>
      </w:r>
    </w:p>
    <w:p w14:paraId="4961C113" w14:textId="7070268E" w:rsidR="00930F62" w:rsidRPr="003449E6" w:rsidRDefault="00930F62" w:rsidP="00930F62">
      <w:pPr>
        <w:rPr>
          <w:rFonts w:ascii="Avenir Book" w:hAnsi="Avenir Book" w:cs="Calibri"/>
          <w:sz w:val="22"/>
          <w:szCs w:val="22"/>
        </w:rPr>
      </w:pPr>
    </w:p>
    <w:p w14:paraId="0AC33201" w14:textId="2EED4018" w:rsidR="00930F62" w:rsidRPr="003449E6" w:rsidRDefault="00930F62" w:rsidP="00EF5411">
      <w:pPr>
        <w:pStyle w:val="ListParagraph"/>
        <w:numPr>
          <w:ilvl w:val="0"/>
          <w:numId w:val="11"/>
        </w:numPr>
        <w:ind w:left="426" w:hanging="426"/>
        <w:rPr>
          <w:rFonts w:ascii="Avenir Book" w:hAnsi="Avenir Book" w:cs="Calibri"/>
          <w:sz w:val="22"/>
          <w:szCs w:val="22"/>
        </w:rPr>
      </w:pPr>
      <w:r w:rsidRPr="003449E6">
        <w:rPr>
          <w:rFonts w:ascii="Avenir Book" w:hAnsi="Avenir Book" w:cs="Calibri"/>
          <w:sz w:val="22"/>
          <w:szCs w:val="22"/>
        </w:rPr>
        <w:t xml:space="preserve">The Royal Commission should establish an expert advisory group of women and girls with disability and our representative organisations to provide advice on the situation of women and girls with disability in all areas of examination, to </w:t>
      </w:r>
      <w:r w:rsidR="000E4092" w:rsidRPr="003449E6">
        <w:rPr>
          <w:rFonts w:ascii="Avenir Book" w:hAnsi="Avenir Book" w:cs="Calibri"/>
          <w:sz w:val="22"/>
          <w:szCs w:val="22"/>
        </w:rPr>
        <w:t xml:space="preserve">provide advice on specific areas of examination that disproportionately impact on women and girls with disability, to provide advice on </w:t>
      </w:r>
      <w:r w:rsidR="000F10FA" w:rsidRPr="003449E6">
        <w:rPr>
          <w:rFonts w:ascii="Avenir Book" w:hAnsi="Avenir Book" w:cs="Calibri"/>
          <w:sz w:val="22"/>
          <w:szCs w:val="22"/>
        </w:rPr>
        <w:t xml:space="preserve">the process of examinations, </w:t>
      </w:r>
      <w:r w:rsidR="000E4092" w:rsidRPr="003449E6">
        <w:rPr>
          <w:rFonts w:ascii="Avenir Book" w:hAnsi="Avenir Book" w:cs="Calibri"/>
          <w:sz w:val="22"/>
          <w:szCs w:val="22"/>
        </w:rPr>
        <w:t>findings and recommendations</w:t>
      </w:r>
      <w:r w:rsidR="000F10FA" w:rsidRPr="003449E6">
        <w:rPr>
          <w:rFonts w:ascii="Avenir Book" w:hAnsi="Avenir Book" w:cs="Calibri"/>
          <w:sz w:val="22"/>
          <w:szCs w:val="22"/>
        </w:rPr>
        <w:t>, and on other related matters</w:t>
      </w:r>
      <w:r w:rsidR="000E4092" w:rsidRPr="003449E6">
        <w:rPr>
          <w:rFonts w:ascii="Avenir Book" w:hAnsi="Avenir Book" w:cs="Calibri"/>
          <w:sz w:val="22"/>
          <w:szCs w:val="22"/>
        </w:rPr>
        <w:t xml:space="preserve">. </w:t>
      </w:r>
    </w:p>
    <w:p w14:paraId="5EC0981B" w14:textId="77777777" w:rsidR="000422E8" w:rsidRPr="003449E6" w:rsidRDefault="000422E8" w:rsidP="009A3A16">
      <w:pPr>
        <w:pStyle w:val="ListParagraph"/>
        <w:ind w:left="0"/>
        <w:rPr>
          <w:rFonts w:ascii="Avenir Book" w:hAnsi="Avenir Book" w:cs="Calibri"/>
          <w:sz w:val="22"/>
          <w:szCs w:val="22"/>
        </w:rPr>
      </w:pPr>
    </w:p>
    <w:p w14:paraId="2AD1DD5F" w14:textId="5C49C72C" w:rsidR="00C50499" w:rsidRPr="003449E6" w:rsidRDefault="00C50499" w:rsidP="00EF5411">
      <w:pPr>
        <w:pStyle w:val="ListParagraph"/>
        <w:numPr>
          <w:ilvl w:val="0"/>
          <w:numId w:val="11"/>
        </w:numPr>
        <w:ind w:left="426" w:hanging="426"/>
        <w:rPr>
          <w:rFonts w:ascii="Avenir Book" w:hAnsi="Avenir Book" w:cs="Calibri"/>
          <w:sz w:val="22"/>
          <w:szCs w:val="22"/>
        </w:rPr>
      </w:pPr>
      <w:r w:rsidRPr="003449E6">
        <w:rPr>
          <w:rFonts w:ascii="Avenir Book" w:hAnsi="Avenir Book" w:cs="Calibri"/>
          <w:sz w:val="22"/>
          <w:szCs w:val="22"/>
        </w:rPr>
        <w:t xml:space="preserve">The Royal Commission, in consultation with women with disability and our representative organisations should conduct </w:t>
      </w:r>
      <w:r w:rsidR="0032598F">
        <w:rPr>
          <w:rFonts w:ascii="Avenir Book" w:hAnsi="Avenir Book" w:cs="Calibri"/>
          <w:sz w:val="22"/>
          <w:szCs w:val="22"/>
        </w:rPr>
        <w:t xml:space="preserve">a stand-alone Public Hearing, as well as </w:t>
      </w:r>
      <w:r w:rsidR="0032598F" w:rsidRPr="00CB23C2">
        <w:rPr>
          <w:rFonts w:ascii="Avenir Book" w:hAnsi="Avenir Book" w:cs="Calibri"/>
          <w:sz w:val="22"/>
          <w:szCs w:val="22"/>
        </w:rPr>
        <w:t xml:space="preserve">forums, </w:t>
      </w:r>
      <w:r w:rsidR="00BD106E" w:rsidRPr="003449E6">
        <w:rPr>
          <w:rFonts w:ascii="Avenir Book" w:hAnsi="Avenir Book" w:cs="Calibri"/>
          <w:sz w:val="22"/>
          <w:szCs w:val="22"/>
        </w:rPr>
        <w:t xml:space="preserve">roundtables </w:t>
      </w:r>
      <w:r w:rsidR="000F10FA" w:rsidRPr="003449E6">
        <w:rPr>
          <w:rFonts w:ascii="Avenir Book" w:hAnsi="Avenir Book" w:cs="Calibri"/>
          <w:sz w:val="22"/>
          <w:szCs w:val="22"/>
        </w:rPr>
        <w:t xml:space="preserve">and other engagement activities </w:t>
      </w:r>
      <w:r w:rsidRPr="003449E6">
        <w:rPr>
          <w:rFonts w:ascii="Avenir Book" w:hAnsi="Avenir Book" w:cs="Calibri"/>
          <w:sz w:val="22"/>
          <w:szCs w:val="22"/>
        </w:rPr>
        <w:t xml:space="preserve">to </w:t>
      </w:r>
      <w:r w:rsidRPr="003449E6">
        <w:rPr>
          <w:rFonts w:ascii="Avenir Book" w:hAnsi="Avenir Book"/>
          <w:sz w:val="22"/>
          <w:szCs w:val="22"/>
        </w:rPr>
        <w:t>examine the specific experiences of women and girls with disability in relation to violence, abuse, neglect and exploitation.</w:t>
      </w:r>
      <w:r w:rsidR="00BD106E" w:rsidRPr="003449E6">
        <w:rPr>
          <w:rFonts w:ascii="Avenir Book" w:hAnsi="Avenir Book"/>
          <w:sz w:val="22"/>
          <w:szCs w:val="22"/>
        </w:rPr>
        <w:t xml:space="preserve">  </w:t>
      </w:r>
    </w:p>
    <w:p w14:paraId="0816C29B" w14:textId="77777777" w:rsidR="006C2B6B" w:rsidRPr="003449E6" w:rsidRDefault="006C2B6B" w:rsidP="009A3A16">
      <w:pPr>
        <w:pStyle w:val="ListParagraph"/>
        <w:ind w:left="0"/>
        <w:rPr>
          <w:rFonts w:ascii="Avenir Book" w:hAnsi="Avenir Book" w:cs="Calibri"/>
          <w:sz w:val="22"/>
          <w:szCs w:val="22"/>
        </w:rPr>
      </w:pPr>
    </w:p>
    <w:p w14:paraId="4DAC402D" w14:textId="1D5273B3" w:rsidR="00736E59" w:rsidRDefault="00736E59">
      <w:pPr>
        <w:rPr>
          <w:rFonts w:ascii="Avenir Book" w:hAnsi="Avenir Book" w:cs="Calibri"/>
          <w:color w:val="000000" w:themeColor="text1"/>
          <w:sz w:val="22"/>
          <w:szCs w:val="22"/>
        </w:rPr>
      </w:pPr>
      <w:r>
        <w:rPr>
          <w:rFonts w:ascii="Avenir Book" w:hAnsi="Avenir Book" w:cs="Calibri"/>
          <w:color w:val="000000" w:themeColor="text1"/>
          <w:sz w:val="22"/>
          <w:szCs w:val="22"/>
        </w:rPr>
        <w:br w:type="page"/>
      </w:r>
    </w:p>
    <w:p w14:paraId="0D6011BF" w14:textId="7414E36D" w:rsidR="00A16838" w:rsidRPr="00736E59" w:rsidRDefault="006F4C8A" w:rsidP="00EF5411">
      <w:pPr>
        <w:pStyle w:val="Heading2"/>
        <w:numPr>
          <w:ilvl w:val="0"/>
          <w:numId w:val="13"/>
        </w:numPr>
        <w:ind w:left="426" w:hanging="426"/>
        <w:jc w:val="left"/>
        <w:rPr>
          <w:rFonts w:ascii="Avenir Book" w:hAnsi="Avenir Book" w:cs="Calibri"/>
          <w:color w:val="AC1F79"/>
        </w:rPr>
      </w:pPr>
      <w:bookmarkStart w:id="84" w:name="_Toc32759990"/>
      <w:r w:rsidRPr="00736E59">
        <w:rPr>
          <w:rFonts w:ascii="Avenir Book" w:hAnsi="Avenir Book" w:cs="Calibri"/>
          <w:color w:val="AC1F79"/>
        </w:rPr>
        <w:lastRenderedPageBreak/>
        <w:t>Inequality and discrimination underpin violence</w:t>
      </w:r>
      <w:bookmarkEnd w:id="84"/>
    </w:p>
    <w:p w14:paraId="6EEEC896" w14:textId="77777777" w:rsidR="006F4C8A" w:rsidRPr="00736E59" w:rsidRDefault="006F4C8A" w:rsidP="006F4C8A">
      <w:pPr>
        <w:rPr>
          <w:rFonts w:ascii="Avenir Book" w:hAnsi="Avenir Book"/>
          <w:sz w:val="22"/>
          <w:szCs w:val="22"/>
        </w:rPr>
      </w:pPr>
    </w:p>
    <w:p w14:paraId="625B2B7A" w14:textId="688FE12F"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sz w:val="22"/>
          <w:szCs w:val="22"/>
        </w:rPr>
        <w:t>It is now well understood that gender inequality underpins violence against women</w:t>
      </w:r>
      <w:r w:rsidR="000C6228" w:rsidRPr="00736E59">
        <w:rPr>
          <w:rFonts w:ascii="Avenir Book" w:hAnsi="Avenir Book" w:cstheme="minorHAnsi"/>
          <w:sz w:val="22"/>
          <w:szCs w:val="22"/>
        </w:rPr>
        <w:t>,</w:t>
      </w:r>
      <w:r w:rsidR="00CC4603" w:rsidRPr="00736E59">
        <w:rPr>
          <w:rStyle w:val="FootnoteReference"/>
          <w:rFonts w:ascii="Avenir Book" w:hAnsi="Avenir Book" w:cstheme="minorHAnsi"/>
          <w:sz w:val="22"/>
          <w:szCs w:val="22"/>
        </w:rPr>
        <w:footnoteReference w:id="44"/>
      </w:r>
      <w:r w:rsidR="00CC4603" w:rsidRPr="00736E59">
        <w:rPr>
          <w:rFonts w:ascii="Avenir Book" w:hAnsi="Avenir Book" w:cstheme="minorHAnsi"/>
          <w:sz w:val="22"/>
          <w:szCs w:val="22"/>
        </w:rPr>
        <w:t xml:space="preserve"> </w:t>
      </w:r>
      <w:r w:rsidRPr="00736E59">
        <w:rPr>
          <w:rFonts w:ascii="Avenir Book" w:hAnsi="Avenir Book" w:cstheme="minorHAnsi"/>
          <w:sz w:val="22"/>
          <w:szCs w:val="22"/>
        </w:rPr>
        <w:t>and that this inequality operates on many levels:</w:t>
      </w:r>
    </w:p>
    <w:p w14:paraId="5E9FE1D4" w14:textId="3F8FF7CA" w:rsidR="006F4C8A" w:rsidRPr="00736E59" w:rsidRDefault="006F4C8A" w:rsidP="0064398D">
      <w:pPr>
        <w:ind w:left="1276" w:right="720"/>
        <w:rPr>
          <w:rFonts w:ascii="Avenir Book" w:hAnsi="Avenir Book" w:cstheme="minorHAnsi"/>
          <w:color w:val="000000" w:themeColor="text1"/>
          <w:spacing w:val="-4"/>
          <w:sz w:val="22"/>
          <w:szCs w:val="22"/>
          <w:shd w:val="clear" w:color="auto" w:fill="FFFFFF"/>
        </w:rPr>
      </w:pPr>
      <w:r w:rsidRPr="00736E59">
        <w:rPr>
          <w:rFonts w:ascii="Avenir Book" w:hAnsi="Avenir Book" w:cstheme="minorHAnsi"/>
          <w:color w:val="000000" w:themeColor="text1"/>
          <w:spacing w:val="-4"/>
          <w:sz w:val="22"/>
          <w:szCs w:val="22"/>
          <w:shd w:val="clear" w:color="auto" w:fill="FFFFFF"/>
        </w:rPr>
        <w:t>“from social and cultural norms (the dominant ideas about men and women in a society), to economic structures (such as the pay gap between men and women), to organisational, community, family and relationship practices.”</w:t>
      </w:r>
      <w:r w:rsidR="000C6228" w:rsidRPr="00736E59">
        <w:rPr>
          <w:rStyle w:val="FootnoteReference"/>
          <w:rFonts w:ascii="Avenir Book" w:hAnsi="Avenir Book" w:cstheme="minorHAnsi"/>
          <w:color w:val="000000" w:themeColor="text1"/>
          <w:spacing w:val="-4"/>
          <w:sz w:val="22"/>
          <w:szCs w:val="22"/>
          <w:shd w:val="clear" w:color="auto" w:fill="FFFFFF"/>
        </w:rPr>
        <w:footnoteReference w:id="45"/>
      </w:r>
    </w:p>
    <w:p w14:paraId="1753CEE6" w14:textId="77777777" w:rsidR="005F6D89" w:rsidRPr="00736E59" w:rsidRDefault="005F6D89" w:rsidP="009A3A16">
      <w:pPr>
        <w:ind w:right="232"/>
        <w:rPr>
          <w:rFonts w:ascii="Avenir Book" w:hAnsi="Avenir Book" w:cstheme="minorHAnsi"/>
          <w:color w:val="000000" w:themeColor="text1"/>
          <w:spacing w:val="-4"/>
          <w:sz w:val="22"/>
          <w:szCs w:val="22"/>
          <w:shd w:val="clear" w:color="auto" w:fill="FFFFFF"/>
        </w:rPr>
      </w:pPr>
    </w:p>
    <w:p w14:paraId="4D61D365" w14:textId="5AD9B392"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eastAsia="Times New Roman" w:hAnsi="Avenir Book" w:cstheme="minorHAnsi"/>
          <w:color w:val="000000" w:themeColor="text1"/>
          <w:spacing w:val="-4"/>
          <w:sz w:val="22"/>
          <w:szCs w:val="22"/>
          <w:shd w:val="clear" w:color="auto" w:fill="FFFFFF"/>
        </w:rPr>
        <w:t>It is recognised that to prevent violence against women, viewed as a “significant social problem”,</w:t>
      </w:r>
      <w:r w:rsidRPr="00736E59">
        <w:rPr>
          <w:rFonts w:ascii="Avenir Book" w:hAnsi="Avenir Book" w:cstheme="minorHAnsi"/>
          <w:color w:val="000000" w:themeColor="text1"/>
          <w:spacing w:val="-4"/>
          <w:sz w:val="22"/>
          <w:szCs w:val="22"/>
          <w:shd w:val="clear" w:color="auto" w:fill="FFFFFF"/>
        </w:rPr>
        <w:t xml:space="preserve"> there needs to be “a large scale response” to achieve a “social transformation”.</w:t>
      </w:r>
      <w:r w:rsidR="00DD030E" w:rsidRPr="00736E59">
        <w:rPr>
          <w:rStyle w:val="FootnoteReference"/>
          <w:rFonts w:ascii="Avenir Book" w:hAnsi="Avenir Book" w:cstheme="minorHAnsi"/>
          <w:sz w:val="22"/>
          <w:szCs w:val="22"/>
          <w:bdr w:val="none" w:sz="0" w:space="0" w:color="auto" w:frame="1"/>
        </w:rPr>
        <w:footnoteReference w:id="46"/>
      </w:r>
      <w:r w:rsidRPr="00736E59">
        <w:rPr>
          <w:rFonts w:ascii="Avenir Book" w:hAnsi="Avenir Book" w:cstheme="minorHAnsi"/>
          <w:color w:val="000000" w:themeColor="text1"/>
          <w:spacing w:val="-4"/>
          <w:sz w:val="22"/>
          <w:szCs w:val="22"/>
          <w:shd w:val="clear" w:color="auto" w:fill="FFFFFF"/>
        </w:rPr>
        <w:t xml:space="preserve">  </w:t>
      </w:r>
      <w:r w:rsidRPr="00736E59">
        <w:rPr>
          <w:rFonts w:ascii="Avenir Book" w:hAnsi="Avenir Book" w:cstheme="minorHAnsi"/>
          <w:color w:val="000000" w:themeColor="text1"/>
          <w:sz w:val="22"/>
          <w:szCs w:val="22"/>
        </w:rPr>
        <w:t xml:space="preserve">It is acknowledged that beliefs, behaviours and systems </w:t>
      </w:r>
      <w:r w:rsidRPr="00736E59">
        <w:rPr>
          <w:rFonts w:ascii="Avenir Book" w:hAnsi="Avenir Book" w:cstheme="minorHAnsi"/>
          <w:sz w:val="22"/>
          <w:szCs w:val="22"/>
          <w:bdr w:val="none" w:sz="0" w:space="0" w:color="auto" w:frame="1"/>
        </w:rPr>
        <w:t>that excuse, justify or condone violence and inequality must be challenged and reformed.</w:t>
      </w:r>
      <w:r w:rsidRPr="00736E59">
        <w:rPr>
          <w:rFonts w:ascii="Avenir Book" w:hAnsi="Avenir Book" w:cstheme="minorHAnsi"/>
          <w:sz w:val="22"/>
          <w:szCs w:val="22"/>
        </w:rPr>
        <w:t xml:space="preserve"> </w:t>
      </w:r>
    </w:p>
    <w:p w14:paraId="6CCAD6C8" w14:textId="77777777" w:rsidR="00215809" w:rsidRPr="00736E59" w:rsidRDefault="00215809" w:rsidP="009A3A16">
      <w:pPr>
        <w:pStyle w:val="ListParagraph"/>
        <w:snapToGrid w:val="0"/>
        <w:ind w:left="0"/>
        <w:rPr>
          <w:rFonts w:ascii="Avenir Book" w:hAnsi="Avenir Book" w:cstheme="minorHAnsi"/>
          <w:sz w:val="22"/>
          <w:szCs w:val="22"/>
        </w:rPr>
      </w:pPr>
    </w:p>
    <w:p w14:paraId="03074D0E" w14:textId="7233BB45"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 xml:space="preserve">While there are criticisms about the </w:t>
      </w:r>
      <w:r w:rsidR="000C6228" w:rsidRPr="00736E59">
        <w:rPr>
          <w:rFonts w:ascii="Avenir Book" w:hAnsi="Avenir Book" w:cstheme="minorHAnsi"/>
          <w:color w:val="000000" w:themeColor="text1"/>
          <w:spacing w:val="-4"/>
          <w:sz w:val="22"/>
          <w:szCs w:val="22"/>
          <w:shd w:val="clear" w:color="auto" w:fill="FFFFFF"/>
        </w:rPr>
        <w:t>adequacy</w:t>
      </w:r>
      <w:r w:rsidRPr="00736E59">
        <w:rPr>
          <w:rFonts w:ascii="Avenir Book" w:hAnsi="Avenir Book" w:cstheme="minorHAnsi"/>
          <w:color w:val="000000" w:themeColor="text1"/>
          <w:spacing w:val="-4"/>
          <w:sz w:val="22"/>
          <w:szCs w:val="22"/>
          <w:shd w:val="clear" w:color="auto" w:fill="FFFFFF"/>
        </w:rPr>
        <w:t xml:space="preserve"> of the response to prevent violence against women, the current response </w:t>
      </w:r>
      <w:r w:rsidR="00132C55" w:rsidRPr="00736E59">
        <w:rPr>
          <w:rFonts w:ascii="Avenir Book" w:hAnsi="Avenir Book" w:cstheme="minorHAnsi"/>
          <w:color w:val="000000" w:themeColor="text1"/>
          <w:spacing w:val="-4"/>
          <w:sz w:val="22"/>
          <w:szCs w:val="22"/>
          <w:shd w:val="clear" w:color="auto" w:fill="FFFFFF"/>
        </w:rPr>
        <w:t xml:space="preserve">in Australia </w:t>
      </w:r>
      <w:r w:rsidRPr="00736E59">
        <w:rPr>
          <w:rFonts w:ascii="Avenir Book" w:hAnsi="Avenir Book" w:cstheme="minorHAnsi"/>
          <w:color w:val="000000" w:themeColor="text1"/>
          <w:spacing w:val="-4"/>
          <w:sz w:val="22"/>
          <w:szCs w:val="22"/>
          <w:shd w:val="clear" w:color="auto" w:fill="FFFFFF"/>
        </w:rPr>
        <w:t xml:space="preserve">includes state and national laws, national action plans, political commitments and budget allocations, national surveys, national awareness raising campaigns, inquiries, and educational programs delivered as part of the </w:t>
      </w:r>
      <w:r w:rsidR="00132C55" w:rsidRPr="00736E59">
        <w:rPr>
          <w:rFonts w:ascii="Avenir Book" w:hAnsi="Avenir Book" w:cstheme="minorHAnsi"/>
          <w:color w:val="000000" w:themeColor="text1"/>
          <w:spacing w:val="-4"/>
          <w:sz w:val="22"/>
          <w:szCs w:val="22"/>
          <w:shd w:val="clear" w:color="auto" w:fill="FFFFFF"/>
        </w:rPr>
        <w:t xml:space="preserve">school </w:t>
      </w:r>
      <w:r w:rsidRPr="00736E59">
        <w:rPr>
          <w:rFonts w:ascii="Avenir Book" w:hAnsi="Avenir Book" w:cstheme="minorHAnsi"/>
          <w:color w:val="000000" w:themeColor="text1"/>
          <w:spacing w:val="-4"/>
          <w:sz w:val="22"/>
          <w:szCs w:val="22"/>
          <w:shd w:val="clear" w:color="auto" w:fill="FFFFFF"/>
        </w:rPr>
        <w:t>curriculum.</w:t>
      </w:r>
      <w:r w:rsidR="00926BD5" w:rsidRPr="00736E59">
        <w:rPr>
          <w:rStyle w:val="FootnoteReference"/>
          <w:rFonts w:ascii="Avenir Book" w:hAnsi="Avenir Book" w:cstheme="minorHAnsi"/>
          <w:color w:val="000000" w:themeColor="text1"/>
          <w:spacing w:val="-4"/>
          <w:sz w:val="22"/>
          <w:szCs w:val="22"/>
          <w:shd w:val="clear" w:color="auto" w:fill="FFFFFF"/>
        </w:rPr>
        <w:footnoteReference w:id="47"/>
      </w:r>
      <w:r w:rsidRPr="00736E59">
        <w:rPr>
          <w:rFonts w:ascii="Avenir Book" w:hAnsi="Avenir Book" w:cstheme="minorHAnsi"/>
          <w:color w:val="000000" w:themeColor="text1"/>
          <w:spacing w:val="-4"/>
          <w:sz w:val="22"/>
          <w:szCs w:val="22"/>
          <w:shd w:val="clear" w:color="auto" w:fill="FFFFFF"/>
        </w:rPr>
        <w:t xml:space="preserve"> </w:t>
      </w:r>
    </w:p>
    <w:p w14:paraId="476E162A" w14:textId="77777777" w:rsidR="00215809" w:rsidRPr="00736E59" w:rsidRDefault="00215809" w:rsidP="009A3A16">
      <w:pPr>
        <w:pStyle w:val="ListParagraph"/>
        <w:ind w:left="0"/>
        <w:rPr>
          <w:rFonts w:ascii="Avenir Book" w:hAnsi="Avenir Book" w:cstheme="minorHAnsi"/>
          <w:sz w:val="22"/>
          <w:szCs w:val="22"/>
        </w:rPr>
      </w:pPr>
    </w:p>
    <w:p w14:paraId="5C027898" w14:textId="3AB0B5CE"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 xml:space="preserve">On the other hand, violence against people with disability is more often examined only in the context of the </w:t>
      </w:r>
      <w:r w:rsidR="00DD030E" w:rsidRPr="00736E59">
        <w:rPr>
          <w:rFonts w:ascii="Avenir Book" w:hAnsi="Avenir Book" w:cstheme="minorHAnsi"/>
          <w:color w:val="000000" w:themeColor="text1"/>
          <w:spacing w:val="-4"/>
          <w:sz w:val="22"/>
          <w:szCs w:val="22"/>
          <w:shd w:val="clear" w:color="auto" w:fill="FFFFFF"/>
        </w:rPr>
        <w:t xml:space="preserve">disability service system, the imputed ‘vulnerability’ of people with disability, </w:t>
      </w:r>
      <w:r w:rsidR="002E702C" w:rsidRPr="00736E59">
        <w:rPr>
          <w:rFonts w:ascii="Avenir Book" w:hAnsi="Avenir Book" w:cstheme="minorHAnsi"/>
          <w:color w:val="000000" w:themeColor="text1"/>
          <w:spacing w:val="-4"/>
          <w:sz w:val="22"/>
          <w:szCs w:val="22"/>
          <w:shd w:val="clear" w:color="auto" w:fill="FFFFFF"/>
        </w:rPr>
        <w:t>the</w:t>
      </w:r>
      <w:r w:rsidRPr="00736E59">
        <w:rPr>
          <w:rFonts w:ascii="Avenir Book" w:hAnsi="Avenir Book" w:cstheme="minorHAnsi"/>
          <w:color w:val="000000" w:themeColor="text1"/>
          <w:spacing w:val="-4"/>
          <w:sz w:val="22"/>
          <w:szCs w:val="22"/>
          <w:shd w:val="clear" w:color="auto" w:fill="FFFFFF"/>
        </w:rPr>
        <w:t xml:space="preserve"> failure of </w:t>
      </w:r>
      <w:r w:rsidR="00630383" w:rsidRPr="00736E59">
        <w:rPr>
          <w:rFonts w:ascii="Avenir Book" w:hAnsi="Avenir Book" w:cstheme="minorHAnsi"/>
          <w:color w:val="000000" w:themeColor="text1"/>
          <w:spacing w:val="-4"/>
          <w:sz w:val="22"/>
          <w:szCs w:val="22"/>
          <w:shd w:val="clear" w:color="auto" w:fill="FFFFFF"/>
        </w:rPr>
        <w:t xml:space="preserve">policies and procedures, </w:t>
      </w:r>
      <w:r w:rsidR="002E702C" w:rsidRPr="00736E59">
        <w:rPr>
          <w:rFonts w:ascii="Avenir Book" w:hAnsi="Avenir Book" w:cstheme="minorHAnsi"/>
          <w:color w:val="000000" w:themeColor="text1"/>
          <w:spacing w:val="-4"/>
          <w:sz w:val="22"/>
          <w:szCs w:val="22"/>
          <w:shd w:val="clear" w:color="auto" w:fill="FFFFFF"/>
        </w:rPr>
        <w:t>the</w:t>
      </w:r>
      <w:r w:rsidRPr="00736E59">
        <w:rPr>
          <w:rFonts w:ascii="Avenir Book" w:hAnsi="Avenir Book" w:cstheme="minorHAnsi"/>
          <w:color w:val="000000" w:themeColor="text1"/>
          <w:spacing w:val="-4"/>
          <w:sz w:val="22"/>
          <w:szCs w:val="22"/>
          <w:shd w:val="clear" w:color="auto" w:fill="FFFFFF"/>
        </w:rPr>
        <w:t xml:space="preserve"> lack of qualified and accredited staff </w:t>
      </w:r>
      <w:r w:rsidR="00DD030E" w:rsidRPr="00736E59">
        <w:rPr>
          <w:rFonts w:ascii="Avenir Book" w:hAnsi="Avenir Book" w:cstheme="minorHAnsi"/>
          <w:color w:val="000000" w:themeColor="text1"/>
          <w:spacing w:val="-4"/>
          <w:sz w:val="22"/>
          <w:szCs w:val="22"/>
          <w:shd w:val="clear" w:color="auto" w:fill="FFFFFF"/>
        </w:rPr>
        <w:t>and</w:t>
      </w:r>
      <w:r w:rsidRPr="00736E59">
        <w:rPr>
          <w:rFonts w:ascii="Avenir Book" w:hAnsi="Avenir Book" w:cstheme="minorHAnsi"/>
          <w:color w:val="000000" w:themeColor="text1"/>
          <w:spacing w:val="-4"/>
          <w:sz w:val="22"/>
          <w:szCs w:val="22"/>
          <w:shd w:val="clear" w:color="auto" w:fill="FFFFFF"/>
        </w:rPr>
        <w:t xml:space="preserve"> </w:t>
      </w:r>
      <w:r w:rsidR="002E702C" w:rsidRPr="00736E59">
        <w:rPr>
          <w:rFonts w:ascii="Avenir Book" w:hAnsi="Avenir Book" w:cstheme="minorHAnsi"/>
          <w:color w:val="000000" w:themeColor="text1"/>
          <w:spacing w:val="-4"/>
          <w:sz w:val="22"/>
          <w:szCs w:val="22"/>
          <w:shd w:val="clear" w:color="auto" w:fill="FFFFFF"/>
        </w:rPr>
        <w:t>the</w:t>
      </w:r>
      <w:r w:rsidRPr="00736E59">
        <w:rPr>
          <w:rFonts w:ascii="Avenir Book" w:hAnsi="Avenir Book" w:cstheme="minorHAnsi"/>
          <w:color w:val="000000" w:themeColor="text1"/>
          <w:spacing w:val="-4"/>
          <w:sz w:val="22"/>
          <w:szCs w:val="22"/>
          <w:shd w:val="clear" w:color="auto" w:fill="FFFFFF"/>
        </w:rPr>
        <w:t xml:space="preserve"> lack of </w:t>
      </w:r>
      <w:r w:rsidR="00630383" w:rsidRPr="00736E59">
        <w:rPr>
          <w:rFonts w:ascii="Avenir Book" w:hAnsi="Avenir Book" w:cstheme="minorHAnsi"/>
          <w:color w:val="000000" w:themeColor="text1"/>
          <w:spacing w:val="-4"/>
          <w:sz w:val="22"/>
          <w:szCs w:val="22"/>
          <w:shd w:val="clear" w:color="auto" w:fill="FFFFFF"/>
        </w:rPr>
        <w:t xml:space="preserve">rigorous </w:t>
      </w:r>
      <w:r w:rsidRPr="00736E59">
        <w:rPr>
          <w:rFonts w:ascii="Avenir Book" w:hAnsi="Avenir Book" w:cstheme="minorHAnsi"/>
          <w:color w:val="000000" w:themeColor="text1"/>
          <w:spacing w:val="-4"/>
          <w:sz w:val="22"/>
          <w:szCs w:val="22"/>
          <w:shd w:val="clear" w:color="auto" w:fill="FFFFFF"/>
        </w:rPr>
        <w:t xml:space="preserve">oversight and protective mechanisms. </w:t>
      </w:r>
      <w:r w:rsidR="00630383" w:rsidRPr="00736E59">
        <w:rPr>
          <w:rFonts w:ascii="Avenir Book" w:hAnsi="Avenir Book" w:cstheme="minorHAnsi"/>
          <w:color w:val="000000" w:themeColor="text1"/>
          <w:spacing w:val="-4"/>
          <w:sz w:val="22"/>
          <w:szCs w:val="22"/>
          <w:shd w:val="clear" w:color="auto" w:fill="FFFFFF"/>
        </w:rPr>
        <w:t>While these factors are important, rarely</w:t>
      </w:r>
      <w:r w:rsidRPr="00736E59">
        <w:rPr>
          <w:rFonts w:ascii="Avenir Book" w:hAnsi="Avenir Book" w:cstheme="minorHAnsi"/>
          <w:color w:val="000000" w:themeColor="text1"/>
          <w:spacing w:val="-4"/>
          <w:sz w:val="22"/>
          <w:szCs w:val="22"/>
          <w:shd w:val="clear" w:color="auto" w:fill="FFFFFF"/>
        </w:rPr>
        <w:t xml:space="preserve"> is the underlying driver of violence, abuse, neglect and exploitation - disability inequality and discrimination - identified or acknowledged, and </w:t>
      </w:r>
      <w:r w:rsidR="00072C47" w:rsidRPr="00736E59">
        <w:rPr>
          <w:rFonts w:ascii="Avenir Book" w:hAnsi="Avenir Book" w:cstheme="minorHAnsi"/>
          <w:color w:val="000000" w:themeColor="text1"/>
          <w:spacing w:val="-4"/>
          <w:sz w:val="22"/>
          <w:szCs w:val="22"/>
          <w:shd w:val="clear" w:color="auto" w:fill="FFFFFF"/>
        </w:rPr>
        <w:t xml:space="preserve">consequently, </w:t>
      </w:r>
      <w:r w:rsidRPr="00736E59">
        <w:rPr>
          <w:rFonts w:ascii="Avenir Book" w:hAnsi="Avenir Book" w:cstheme="minorHAnsi"/>
          <w:color w:val="000000" w:themeColor="text1"/>
          <w:spacing w:val="-4"/>
          <w:sz w:val="22"/>
          <w:szCs w:val="22"/>
          <w:shd w:val="clear" w:color="auto" w:fill="FFFFFF"/>
        </w:rPr>
        <w:t>there is no recognition of the need for a social transformation to address</w:t>
      </w:r>
      <w:r w:rsidR="00072C47" w:rsidRPr="00736E59">
        <w:rPr>
          <w:rFonts w:ascii="Avenir Book" w:hAnsi="Avenir Book" w:cstheme="minorHAnsi"/>
          <w:color w:val="000000" w:themeColor="text1"/>
          <w:spacing w:val="-4"/>
          <w:sz w:val="22"/>
          <w:szCs w:val="22"/>
          <w:shd w:val="clear" w:color="auto" w:fill="FFFFFF"/>
        </w:rPr>
        <w:t xml:space="preserve"> this situation</w:t>
      </w:r>
      <w:r w:rsidRPr="00736E59">
        <w:rPr>
          <w:rFonts w:ascii="Avenir Book" w:hAnsi="Avenir Book" w:cstheme="minorHAnsi"/>
          <w:color w:val="000000" w:themeColor="text1"/>
          <w:spacing w:val="-4"/>
          <w:sz w:val="22"/>
          <w:szCs w:val="22"/>
          <w:shd w:val="clear" w:color="auto" w:fill="FFFFFF"/>
        </w:rPr>
        <w:t xml:space="preserve">. </w:t>
      </w:r>
    </w:p>
    <w:p w14:paraId="0D13AF62" w14:textId="77777777" w:rsidR="00215809" w:rsidRPr="00736E59" w:rsidRDefault="00215809" w:rsidP="009A3A16">
      <w:pPr>
        <w:pStyle w:val="ListParagraph"/>
        <w:ind w:left="0"/>
        <w:rPr>
          <w:rFonts w:ascii="Avenir Book" w:hAnsi="Avenir Book" w:cstheme="minorHAnsi"/>
          <w:sz w:val="22"/>
          <w:szCs w:val="22"/>
        </w:rPr>
      </w:pPr>
    </w:p>
    <w:p w14:paraId="5B68AF5C" w14:textId="044CB6B0"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 xml:space="preserve">The </w:t>
      </w:r>
      <w:r w:rsidR="007015FE" w:rsidRPr="00736E59">
        <w:rPr>
          <w:rFonts w:ascii="Avenir Book" w:hAnsi="Avenir Book" w:cstheme="minorHAnsi"/>
          <w:color w:val="000000" w:themeColor="text1"/>
          <w:spacing w:val="-4"/>
          <w:sz w:val="22"/>
          <w:szCs w:val="22"/>
          <w:shd w:val="clear" w:color="auto" w:fill="FFFFFF"/>
        </w:rPr>
        <w:t xml:space="preserve">Report from </w:t>
      </w:r>
      <w:r w:rsidR="007015FE" w:rsidRPr="00736E59">
        <w:rPr>
          <w:rFonts w:ascii="Avenir Book" w:hAnsi="Avenir Book"/>
          <w:sz w:val="22"/>
          <w:szCs w:val="22"/>
        </w:rPr>
        <w:t>Senate Inquiry into violence, abuse and neglect against people with disability</w:t>
      </w:r>
      <w:r w:rsidR="007015FE" w:rsidRPr="00736E59">
        <w:rPr>
          <w:rFonts w:ascii="Avenir Book" w:hAnsi="Avenir Book" w:cstheme="minorHAnsi"/>
          <w:color w:val="000000" w:themeColor="text1"/>
          <w:spacing w:val="-4"/>
          <w:sz w:val="22"/>
          <w:szCs w:val="22"/>
          <w:shd w:val="clear" w:color="auto" w:fill="FFFFFF"/>
        </w:rPr>
        <w:t xml:space="preserve"> </w:t>
      </w:r>
      <w:r w:rsidRPr="00736E59">
        <w:rPr>
          <w:rFonts w:ascii="Avenir Book" w:hAnsi="Avenir Book" w:cstheme="minorHAnsi"/>
          <w:color w:val="000000" w:themeColor="text1"/>
          <w:spacing w:val="-4"/>
          <w:sz w:val="22"/>
          <w:szCs w:val="22"/>
          <w:shd w:val="clear" w:color="auto" w:fill="FFFFFF"/>
        </w:rPr>
        <w:t>highlighted the de-valuing of people with disability as an underlying cause of violence and recognised that “cultural attitudes are hard to shift and will take a long-term concerted effort from all stakeholders, with a lead role taken by government”.</w:t>
      </w:r>
      <w:r w:rsidR="007015FE" w:rsidRPr="00736E59">
        <w:rPr>
          <w:rStyle w:val="FootnoteReference"/>
          <w:rFonts w:ascii="Avenir Book" w:hAnsi="Avenir Book" w:cstheme="minorHAnsi"/>
          <w:color w:val="000000" w:themeColor="text1"/>
          <w:spacing w:val="-4"/>
          <w:sz w:val="22"/>
          <w:szCs w:val="22"/>
          <w:shd w:val="clear" w:color="auto" w:fill="FFFFFF"/>
        </w:rPr>
        <w:footnoteReference w:id="48"/>
      </w:r>
      <w:r w:rsidRPr="00736E59">
        <w:rPr>
          <w:rFonts w:ascii="Avenir Book" w:hAnsi="Avenir Book" w:cstheme="minorHAnsi"/>
          <w:color w:val="000000" w:themeColor="text1"/>
          <w:spacing w:val="-4"/>
          <w:sz w:val="22"/>
          <w:szCs w:val="22"/>
          <w:shd w:val="clear" w:color="auto" w:fill="FFFFFF"/>
        </w:rPr>
        <w:t xml:space="preserve"> </w:t>
      </w:r>
    </w:p>
    <w:p w14:paraId="13F2A793" w14:textId="77777777" w:rsidR="00215809" w:rsidRPr="00736E59" w:rsidRDefault="00215809" w:rsidP="009A3A16">
      <w:pPr>
        <w:pStyle w:val="ListParagraph"/>
        <w:ind w:left="0"/>
        <w:rPr>
          <w:rFonts w:ascii="Avenir Book" w:hAnsi="Avenir Book" w:cstheme="minorHAnsi"/>
          <w:sz w:val="22"/>
          <w:szCs w:val="22"/>
        </w:rPr>
      </w:pPr>
    </w:p>
    <w:p w14:paraId="07D33495" w14:textId="13D0A005"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 xml:space="preserve">This de-valuing of people with disability is based </w:t>
      </w:r>
      <w:r w:rsidR="005C0EC8" w:rsidRPr="00736E59">
        <w:rPr>
          <w:rFonts w:ascii="Avenir Book" w:hAnsi="Avenir Book" w:cstheme="minorHAnsi"/>
          <w:color w:val="000000" w:themeColor="text1"/>
          <w:spacing w:val="-4"/>
          <w:sz w:val="22"/>
          <w:szCs w:val="22"/>
          <w:shd w:val="clear" w:color="auto" w:fill="FFFFFF"/>
        </w:rPr>
        <w:t>in</w:t>
      </w:r>
      <w:r w:rsidRPr="00736E59">
        <w:rPr>
          <w:rFonts w:ascii="Avenir Book" w:hAnsi="Avenir Book" w:cstheme="minorHAnsi"/>
          <w:color w:val="000000" w:themeColor="text1"/>
          <w:spacing w:val="-4"/>
          <w:sz w:val="22"/>
          <w:szCs w:val="22"/>
          <w:shd w:val="clear" w:color="auto" w:fill="FFFFFF"/>
        </w:rPr>
        <w:t xml:space="preserve"> a medical model understanding of </w:t>
      </w:r>
      <w:r w:rsidR="009A3A16" w:rsidRPr="00736E59">
        <w:rPr>
          <w:rFonts w:ascii="Avenir Book" w:hAnsi="Avenir Book" w:cstheme="minorHAnsi"/>
          <w:color w:val="000000" w:themeColor="text1"/>
          <w:spacing w:val="-4"/>
          <w:sz w:val="22"/>
          <w:szCs w:val="22"/>
          <w:shd w:val="clear" w:color="auto" w:fill="FFFFFF"/>
        </w:rPr>
        <w:t>disability and</w:t>
      </w:r>
      <w:r w:rsidRPr="00736E59">
        <w:rPr>
          <w:rFonts w:ascii="Avenir Book" w:hAnsi="Avenir Book" w:cstheme="minorHAnsi"/>
          <w:color w:val="000000" w:themeColor="text1"/>
          <w:spacing w:val="-4"/>
          <w:sz w:val="22"/>
          <w:szCs w:val="22"/>
          <w:shd w:val="clear" w:color="auto" w:fill="FFFFFF"/>
        </w:rPr>
        <w:t xml:space="preserve"> is</w:t>
      </w:r>
      <w:r w:rsidR="00680C38" w:rsidRPr="00736E59">
        <w:rPr>
          <w:rFonts w:ascii="Avenir Book" w:hAnsi="Avenir Book" w:cstheme="minorHAnsi"/>
          <w:color w:val="000000" w:themeColor="text1"/>
          <w:spacing w:val="-4"/>
          <w:sz w:val="22"/>
          <w:szCs w:val="22"/>
          <w:shd w:val="clear" w:color="auto" w:fill="FFFFFF"/>
        </w:rPr>
        <w:t xml:space="preserve"> </w:t>
      </w:r>
      <w:r w:rsidRPr="00736E59">
        <w:rPr>
          <w:rFonts w:ascii="Avenir Book" w:hAnsi="Avenir Book" w:cstheme="minorHAnsi"/>
          <w:color w:val="000000" w:themeColor="text1"/>
          <w:spacing w:val="-4"/>
          <w:sz w:val="22"/>
          <w:szCs w:val="22"/>
          <w:shd w:val="clear" w:color="auto" w:fill="FFFFFF"/>
        </w:rPr>
        <w:t>commonly called ‘ableism’.  The medical model views disability as a ‘deficit’ within the individual, a deviation from bodily, cognitive and mental norms, which requires medical, rehabilitation, psychology and educational interventions to diagnose, treat or cure the individual.</w:t>
      </w:r>
      <w:r w:rsidR="006D42CD" w:rsidRPr="00736E59">
        <w:rPr>
          <w:rStyle w:val="FootnoteReference"/>
          <w:rFonts w:ascii="Avenir Book" w:hAnsi="Avenir Book" w:cstheme="minorHAnsi"/>
          <w:color w:val="000000" w:themeColor="text1"/>
          <w:spacing w:val="-4"/>
          <w:sz w:val="22"/>
          <w:szCs w:val="22"/>
          <w:shd w:val="clear" w:color="auto" w:fill="FFFFFF"/>
        </w:rPr>
        <w:footnoteReference w:id="49"/>
      </w:r>
      <w:r w:rsidR="00C01A38" w:rsidRPr="00736E59">
        <w:rPr>
          <w:rFonts w:ascii="Avenir Book" w:hAnsi="Avenir Book" w:cstheme="minorHAnsi"/>
          <w:color w:val="000000" w:themeColor="text1"/>
          <w:spacing w:val="-4"/>
          <w:sz w:val="22"/>
          <w:szCs w:val="22"/>
          <w:shd w:val="clear" w:color="auto" w:fill="FFFFFF"/>
        </w:rPr>
        <w:t xml:space="preserve"> </w:t>
      </w:r>
      <w:r w:rsidRPr="00736E59">
        <w:rPr>
          <w:rFonts w:ascii="Avenir Book" w:hAnsi="Avenir Book" w:cstheme="minorHAnsi"/>
          <w:color w:val="000000" w:themeColor="text1"/>
          <w:spacing w:val="-4"/>
          <w:sz w:val="22"/>
          <w:szCs w:val="22"/>
          <w:shd w:val="clear" w:color="auto" w:fill="FFFFFF"/>
        </w:rPr>
        <w:t xml:space="preserve">The response to this has been to establish ‘special’ laws, policies, programs </w:t>
      </w:r>
      <w:r w:rsidRPr="00736E59">
        <w:rPr>
          <w:rFonts w:ascii="Avenir Book" w:hAnsi="Avenir Book" w:cstheme="minorHAnsi"/>
          <w:color w:val="000000" w:themeColor="text1"/>
          <w:spacing w:val="-4"/>
          <w:sz w:val="22"/>
          <w:szCs w:val="22"/>
          <w:shd w:val="clear" w:color="auto" w:fill="FFFFFF"/>
        </w:rPr>
        <w:lastRenderedPageBreak/>
        <w:t>and arrangements that segregate, congregate and marginalise people with disability - special schools, special accommodation arrangements, segregated employment, segregated transport systems, special access arrangements, special sporting events, guardianship, financial management and mental health laws.</w:t>
      </w:r>
      <w:r w:rsidR="00C01A38" w:rsidRPr="00736E59">
        <w:rPr>
          <w:rFonts w:ascii="Avenir Book" w:hAnsi="Avenir Book" w:cstheme="minorHAnsi"/>
          <w:color w:val="000000" w:themeColor="text1"/>
          <w:spacing w:val="-4"/>
          <w:sz w:val="22"/>
          <w:szCs w:val="22"/>
          <w:shd w:val="clear" w:color="auto" w:fill="FFFFFF"/>
        </w:rPr>
        <w:t xml:space="preserve"> </w:t>
      </w:r>
      <w:r w:rsidRPr="00736E59">
        <w:rPr>
          <w:rFonts w:ascii="Avenir Book" w:hAnsi="Avenir Book" w:cstheme="minorHAnsi"/>
          <w:color w:val="000000" w:themeColor="text1"/>
          <w:spacing w:val="-4"/>
          <w:sz w:val="22"/>
          <w:szCs w:val="22"/>
          <w:shd w:val="clear" w:color="auto" w:fill="FFFFFF"/>
        </w:rPr>
        <w:t xml:space="preserve"> </w:t>
      </w:r>
    </w:p>
    <w:p w14:paraId="20CE8AC3" w14:textId="77777777" w:rsidR="00215809" w:rsidRPr="00736E59" w:rsidRDefault="00215809" w:rsidP="009A3A16">
      <w:pPr>
        <w:pStyle w:val="ListParagraph"/>
        <w:ind w:left="0"/>
        <w:rPr>
          <w:rFonts w:ascii="Avenir Book" w:hAnsi="Avenir Book" w:cstheme="minorHAnsi"/>
          <w:sz w:val="22"/>
          <w:szCs w:val="22"/>
        </w:rPr>
      </w:pPr>
    </w:p>
    <w:p w14:paraId="0ADCCB6E" w14:textId="79CD3D81"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The social model of disability recognises disability as a social construct underpinned by power relations that oppress and discriminate against people with impairments.</w:t>
      </w:r>
      <w:r w:rsidR="00676FB1" w:rsidRPr="00736E59">
        <w:rPr>
          <w:rStyle w:val="FootnoteReference"/>
          <w:rFonts w:ascii="Avenir Book" w:hAnsi="Avenir Book" w:cstheme="minorHAnsi"/>
          <w:color w:val="000000" w:themeColor="text1"/>
          <w:spacing w:val="-4"/>
          <w:sz w:val="22"/>
          <w:szCs w:val="22"/>
          <w:shd w:val="clear" w:color="auto" w:fill="FFFFFF"/>
        </w:rPr>
        <w:footnoteReference w:id="50"/>
      </w:r>
      <w:r w:rsidRPr="00736E59">
        <w:rPr>
          <w:rFonts w:ascii="Avenir Book" w:hAnsi="Avenir Book" w:cstheme="minorHAnsi"/>
          <w:color w:val="000000" w:themeColor="text1"/>
          <w:spacing w:val="-4"/>
          <w:sz w:val="22"/>
          <w:szCs w:val="22"/>
          <w:shd w:val="clear" w:color="auto" w:fill="FFFFFF"/>
        </w:rPr>
        <w:t xml:space="preserve"> Disability is not inherent within the individual but is the result of the way that society responds to impairment, with this response resulting in inequality and discrimination, including segregation on the basis of impairment. </w:t>
      </w:r>
    </w:p>
    <w:p w14:paraId="6C34440F" w14:textId="77777777" w:rsidR="00215809" w:rsidRPr="00736E59" w:rsidRDefault="00215809" w:rsidP="009A3A16">
      <w:pPr>
        <w:pStyle w:val="ListParagraph"/>
        <w:ind w:left="0"/>
        <w:rPr>
          <w:rFonts w:ascii="Avenir Book" w:hAnsi="Avenir Book" w:cstheme="minorHAnsi"/>
          <w:sz w:val="22"/>
          <w:szCs w:val="22"/>
        </w:rPr>
      </w:pPr>
    </w:p>
    <w:p w14:paraId="46A45F1A" w14:textId="44F4C449"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The CRPD is based on the social model of disability, but goes further by codifying a human rights model of disability.</w:t>
      </w:r>
      <w:r w:rsidR="00A02BC8" w:rsidRPr="00736E59">
        <w:rPr>
          <w:rStyle w:val="FootnoteReference"/>
          <w:rFonts w:ascii="Avenir Book" w:hAnsi="Avenir Book" w:cstheme="minorHAnsi"/>
          <w:color w:val="000000" w:themeColor="text1"/>
          <w:spacing w:val="-4"/>
          <w:sz w:val="22"/>
          <w:szCs w:val="22"/>
          <w:shd w:val="clear" w:color="auto" w:fill="FFFFFF"/>
        </w:rPr>
        <w:footnoteReference w:id="51"/>
      </w:r>
      <w:r w:rsidRPr="00736E59">
        <w:rPr>
          <w:rFonts w:ascii="Avenir Book" w:hAnsi="Avenir Book" w:cstheme="minorHAnsi"/>
          <w:color w:val="000000" w:themeColor="text1"/>
          <w:spacing w:val="-4"/>
          <w:sz w:val="22"/>
          <w:szCs w:val="22"/>
          <w:shd w:val="clear" w:color="auto" w:fill="FFFFFF"/>
        </w:rPr>
        <w:t xml:space="preserve"> It recognises disability as a social construct, but also “values impairment as part of human diversity and human dignity”.</w:t>
      </w:r>
      <w:r w:rsidR="00A02BC8" w:rsidRPr="00736E59">
        <w:rPr>
          <w:rStyle w:val="FootnoteReference"/>
          <w:rFonts w:ascii="Avenir Book" w:hAnsi="Avenir Book" w:cstheme="minorHAnsi"/>
          <w:color w:val="000000" w:themeColor="text1"/>
          <w:spacing w:val="-4"/>
          <w:sz w:val="22"/>
          <w:szCs w:val="22"/>
          <w:shd w:val="clear" w:color="auto" w:fill="FFFFFF"/>
        </w:rPr>
        <w:footnoteReference w:id="52"/>
      </w:r>
      <w:r w:rsidRPr="00736E59">
        <w:rPr>
          <w:rFonts w:ascii="Avenir Book" w:hAnsi="Avenir Book" w:cstheme="minorHAnsi"/>
          <w:color w:val="000000" w:themeColor="text1"/>
          <w:spacing w:val="-4"/>
          <w:sz w:val="22"/>
          <w:szCs w:val="22"/>
          <w:shd w:val="clear" w:color="auto" w:fill="FFFFFF"/>
        </w:rPr>
        <w:t xml:space="preserve"> The inherent dignity of the human being is the focus of the human rights model of disability, rather than impairment.  It “clarifies that impairment does not derogate human dignity nor does it encroach upon the disabled person’s status as a rights-bearer”.</w:t>
      </w:r>
      <w:r w:rsidR="00A02BC8" w:rsidRPr="00736E59">
        <w:rPr>
          <w:rStyle w:val="FootnoteReference"/>
          <w:rFonts w:ascii="Avenir Book" w:hAnsi="Avenir Book" w:cstheme="minorHAnsi"/>
          <w:color w:val="000000" w:themeColor="text1"/>
          <w:spacing w:val="-4"/>
          <w:sz w:val="22"/>
          <w:szCs w:val="22"/>
          <w:shd w:val="clear" w:color="auto" w:fill="FFFFFF"/>
        </w:rPr>
        <w:footnoteReference w:id="53"/>
      </w:r>
      <w:r w:rsidRPr="00736E59">
        <w:rPr>
          <w:rFonts w:ascii="Avenir Book" w:hAnsi="Avenir Book" w:cstheme="minorHAnsi"/>
          <w:color w:val="000000" w:themeColor="text1"/>
          <w:spacing w:val="-4"/>
          <w:sz w:val="22"/>
          <w:szCs w:val="22"/>
          <w:shd w:val="clear" w:color="auto" w:fill="FFFFFF"/>
        </w:rPr>
        <w:t xml:space="preserve"> </w:t>
      </w:r>
    </w:p>
    <w:p w14:paraId="0DF933FB" w14:textId="77777777" w:rsidR="00215809" w:rsidRPr="00736E59" w:rsidRDefault="00215809" w:rsidP="009A3A16">
      <w:pPr>
        <w:pStyle w:val="ListParagraph"/>
        <w:ind w:left="0"/>
        <w:rPr>
          <w:rFonts w:ascii="Avenir Book" w:hAnsi="Avenir Book" w:cstheme="minorHAnsi"/>
          <w:sz w:val="22"/>
          <w:szCs w:val="22"/>
        </w:rPr>
      </w:pPr>
    </w:p>
    <w:p w14:paraId="476A620E" w14:textId="3E54C5C6" w:rsidR="00ED1483"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The influence of ableism is poorly recognised in Australia, with the medical model of disability still evident in Australian law, policy and practice.  While, there has been greater recognition of the rights of people with disability, which has led to associated reforms, the</w:t>
      </w:r>
      <w:r w:rsidR="00A02BC8" w:rsidRPr="00736E59">
        <w:rPr>
          <w:rFonts w:ascii="Avenir Book" w:hAnsi="Avenir Book" w:cstheme="minorHAnsi"/>
          <w:color w:val="000000" w:themeColor="text1"/>
          <w:spacing w:val="-4"/>
          <w:sz w:val="22"/>
          <w:szCs w:val="22"/>
          <w:shd w:val="clear" w:color="auto" w:fill="FFFFFF"/>
        </w:rPr>
        <w:t xml:space="preserve"> impact of the medical model is evident in the continu</w:t>
      </w:r>
      <w:r w:rsidR="000D3E55" w:rsidRPr="00736E59">
        <w:rPr>
          <w:rFonts w:ascii="Avenir Book" w:hAnsi="Avenir Book" w:cstheme="minorHAnsi"/>
          <w:color w:val="000000" w:themeColor="text1"/>
          <w:spacing w:val="-4"/>
          <w:sz w:val="22"/>
          <w:szCs w:val="22"/>
          <w:shd w:val="clear" w:color="auto" w:fill="FFFFFF"/>
        </w:rPr>
        <w:t>ed</w:t>
      </w:r>
      <w:r w:rsidR="00A02BC8" w:rsidRPr="00736E59">
        <w:rPr>
          <w:rFonts w:ascii="Avenir Book" w:hAnsi="Avenir Book" w:cstheme="minorHAnsi"/>
          <w:color w:val="000000" w:themeColor="text1"/>
          <w:spacing w:val="-4"/>
          <w:sz w:val="22"/>
          <w:szCs w:val="22"/>
          <w:shd w:val="clear" w:color="auto" w:fill="FFFFFF"/>
        </w:rPr>
        <w:t xml:space="preserve"> </w:t>
      </w:r>
      <w:r w:rsidRPr="00736E59">
        <w:rPr>
          <w:rFonts w:ascii="Avenir Book" w:hAnsi="Avenir Book" w:cstheme="minorHAnsi"/>
          <w:color w:val="000000" w:themeColor="text1"/>
          <w:spacing w:val="-4"/>
          <w:sz w:val="22"/>
          <w:szCs w:val="22"/>
          <w:shd w:val="clear" w:color="auto" w:fill="FFFFFF"/>
        </w:rPr>
        <w:t>reluctance within this reform agenda to comprehensively dismantle the ‘special’ laws, policies, programs and arrangements that segregate, congregate and marginalise people with disability</w:t>
      </w:r>
      <w:r w:rsidR="00072C47" w:rsidRPr="00736E59">
        <w:rPr>
          <w:rFonts w:ascii="Avenir Book" w:hAnsi="Avenir Book" w:cstheme="minorHAnsi"/>
          <w:color w:val="000000" w:themeColor="text1"/>
          <w:spacing w:val="-4"/>
          <w:sz w:val="22"/>
          <w:szCs w:val="22"/>
          <w:shd w:val="clear" w:color="auto" w:fill="FFFFFF"/>
        </w:rPr>
        <w:t>, including in the area of education and learning</w:t>
      </w:r>
      <w:r w:rsidR="00A02BC8" w:rsidRPr="00736E59">
        <w:rPr>
          <w:rFonts w:ascii="Avenir Book" w:hAnsi="Avenir Book" w:cstheme="minorHAnsi"/>
          <w:color w:val="000000" w:themeColor="text1"/>
          <w:spacing w:val="-4"/>
          <w:sz w:val="22"/>
          <w:szCs w:val="22"/>
          <w:shd w:val="clear" w:color="auto" w:fill="FFFFFF"/>
        </w:rPr>
        <w:t>.</w:t>
      </w:r>
      <w:r w:rsidRPr="00736E59">
        <w:rPr>
          <w:rFonts w:ascii="Avenir Book" w:hAnsi="Avenir Book" w:cstheme="minorHAnsi"/>
          <w:color w:val="000000" w:themeColor="text1"/>
          <w:spacing w:val="-4"/>
          <w:sz w:val="22"/>
          <w:szCs w:val="22"/>
          <w:shd w:val="clear" w:color="auto" w:fill="FFFFFF"/>
        </w:rPr>
        <w:t xml:space="preserve">  </w:t>
      </w:r>
    </w:p>
    <w:p w14:paraId="47FBD087" w14:textId="77777777" w:rsidR="00215809" w:rsidRPr="00736E59" w:rsidRDefault="00215809" w:rsidP="009A3A16">
      <w:pPr>
        <w:pStyle w:val="ListParagraph"/>
        <w:ind w:left="0"/>
        <w:rPr>
          <w:rFonts w:ascii="Avenir Book" w:hAnsi="Avenir Book" w:cstheme="minorHAnsi"/>
          <w:sz w:val="22"/>
          <w:szCs w:val="22"/>
        </w:rPr>
      </w:pPr>
    </w:p>
    <w:p w14:paraId="611A2011" w14:textId="21635355"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 xml:space="preserve">It is this medical or ableist view of people with disability that is the foundation of inequality and discrimination, </w:t>
      </w:r>
      <w:r w:rsidR="0024165F" w:rsidRPr="00736E59">
        <w:rPr>
          <w:rFonts w:ascii="Avenir Book" w:hAnsi="Avenir Book" w:cstheme="minorHAnsi"/>
          <w:color w:val="000000" w:themeColor="text1"/>
          <w:spacing w:val="-4"/>
          <w:sz w:val="22"/>
          <w:szCs w:val="22"/>
          <w:shd w:val="clear" w:color="auto" w:fill="FFFFFF"/>
        </w:rPr>
        <w:t>which underpins the</w:t>
      </w:r>
      <w:r w:rsidRPr="00736E59">
        <w:rPr>
          <w:rFonts w:ascii="Avenir Book" w:hAnsi="Avenir Book" w:cstheme="minorHAnsi"/>
          <w:color w:val="000000" w:themeColor="text1"/>
          <w:spacing w:val="-4"/>
          <w:sz w:val="22"/>
          <w:szCs w:val="22"/>
          <w:shd w:val="clear" w:color="auto" w:fill="FFFFFF"/>
        </w:rPr>
        <w:t xml:space="preserve"> violence, abuse and exploitation</w:t>
      </w:r>
      <w:r w:rsidR="0024165F" w:rsidRPr="00736E59">
        <w:rPr>
          <w:rFonts w:ascii="Avenir Book" w:hAnsi="Avenir Book" w:cstheme="minorHAnsi"/>
          <w:color w:val="000000" w:themeColor="text1"/>
          <w:spacing w:val="-4"/>
          <w:sz w:val="22"/>
          <w:szCs w:val="22"/>
          <w:shd w:val="clear" w:color="auto" w:fill="FFFFFF"/>
        </w:rPr>
        <w:t xml:space="preserve"> experienced by people with disability</w:t>
      </w:r>
      <w:r w:rsidRPr="00736E59">
        <w:rPr>
          <w:rFonts w:ascii="Avenir Book" w:hAnsi="Avenir Book" w:cstheme="minorHAnsi"/>
          <w:color w:val="000000" w:themeColor="text1"/>
          <w:spacing w:val="-4"/>
          <w:sz w:val="22"/>
          <w:szCs w:val="22"/>
          <w:shd w:val="clear" w:color="auto" w:fill="FFFFFF"/>
        </w:rPr>
        <w:t>.</w:t>
      </w:r>
      <w:r w:rsidR="0024165F" w:rsidRPr="00736E59">
        <w:rPr>
          <w:rStyle w:val="FootnoteReference"/>
          <w:rFonts w:ascii="Avenir Book" w:eastAsia="Times New Roman" w:hAnsi="Avenir Book" w:cstheme="minorHAnsi"/>
          <w:color w:val="000000" w:themeColor="text1"/>
          <w:spacing w:val="-4"/>
          <w:sz w:val="22"/>
          <w:szCs w:val="22"/>
          <w:shd w:val="clear" w:color="auto" w:fill="FFFFFF"/>
        </w:rPr>
        <w:footnoteReference w:id="54"/>
      </w:r>
    </w:p>
    <w:p w14:paraId="34439853" w14:textId="77777777" w:rsidR="00215809" w:rsidRPr="00736E59" w:rsidRDefault="00215809" w:rsidP="009A3A16">
      <w:pPr>
        <w:pStyle w:val="ListParagraph"/>
        <w:ind w:left="0"/>
        <w:rPr>
          <w:rFonts w:ascii="Avenir Book" w:hAnsi="Avenir Book" w:cstheme="minorHAnsi"/>
          <w:sz w:val="22"/>
          <w:szCs w:val="22"/>
        </w:rPr>
      </w:pPr>
    </w:p>
    <w:p w14:paraId="424D275C" w14:textId="60092F02" w:rsidR="006F4C8A" w:rsidRPr="00736E59" w:rsidRDefault="006F4C8A" w:rsidP="00B42158">
      <w:pPr>
        <w:pStyle w:val="ListParagraph"/>
        <w:numPr>
          <w:ilvl w:val="1"/>
          <w:numId w:val="25"/>
        </w:numPr>
        <w:snapToGrid w:val="0"/>
        <w:ind w:left="992"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 xml:space="preserve">For women and girls with disability, gender inequality, disability inequality and intersectional discrimination are interlinked and inseparable.  This means that the prevention of violence, abuse, neglect and exploitation requires explicit recognition and comprehensive dismantling of all forms of intersecting inequality and discrimination experienced by people with disability, including women and girls with disability.    </w:t>
      </w:r>
    </w:p>
    <w:p w14:paraId="277B278A" w14:textId="77777777" w:rsidR="00215809" w:rsidRPr="00736E59" w:rsidRDefault="00215809" w:rsidP="009A3A16">
      <w:pPr>
        <w:pStyle w:val="ListParagraph"/>
        <w:ind w:left="0"/>
        <w:rPr>
          <w:rFonts w:ascii="Avenir Book" w:hAnsi="Avenir Book" w:cstheme="minorHAnsi"/>
          <w:sz w:val="22"/>
          <w:szCs w:val="22"/>
        </w:rPr>
      </w:pPr>
    </w:p>
    <w:p w14:paraId="03214B5D" w14:textId="40EC0378" w:rsidR="006F4C8A"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The establishment of th</w:t>
      </w:r>
      <w:r w:rsidR="00035DE0" w:rsidRPr="00736E59">
        <w:rPr>
          <w:rFonts w:ascii="Avenir Book" w:hAnsi="Avenir Book" w:cstheme="minorHAnsi"/>
          <w:color w:val="000000" w:themeColor="text1"/>
          <w:spacing w:val="-4"/>
          <w:sz w:val="22"/>
          <w:szCs w:val="22"/>
          <w:shd w:val="clear" w:color="auto" w:fill="FFFFFF"/>
        </w:rPr>
        <w:t>e</w:t>
      </w:r>
      <w:r w:rsidRPr="00736E59">
        <w:rPr>
          <w:rFonts w:ascii="Avenir Book" w:hAnsi="Avenir Book" w:cstheme="minorHAnsi"/>
          <w:color w:val="000000" w:themeColor="text1"/>
          <w:spacing w:val="-4"/>
          <w:sz w:val="22"/>
          <w:szCs w:val="22"/>
          <w:shd w:val="clear" w:color="auto" w:fill="FFFFFF"/>
        </w:rPr>
        <w:t xml:space="preserve"> Royal Commission is an opportunity to go beyond investigation of </w:t>
      </w:r>
      <w:r w:rsidR="00AD0358" w:rsidRPr="00736E59">
        <w:rPr>
          <w:rFonts w:ascii="Avenir Book" w:hAnsi="Avenir Book" w:cstheme="minorHAnsi"/>
          <w:color w:val="000000" w:themeColor="text1"/>
          <w:spacing w:val="-4"/>
          <w:sz w:val="22"/>
          <w:szCs w:val="22"/>
          <w:shd w:val="clear" w:color="auto" w:fill="FFFFFF"/>
        </w:rPr>
        <w:t xml:space="preserve">life domains, </w:t>
      </w:r>
      <w:r w:rsidRPr="00736E59">
        <w:rPr>
          <w:rFonts w:ascii="Avenir Book" w:hAnsi="Avenir Book" w:cstheme="minorHAnsi"/>
          <w:color w:val="000000" w:themeColor="text1"/>
          <w:spacing w:val="-4"/>
          <w:sz w:val="22"/>
          <w:szCs w:val="22"/>
          <w:shd w:val="clear" w:color="auto" w:fill="FFFFFF"/>
        </w:rPr>
        <w:t xml:space="preserve">the operation of service systems, the quality of support workers, and </w:t>
      </w:r>
      <w:r w:rsidRPr="00736E59">
        <w:rPr>
          <w:rFonts w:ascii="Avenir Book" w:hAnsi="Avenir Book" w:cstheme="minorHAnsi"/>
          <w:color w:val="000000" w:themeColor="text1"/>
          <w:spacing w:val="-4"/>
          <w:sz w:val="22"/>
          <w:szCs w:val="22"/>
          <w:shd w:val="clear" w:color="auto" w:fill="FFFFFF"/>
        </w:rPr>
        <w:lastRenderedPageBreak/>
        <w:t xml:space="preserve">protective mechanism responses, and to </w:t>
      </w:r>
      <w:r w:rsidR="00AD0358" w:rsidRPr="00736E59">
        <w:rPr>
          <w:rFonts w:ascii="Avenir Book" w:hAnsi="Avenir Book" w:cstheme="minorHAnsi"/>
          <w:color w:val="000000" w:themeColor="text1"/>
          <w:spacing w:val="-4"/>
          <w:sz w:val="22"/>
          <w:szCs w:val="22"/>
          <w:shd w:val="clear" w:color="auto" w:fill="FFFFFF"/>
        </w:rPr>
        <w:t xml:space="preserve">explicitly </w:t>
      </w:r>
      <w:r w:rsidRPr="00736E59">
        <w:rPr>
          <w:rFonts w:ascii="Avenir Book" w:hAnsi="Avenir Book" w:cstheme="minorHAnsi"/>
          <w:color w:val="000000" w:themeColor="text1"/>
          <w:spacing w:val="-4"/>
          <w:sz w:val="22"/>
          <w:szCs w:val="22"/>
          <w:shd w:val="clear" w:color="auto" w:fill="FFFFFF"/>
        </w:rPr>
        <w:t xml:space="preserve">expose and address the underlying </w:t>
      </w:r>
      <w:r w:rsidR="00AD0358" w:rsidRPr="00736E59">
        <w:rPr>
          <w:rFonts w:ascii="Avenir Book" w:hAnsi="Avenir Book" w:cstheme="minorHAnsi"/>
          <w:color w:val="000000" w:themeColor="text1"/>
          <w:spacing w:val="-4"/>
          <w:sz w:val="22"/>
          <w:szCs w:val="22"/>
          <w:shd w:val="clear" w:color="auto" w:fill="FFFFFF"/>
        </w:rPr>
        <w:t xml:space="preserve">drivers or </w:t>
      </w:r>
      <w:r w:rsidRPr="00736E59">
        <w:rPr>
          <w:rFonts w:ascii="Avenir Book" w:hAnsi="Avenir Book" w:cstheme="minorHAnsi"/>
          <w:color w:val="000000" w:themeColor="text1"/>
          <w:spacing w:val="-4"/>
          <w:sz w:val="22"/>
          <w:szCs w:val="22"/>
          <w:shd w:val="clear" w:color="auto" w:fill="FFFFFF"/>
        </w:rPr>
        <w:t xml:space="preserve">enablers of violence, abuse, neglect and exploitation.  It is critical that there is a comprehensive investigation of ableism, inequality and intersectional discrimination in Australian law, policy and practice and in community attitudes generally so that </w:t>
      </w:r>
      <w:r w:rsidR="00AD0358" w:rsidRPr="00736E59">
        <w:rPr>
          <w:rFonts w:ascii="Avenir Book" w:hAnsi="Avenir Book" w:cstheme="minorHAnsi"/>
          <w:color w:val="000000" w:themeColor="text1"/>
          <w:spacing w:val="-4"/>
          <w:sz w:val="22"/>
          <w:szCs w:val="22"/>
          <w:shd w:val="clear" w:color="auto" w:fill="FFFFFF"/>
        </w:rPr>
        <w:t xml:space="preserve">findings and </w:t>
      </w:r>
      <w:r w:rsidRPr="00736E59">
        <w:rPr>
          <w:rFonts w:ascii="Avenir Book" w:hAnsi="Avenir Book" w:cstheme="minorHAnsi"/>
          <w:color w:val="000000" w:themeColor="text1"/>
          <w:spacing w:val="-4"/>
          <w:sz w:val="22"/>
          <w:szCs w:val="22"/>
          <w:shd w:val="clear" w:color="auto" w:fill="FFFFFF"/>
        </w:rPr>
        <w:t xml:space="preserve">recommendations address root causes of violence, abuse, neglect and exploitation.  </w:t>
      </w:r>
    </w:p>
    <w:p w14:paraId="7D09D4C7" w14:textId="77777777" w:rsidR="00215809" w:rsidRPr="00736E59" w:rsidRDefault="00215809" w:rsidP="009A3A16">
      <w:pPr>
        <w:pStyle w:val="ListParagraph"/>
        <w:ind w:left="0"/>
        <w:rPr>
          <w:rFonts w:ascii="Avenir Book" w:hAnsi="Avenir Book" w:cstheme="minorHAnsi"/>
          <w:sz w:val="22"/>
          <w:szCs w:val="22"/>
        </w:rPr>
      </w:pPr>
    </w:p>
    <w:p w14:paraId="51069060" w14:textId="388840C1" w:rsidR="003C344B" w:rsidRPr="00736E59" w:rsidRDefault="006F4C8A" w:rsidP="00EF5411">
      <w:pPr>
        <w:pStyle w:val="ListParagraph"/>
        <w:numPr>
          <w:ilvl w:val="1"/>
          <w:numId w:val="25"/>
        </w:numPr>
        <w:snapToGrid w:val="0"/>
        <w:spacing w:after="120"/>
        <w:ind w:left="993" w:hanging="567"/>
        <w:rPr>
          <w:rFonts w:ascii="Avenir Book" w:hAnsi="Avenir Book" w:cstheme="minorHAnsi"/>
          <w:sz w:val="22"/>
          <w:szCs w:val="22"/>
        </w:rPr>
      </w:pPr>
      <w:r w:rsidRPr="00736E59">
        <w:rPr>
          <w:rFonts w:ascii="Avenir Book" w:hAnsi="Avenir Book" w:cstheme="minorHAnsi"/>
          <w:color w:val="000000" w:themeColor="text1"/>
          <w:spacing w:val="-4"/>
          <w:sz w:val="22"/>
          <w:szCs w:val="22"/>
          <w:shd w:val="clear" w:color="auto" w:fill="FFFFFF"/>
        </w:rPr>
        <w:t>The risk for the Royal Commission in only focusing on separate service systems and life domains, is that the investigation and outcomes are narrowed to merely enhancing existing service systems, removing existing barriers and establishing or improving protective mechanisms</w:t>
      </w:r>
      <w:r w:rsidR="00C30E3F" w:rsidRPr="00736E59">
        <w:rPr>
          <w:rFonts w:ascii="Avenir Book" w:hAnsi="Avenir Book" w:cstheme="minorHAnsi"/>
          <w:color w:val="000000" w:themeColor="text1"/>
          <w:spacing w:val="-4"/>
          <w:sz w:val="22"/>
          <w:szCs w:val="22"/>
          <w:shd w:val="clear" w:color="auto" w:fill="FFFFFF"/>
        </w:rPr>
        <w:t>,</w:t>
      </w:r>
      <w:r w:rsidRPr="00736E59">
        <w:rPr>
          <w:rFonts w:ascii="Avenir Book" w:hAnsi="Avenir Book" w:cstheme="minorHAnsi"/>
          <w:color w:val="000000" w:themeColor="text1"/>
          <w:spacing w:val="-4"/>
          <w:sz w:val="22"/>
          <w:szCs w:val="22"/>
          <w:shd w:val="clear" w:color="auto" w:fill="FFFFFF"/>
        </w:rPr>
        <w:t xml:space="preserve"> without </w:t>
      </w:r>
      <w:r w:rsidR="006C18B0" w:rsidRPr="00736E59">
        <w:rPr>
          <w:rFonts w:ascii="Avenir Book" w:hAnsi="Avenir Book" w:cstheme="minorHAnsi"/>
          <w:color w:val="000000" w:themeColor="text1"/>
          <w:spacing w:val="-4"/>
          <w:sz w:val="22"/>
          <w:szCs w:val="22"/>
          <w:shd w:val="clear" w:color="auto" w:fill="FFFFFF"/>
        </w:rPr>
        <w:t>identifying</w:t>
      </w:r>
      <w:r w:rsidRPr="00736E59">
        <w:rPr>
          <w:rFonts w:ascii="Avenir Book" w:hAnsi="Avenir Book" w:cstheme="minorHAnsi"/>
          <w:color w:val="000000" w:themeColor="text1"/>
          <w:spacing w:val="-4"/>
          <w:sz w:val="22"/>
          <w:szCs w:val="22"/>
          <w:shd w:val="clear" w:color="auto" w:fill="FFFFFF"/>
        </w:rPr>
        <w:t xml:space="preserve"> the </w:t>
      </w:r>
      <w:r w:rsidR="006C18B0" w:rsidRPr="00736E59">
        <w:rPr>
          <w:rFonts w:ascii="Avenir Book" w:hAnsi="Avenir Book" w:cstheme="minorHAnsi"/>
          <w:color w:val="000000" w:themeColor="text1"/>
          <w:spacing w:val="-4"/>
          <w:sz w:val="22"/>
          <w:szCs w:val="22"/>
          <w:shd w:val="clear" w:color="auto" w:fill="FFFFFF"/>
        </w:rPr>
        <w:t xml:space="preserve">overall </w:t>
      </w:r>
      <w:r w:rsidRPr="00736E59">
        <w:rPr>
          <w:rFonts w:ascii="Avenir Book" w:hAnsi="Avenir Book" w:cstheme="minorHAnsi"/>
          <w:color w:val="000000" w:themeColor="text1"/>
          <w:spacing w:val="-4"/>
          <w:sz w:val="22"/>
          <w:szCs w:val="22"/>
          <w:shd w:val="clear" w:color="auto" w:fill="FFFFFF"/>
        </w:rPr>
        <w:t xml:space="preserve">social transformation required to prevent violence, abuse, neglect and exploitation against people with disability, including women and girls with disability.  </w:t>
      </w:r>
    </w:p>
    <w:p w14:paraId="03DD8DFE" w14:textId="165C37CA" w:rsidR="003C344B" w:rsidRPr="00736E59" w:rsidRDefault="003C344B" w:rsidP="009A3A16">
      <w:pPr>
        <w:pStyle w:val="ListParagraph"/>
        <w:ind w:left="0"/>
        <w:rPr>
          <w:rFonts w:ascii="Avenir Book" w:hAnsi="Avenir Book" w:cs="Calibri"/>
          <w:sz w:val="22"/>
          <w:szCs w:val="22"/>
        </w:rPr>
      </w:pPr>
    </w:p>
    <w:p w14:paraId="0956912C" w14:textId="77777777" w:rsidR="00035DE0" w:rsidRPr="008C4139" w:rsidRDefault="00035DE0" w:rsidP="00035DE0">
      <w:pPr>
        <w:rPr>
          <w:rFonts w:ascii="Avenir Book" w:hAnsi="Avenir Book" w:cstheme="minorHAnsi"/>
          <w:b/>
          <w:color w:val="AC1F79"/>
        </w:rPr>
      </w:pPr>
      <w:r w:rsidRPr="008C4139">
        <w:rPr>
          <w:rFonts w:ascii="Avenir Book" w:hAnsi="Avenir Book" w:cstheme="minorHAnsi"/>
          <w:b/>
          <w:color w:val="AC1F79"/>
        </w:rPr>
        <w:t>Recommendations</w:t>
      </w:r>
    </w:p>
    <w:p w14:paraId="6AD50610" w14:textId="590BF41D" w:rsidR="00035DE0" w:rsidRPr="008C4139" w:rsidRDefault="00035DE0" w:rsidP="009A3A16">
      <w:pPr>
        <w:pStyle w:val="ListParagraph"/>
        <w:ind w:left="0"/>
        <w:rPr>
          <w:rFonts w:ascii="Avenir Book" w:hAnsi="Avenir Book" w:cs="Calibri"/>
          <w:sz w:val="22"/>
          <w:szCs w:val="22"/>
        </w:rPr>
      </w:pPr>
    </w:p>
    <w:p w14:paraId="29AC05C9" w14:textId="10C6D544" w:rsidR="00C77F5F" w:rsidRPr="008C4139" w:rsidRDefault="00C77F5F" w:rsidP="00EF5411">
      <w:pPr>
        <w:pStyle w:val="ListParagraph"/>
        <w:numPr>
          <w:ilvl w:val="0"/>
          <w:numId w:val="15"/>
        </w:numPr>
        <w:spacing w:after="120"/>
        <w:ind w:left="425" w:hanging="425"/>
        <w:contextualSpacing w:val="0"/>
        <w:rPr>
          <w:rFonts w:ascii="Avenir Book" w:hAnsi="Avenir Book" w:cs="Calibri"/>
          <w:sz w:val="22"/>
          <w:szCs w:val="22"/>
        </w:rPr>
      </w:pPr>
      <w:r w:rsidRPr="008C4139">
        <w:rPr>
          <w:rFonts w:ascii="Avenir Book" w:hAnsi="Avenir Book" w:cstheme="minorHAnsi"/>
          <w:sz w:val="22"/>
          <w:szCs w:val="22"/>
        </w:rPr>
        <w:t>The Royal Commission should:</w:t>
      </w:r>
    </w:p>
    <w:p w14:paraId="7A8EF9AC" w14:textId="00347457" w:rsidR="00C77F5F" w:rsidRPr="008C4139" w:rsidRDefault="00C77F5F" w:rsidP="00EF5411">
      <w:pPr>
        <w:pStyle w:val="ListParagraph"/>
        <w:numPr>
          <w:ilvl w:val="0"/>
          <w:numId w:val="16"/>
        </w:numPr>
        <w:ind w:left="993" w:hanging="567"/>
        <w:rPr>
          <w:rFonts w:ascii="Avenir Book" w:hAnsi="Avenir Book" w:cs="Calibri"/>
          <w:sz w:val="22"/>
          <w:szCs w:val="22"/>
        </w:rPr>
      </w:pPr>
      <w:r w:rsidRPr="008C4139">
        <w:rPr>
          <w:rFonts w:ascii="Avenir Book" w:hAnsi="Avenir Book" w:cs="Calibri"/>
          <w:sz w:val="22"/>
          <w:szCs w:val="22"/>
        </w:rPr>
        <w:t>recognise ableism and intersecting forms of inequality and discrimination as the underlying drivers of violence, abuse, neglect and exploitation of people with disability, including women and girls with disability;</w:t>
      </w:r>
    </w:p>
    <w:p w14:paraId="76B72DEC" w14:textId="312F0ABE" w:rsidR="00C77F5F" w:rsidRPr="008C4139" w:rsidRDefault="00C77F5F" w:rsidP="00EF5411">
      <w:pPr>
        <w:pStyle w:val="ListParagraph"/>
        <w:numPr>
          <w:ilvl w:val="0"/>
          <w:numId w:val="16"/>
        </w:numPr>
        <w:ind w:left="993" w:hanging="567"/>
        <w:rPr>
          <w:rFonts w:ascii="Avenir Book" w:hAnsi="Avenir Book" w:cs="Calibri"/>
          <w:sz w:val="22"/>
          <w:szCs w:val="22"/>
        </w:rPr>
      </w:pPr>
      <w:r w:rsidRPr="008C4139">
        <w:rPr>
          <w:rFonts w:ascii="Avenir Book" w:hAnsi="Avenir Book" w:cs="Calibri"/>
          <w:sz w:val="22"/>
          <w:szCs w:val="22"/>
        </w:rPr>
        <w:t>examine how ableism and intersecting forms of inequality and discrimination operate within Australian legal, policy and practice frameworks and community attitudes generally</w:t>
      </w:r>
      <w:r w:rsidR="003827D8" w:rsidRPr="008C4139">
        <w:rPr>
          <w:rFonts w:ascii="Avenir Book" w:hAnsi="Avenir Book" w:cs="Calibri"/>
          <w:sz w:val="22"/>
          <w:szCs w:val="22"/>
        </w:rPr>
        <w:t>, and how they underpin violence, abuse, neglect and exploitation</w:t>
      </w:r>
      <w:r w:rsidRPr="008C4139">
        <w:rPr>
          <w:rFonts w:ascii="Avenir Book" w:hAnsi="Avenir Book" w:cs="Calibri"/>
          <w:sz w:val="22"/>
          <w:szCs w:val="22"/>
        </w:rPr>
        <w:t>;</w:t>
      </w:r>
    </w:p>
    <w:p w14:paraId="3AA0E00A" w14:textId="7433B3FE" w:rsidR="00035DE0" w:rsidRPr="008C4139" w:rsidRDefault="00C77F5F" w:rsidP="00EF5411">
      <w:pPr>
        <w:pStyle w:val="ListParagraph"/>
        <w:numPr>
          <w:ilvl w:val="0"/>
          <w:numId w:val="16"/>
        </w:numPr>
        <w:ind w:left="993" w:hanging="567"/>
        <w:rPr>
          <w:rFonts w:ascii="Avenir Book" w:hAnsi="Avenir Book" w:cs="Calibri"/>
          <w:sz w:val="22"/>
          <w:szCs w:val="22"/>
        </w:rPr>
      </w:pPr>
      <w:r w:rsidRPr="008C4139">
        <w:rPr>
          <w:rFonts w:ascii="Avenir Book" w:hAnsi="Avenir Book" w:cs="Calibri"/>
          <w:sz w:val="22"/>
          <w:szCs w:val="22"/>
        </w:rPr>
        <w:t xml:space="preserve">make recommendations that address these root causes of violence, abuse, neglect and exploitation </w:t>
      </w:r>
      <w:r w:rsidR="003827D8" w:rsidRPr="008C4139">
        <w:rPr>
          <w:rFonts w:ascii="Avenir Book" w:hAnsi="Avenir Book" w:cs="Calibri"/>
          <w:sz w:val="22"/>
          <w:szCs w:val="22"/>
        </w:rPr>
        <w:t xml:space="preserve">and that lead to large scale responses and </w:t>
      </w:r>
      <w:r w:rsidRPr="008C4139">
        <w:rPr>
          <w:rFonts w:ascii="Avenir Book" w:hAnsi="Avenir Book" w:cs="Calibri"/>
          <w:sz w:val="22"/>
          <w:szCs w:val="22"/>
        </w:rPr>
        <w:t>social transformation</w:t>
      </w:r>
      <w:r w:rsidR="003827D8" w:rsidRPr="008C4139">
        <w:rPr>
          <w:rFonts w:ascii="Avenir Book" w:hAnsi="Avenir Book" w:cs="Calibri"/>
          <w:sz w:val="22"/>
          <w:szCs w:val="22"/>
        </w:rPr>
        <w:t>.</w:t>
      </w:r>
    </w:p>
    <w:p w14:paraId="075206F4" w14:textId="6FBA7326" w:rsidR="003C344B" w:rsidRPr="008C4139" w:rsidRDefault="003C344B" w:rsidP="009A3A16">
      <w:pPr>
        <w:snapToGrid w:val="0"/>
        <w:ind w:left="567" w:hanging="567"/>
        <w:rPr>
          <w:rFonts w:ascii="Avenir Book" w:hAnsi="Avenir Book" w:cs="Calibri"/>
          <w:sz w:val="22"/>
          <w:szCs w:val="22"/>
        </w:rPr>
      </w:pPr>
    </w:p>
    <w:p w14:paraId="1B382675" w14:textId="6D2F9AD4" w:rsidR="003827D8" w:rsidRPr="008C4139" w:rsidRDefault="003827D8" w:rsidP="00EF5411">
      <w:pPr>
        <w:pStyle w:val="ListParagraph"/>
        <w:numPr>
          <w:ilvl w:val="0"/>
          <w:numId w:val="15"/>
        </w:numPr>
        <w:snapToGrid w:val="0"/>
        <w:spacing w:after="120"/>
        <w:ind w:left="425" w:hanging="425"/>
        <w:contextualSpacing w:val="0"/>
        <w:rPr>
          <w:rFonts w:ascii="Avenir Book" w:hAnsi="Avenir Book" w:cs="Calibri"/>
          <w:sz w:val="22"/>
          <w:szCs w:val="22"/>
        </w:rPr>
      </w:pPr>
      <w:r w:rsidRPr="008C4139">
        <w:rPr>
          <w:rFonts w:ascii="Avenir Book" w:hAnsi="Avenir Book" w:cs="Calibri"/>
          <w:sz w:val="22"/>
          <w:szCs w:val="22"/>
        </w:rPr>
        <w:t xml:space="preserve">A coordinated, nationally consistent violence prevention and response strategy should be developed </w:t>
      </w:r>
      <w:r w:rsidR="00FA5FD6" w:rsidRPr="008C4139">
        <w:rPr>
          <w:rFonts w:ascii="Avenir Book" w:hAnsi="Avenir Book" w:cs="Calibri"/>
          <w:sz w:val="22"/>
          <w:szCs w:val="22"/>
        </w:rPr>
        <w:t xml:space="preserve">by Australian governments, with active participation of people with disability </w:t>
      </w:r>
      <w:r w:rsidRPr="008C4139">
        <w:rPr>
          <w:rFonts w:ascii="Avenir Book" w:hAnsi="Avenir Book" w:cs="Calibri"/>
          <w:sz w:val="22"/>
          <w:szCs w:val="22"/>
        </w:rPr>
        <w:t>that comprehensively combats ableism and intersecting forms of inequality and discrimination through a range of measures aimed at social transformation, including:</w:t>
      </w:r>
    </w:p>
    <w:p w14:paraId="6AA9CA69" w14:textId="770A2E33" w:rsidR="002065F4" w:rsidRPr="008C4139" w:rsidRDefault="002065F4" w:rsidP="00EF5411">
      <w:pPr>
        <w:pStyle w:val="ListParagraph"/>
        <w:numPr>
          <w:ilvl w:val="0"/>
          <w:numId w:val="17"/>
        </w:numPr>
        <w:snapToGrid w:val="0"/>
        <w:spacing w:after="120"/>
        <w:ind w:left="851" w:hanging="425"/>
        <w:rPr>
          <w:rFonts w:ascii="Avenir Book" w:hAnsi="Avenir Book" w:cs="Calibri"/>
          <w:sz w:val="22"/>
          <w:szCs w:val="22"/>
        </w:rPr>
      </w:pPr>
      <w:r w:rsidRPr="008C4139">
        <w:rPr>
          <w:rFonts w:ascii="Avenir Book" w:hAnsi="Avenir Book" w:cs="Calibri"/>
          <w:sz w:val="22"/>
          <w:szCs w:val="22"/>
        </w:rPr>
        <w:t>R</w:t>
      </w:r>
      <w:r w:rsidR="006C2B6B" w:rsidRPr="008C4139">
        <w:rPr>
          <w:rFonts w:ascii="Avenir Book" w:hAnsi="Avenir Book" w:cs="Calibri"/>
          <w:sz w:val="22"/>
          <w:szCs w:val="22"/>
        </w:rPr>
        <w:t>eview</w:t>
      </w:r>
      <w:r w:rsidRPr="008C4139">
        <w:rPr>
          <w:rFonts w:ascii="Avenir Book" w:hAnsi="Avenir Book" w:cs="Calibri"/>
          <w:sz w:val="22"/>
          <w:szCs w:val="22"/>
        </w:rPr>
        <w:t xml:space="preserve">, amend or repeal </w:t>
      </w:r>
      <w:r w:rsidR="006C2B6B" w:rsidRPr="008C4139">
        <w:rPr>
          <w:rFonts w:ascii="Avenir Book" w:hAnsi="Avenir Book" w:cs="Calibri"/>
          <w:sz w:val="22"/>
          <w:szCs w:val="22"/>
        </w:rPr>
        <w:t xml:space="preserve">of laws, policies and practice that do not comply with the CRPD and that </w:t>
      </w:r>
      <w:r w:rsidRPr="008C4139">
        <w:rPr>
          <w:rFonts w:ascii="Avenir Book" w:hAnsi="Avenir Book" w:cs="Calibri"/>
          <w:sz w:val="22"/>
          <w:szCs w:val="22"/>
        </w:rPr>
        <w:t>give rise to</w:t>
      </w:r>
      <w:r w:rsidR="006C2B6B" w:rsidRPr="008C4139">
        <w:rPr>
          <w:rFonts w:ascii="Avenir Book" w:hAnsi="Avenir Book" w:cs="Calibri"/>
          <w:sz w:val="22"/>
          <w:szCs w:val="22"/>
        </w:rPr>
        <w:t xml:space="preserve"> violence, abuse</w:t>
      </w:r>
      <w:r w:rsidR="00920F69" w:rsidRPr="008C4139">
        <w:rPr>
          <w:rFonts w:ascii="Avenir Book" w:hAnsi="Avenir Book" w:cs="Calibri"/>
          <w:sz w:val="22"/>
          <w:szCs w:val="22"/>
        </w:rPr>
        <w:t xml:space="preserve">, </w:t>
      </w:r>
      <w:r w:rsidR="006C2B6B" w:rsidRPr="008C4139">
        <w:rPr>
          <w:rFonts w:ascii="Avenir Book" w:hAnsi="Avenir Book" w:cs="Calibri"/>
          <w:sz w:val="22"/>
          <w:szCs w:val="22"/>
        </w:rPr>
        <w:t>neglect and exploitation of people with disability</w:t>
      </w:r>
      <w:r w:rsidR="00705142" w:rsidRPr="008C4139">
        <w:rPr>
          <w:rFonts w:ascii="Avenir Book" w:hAnsi="Avenir Book" w:cs="Calibri"/>
          <w:sz w:val="22"/>
          <w:szCs w:val="22"/>
        </w:rPr>
        <w:t>, including women and girls with disability</w:t>
      </w:r>
      <w:r w:rsidR="006C2B6B" w:rsidRPr="008C4139">
        <w:rPr>
          <w:rFonts w:ascii="Avenir Book" w:hAnsi="Avenir Book" w:cs="Calibri"/>
          <w:sz w:val="22"/>
          <w:szCs w:val="22"/>
        </w:rPr>
        <w:t>;</w:t>
      </w:r>
    </w:p>
    <w:p w14:paraId="70DE0BB7" w14:textId="2CC8B7F9" w:rsidR="003827D8" w:rsidRPr="008C4139" w:rsidRDefault="002065F4" w:rsidP="00EF5411">
      <w:pPr>
        <w:pStyle w:val="ListParagraph"/>
        <w:numPr>
          <w:ilvl w:val="0"/>
          <w:numId w:val="17"/>
        </w:numPr>
        <w:snapToGrid w:val="0"/>
        <w:spacing w:after="120"/>
        <w:ind w:left="851" w:hanging="425"/>
        <w:rPr>
          <w:rFonts w:ascii="Avenir Book" w:hAnsi="Avenir Book" w:cs="Calibri"/>
          <w:sz w:val="22"/>
          <w:szCs w:val="22"/>
        </w:rPr>
      </w:pPr>
      <w:r w:rsidRPr="008C4139">
        <w:rPr>
          <w:rFonts w:ascii="Avenir Book" w:hAnsi="Avenir Book" w:cs="Calibri"/>
          <w:sz w:val="22"/>
          <w:szCs w:val="22"/>
        </w:rPr>
        <w:t>National surveys and awareness raising campaigns;</w:t>
      </w:r>
    </w:p>
    <w:p w14:paraId="2E52CEB0" w14:textId="330D4226" w:rsidR="002065F4" w:rsidRPr="008C4139" w:rsidRDefault="002065F4" w:rsidP="00EF5411">
      <w:pPr>
        <w:pStyle w:val="ListParagraph"/>
        <w:numPr>
          <w:ilvl w:val="0"/>
          <w:numId w:val="17"/>
        </w:numPr>
        <w:snapToGrid w:val="0"/>
        <w:spacing w:after="120"/>
        <w:ind w:left="851" w:hanging="425"/>
        <w:rPr>
          <w:rFonts w:ascii="Avenir Book" w:hAnsi="Avenir Book" w:cs="Calibri"/>
          <w:sz w:val="22"/>
          <w:szCs w:val="22"/>
        </w:rPr>
      </w:pPr>
      <w:r w:rsidRPr="008C4139">
        <w:rPr>
          <w:rFonts w:ascii="Avenir Book" w:hAnsi="Avenir Book" w:cs="Calibri"/>
          <w:sz w:val="22"/>
          <w:szCs w:val="22"/>
        </w:rPr>
        <w:t xml:space="preserve">Political commitments and </w:t>
      </w:r>
      <w:r w:rsidR="00705142" w:rsidRPr="008C4139">
        <w:rPr>
          <w:rFonts w:ascii="Avenir Book" w:hAnsi="Avenir Book" w:cs="Calibri"/>
          <w:sz w:val="22"/>
          <w:szCs w:val="22"/>
        </w:rPr>
        <w:t>leadership from governments;</w:t>
      </w:r>
    </w:p>
    <w:p w14:paraId="1EAF67AD" w14:textId="4AC3C269" w:rsidR="00705142" w:rsidRPr="008C4139" w:rsidRDefault="00705142" w:rsidP="00EF5411">
      <w:pPr>
        <w:pStyle w:val="ListParagraph"/>
        <w:numPr>
          <w:ilvl w:val="0"/>
          <w:numId w:val="17"/>
        </w:numPr>
        <w:snapToGrid w:val="0"/>
        <w:spacing w:after="120"/>
        <w:ind w:left="851" w:hanging="425"/>
        <w:rPr>
          <w:rFonts w:ascii="Avenir Book" w:hAnsi="Avenir Book" w:cs="Calibri"/>
          <w:sz w:val="22"/>
          <w:szCs w:val="22"/>
        </w:rPr>
      </w:pPr>
      <w:r w:rsidRPr="008C4139">
        <w:rPr>
          <w:rFonts w:ascii="Avenir Book" w:hAnsi="Avenir Book" w:cs="Calibri"/>
          <w:sz w:val="22"/>
          <w:szCs w:val="22"/>
        </w:rPr>
        <w:t>Budget allocations and resourcing;</w:t>
      </w:r>
    </w:p>
    <w:p w14:paraId="604BCFAF" w14:textId="2F636341" w:rsidR="00705142" w:rsidRPr="008C4139" w:rsidRDefault="00705142" w:rsidP="00EF5411">
      <w:pPr>
        <w:pStyle w:val="ListParagraph"/>
        <w:numPr>
          <w:ilvl w:val="0"/>
          <w:numId w:val="17"/>
        </w:numPr>
        <w:snapToGrid w:val="0"/>
        <w:spacing w:after="120"/>
        <w:ind w:left="851" w:hanging="425"/>
        <w:rPr>
          <w:rFonts w:ascii="Avenir Book" w:hAnsi="Avenir Book" w:cs="Calibri"/>
          <w:sz w:val="22"/>
          <w:szCs w:val="22"/>
        </w:rPr>
      </w:pPr>
      <w:r w:rsidRPr="008C4139">
        <w:rPr>
          <w:rFonts w:ascii="Avenir Book" w:hAnsi="Avenir Book" w:cs="Calibri"/>
          <w:sz w:val="22"/>
          <w:szCs w:val="22"/>
        </w:rPr>
        <w:t xml:space="preserve">Educational programs delivered as part of early childhood, school and tertiary curricula. </w:t>
      </w:r>
    </w:p>
    <w:p w14:paraId="3E9CDB60" w14:textId="77777777" w:rsidR="003827D8" w:rsidRPr="008C4139" w:rsidRDefault="003827D8" w:rsidP="003C344B">
      <w:pPr>
        <w:snapToGrid w:val="0"/>
        <w:rPr>
          <w:rFonts w:ascii="Avenir Book" w:hAnsi="Avenir Book" w:cs="Calibri"/>
          <w:sz w:val="22"/>
          <w:szCs w:val="22"/>
        </w:rPr>
      </w:pPr>
    </w:p>
    <w:p w14:paraId="4FDA1AEF" w14:textId="12E3732E" w:rsidR="000626F7" w:rsidRPr="003C344B" w:rsidRDefault="000626F7" w:rsidP="003C344B">
      <w:pPr>
        <w:snapToGrid w:val="0"/>
        <w:rPr>
          <w:rFonts w:cstheme="minorHAnsi"/>
        </w:rPr>
      </w:pPr>
      <w:r w:rsidRPr="003C344B">
        <w:rPr>
          <w:rFonts w:ascii="Calibri" w:hAnsi="Calibri" w:cs="Calibri"/>
        </w:rPr>
        <w:br w:type="page"/>
      </w:r>
    </w:p>
    <w:p w14:paraId="0697DA33" w14:textId="41A748C4" w:rsidR="00894A14" w:rsidRPr="00411C1D" w:rsidRDefault="00894A14" w:rsidP="00EF5411">
      <w:pPr>
        <w:pStyle w:val="Heading2"/>
        <w:numPr>
          <w:ilvl w:val="0"/>
          <w:numId w:val="13"/>
        </w:numPr>
        <w:ind w:left="426" w:hanging="426"/>
        <w:jc w:val="left"/>
        <w:rPr>
          <w:rFonts w:ascii="Avenir Book" w:hAnsi="Avenir Book" w:cs="Calibri"/>
          <w:color w:val="AC1F79"/>
        </w:rPr>
      </w:pPr>
      <w:bookmarkStart w:id="85" w:name="_Toc32759991"/>
      <w:r w:rsidRPr="00411C1D">
        <w:rPr>
          <w:rFonts w:ascii="Avenir Book" w:hAnsi="Avenir Book" w:cs="Calibri"/>
          <w:color w:val="AC1F79"/>
        </w:rPr>
        <w:lastRenderedPageBreak/>
        <w:t>Restrictive practices – torture and ill-treatment</w:t>
      </w:r>
      <w:bookmarkEnd w:id="85"/>
    </w:p>
    <w:p w14:paraId="0A9A8E81" w14:textId="7ECB197B" w:rsidR="00894A14" w:rsidRPr="00411C1D" w:rsidRDefault="00894A14" w:rsidP="00894A14">
      <w:pPr>
        <w:rPr>
          <w:rFonts w:ascii="Avenir Book" w:hAnsi="Avenir Book"/>
          <w:sz w:val="22"/>
          <w:szCs w:val="22"/>
        </w:rPr>
      </w:pPr>
    </w:p>
    <w:p w14:paraId="4E055853" w14:textId="71F41922" w:rsidR="000D5372" w:rsidRPr="00411C1D" w:rsidRDefault="000D5372"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Often, violence, abuse, neglect and exploitation are downplayed or sanitised as ‘service incidents’, ‘administrative infringements’, ‘a workplace training matter’ or ‘behaviour management’.</w:t>
      </w:r>
      <w:r w:rsidRPr="00411C1D">
        <w:rPr>
          <w:rStyle w:val="FootnoteReference"/>
          <w:rFonts w:ascii="Avenir Book" w:hAnsi="Avenir Book" w:cstheme="minorHAnsi"/>
          <w:sz w:val="22"/>
          <w:szCs w:val="22"/>
        </w:rPr>
        <w:footnoteReference w:id="55"/>
      </w:r>
    </w:p>
    <w:p w14:paraId="3C7530DA" w14:textId="77777777" w:rsidR="00215809" w:rsidRPr="00411C1D" w:rsidRDefault="00215809" w:rsidP="009A3A16">
      <w:pPr>
        <w:pStyle w:val="ListParagraph"/>
        <w:ind w:left="0"/>
        <w:rPr>
          <w:rFonts w:ascii="Avenir Book" w:hAnsi="Avenir Book" w:cstheme="minorHAnsi"/>
          <w:sz w:val="22"/>
          <w:szCs w:val="22"/>
        </w:rPr>
      </w:pPr>
    </w:p>
    <w:p w14:paraId="67297F45" w14:textId="485873BB" w:rsidR="004777C1" w:rsidRPr="00411C1D" w:rsidRDefault="004777C1"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 xml:space="preserve">The UN Special Rapporteur on Torture and Other Cruel, Inhuman or Degrading Treatment or Punishment </w:t>
      </w:r>
      <w:r w:rsidR="00E353EB" w:rsidRPr="00411C1D">
        <w:rPr>
          <w:rFonts w:ascii="Avenir Book" w:hAnsi="Avenir Book" w:cstheme="minorHAnsi"/>
          <w:sz w:val="22"/>
          <w:szCs w:val="22"/>
        </w:rPr>
        <w:t xml:space="preserve">(Special Rapporteur on Torture) </w:t>
      </w:r>
      <w:r w:rsidRPr="00411C1D">
        <w:rPr>
          <w:rFonts w:ascii="Avenir Book" w:hAnsi="Avenir Book" w:cstheme="minorHAnsi"/>
          <w:sz w:val="22"/>
          <w:szCs w:val="22"/>
        </w:rPr>
        <w:t xml:space="preserve">has noted that restrictive practices “remain invisible or are being justified” as legitimate treatment, behaviour modification or management </w:t>
      </w:r>
      <w:r w:rsidR="007A4A8D" w:rsidRPr="00411C1D">
        <w:rPr>
          <w:rFonts w:ascii="Avenir Book" w:hAnsi="Avenir Book" w:cstheme="minorHAnsi"/>
          <w:sz w:val="22"/>
          <w:szCs w:val="22"/>
        </w:rPr>
        <w:t xml:space="preserve">when “perpetrated against persons with disabilities” </w:t>
      </w:r>
      <w:r w:rsidRPr="00411C1D">
        <w:rPr>
          <w:rFonts w:ascii="Avenir Book" w:hAnsi="Avenir Book" w:cstheme="minorHAnsi"/>
          <w:sz w:val="22"/>
          <w:szCs w:val="22"/>
        </w:rPr>
        <w:t>instead of being recognised as torture or other cruel, inhuman or degrading treatment or punishment (torture and ill-treatment).</w:t>
      </w:r>
      <w:r w:rsidRPr="00411C1D">
        <w:rPr>
          <w:rStyle w:val="FootnoteReference"/>
          <w:rFonts w:ascii="Avenir Book" w:hAnsi="Avenir Book" w:cstheme="minorHAnsi"/>
          <w:sz w:val="22"/>
          <w:szCs w:val="22"/>
        </w:rPr>
        <w:footnoteReference w:id="56"/>
      </w:r>
    </w:p>
    <w:p w14:paraId="6FE17DD5" w14:textId="77777777" w:rsidR="00215809" w:rsidRPr="00411C1D" w:rsidRDefault="00215809" w:rsidP="009A3A16">
      <w:pPr>
        <w:pStyle w:val="ListParagraph"/>
        <w:ind w:left="0"/>
        <w:rPr>
          <w:rFonts w:ascii="Avenir Book" w:hAnsi="Avenir Book" w:cstheme="minorHAnsi"/>
          <w:sz w:val="22"/>
          <w:szCs w:val="22"/>
        </w:rPr>
      </w:pPr>
    </w:p>
    <w:p w14:paraId="4FCBADD3" w14:textId="16D8E267" w:rsidR="006D44D6" w:rsidRPr="00411C1D" w:rsidRDefault="006D44D6"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sz w:val="22"/>
          <w:szCs w:val="22"/>
        </w:rPr>
        <w:t xml:space="preserve">Article 15 of the CRPD </w:t>
      </w:r>
      <w:r w:rsidR="00C70FFC" w:rsidRPr="00411C1D">
        <w:rPr>
          <w:rFonts w:ascii="Avenir Book" w:hAnsi="Avenir Book"/>
          <w:sz w:val="22"/>
          <w:szCs w:val="22"/>
        </w:rPr>
        <w:t>reaffirms</w:t>
      </w:r>
      <w:r w:rsidRPr="00411C1D">
        <w:rPr>
          <w:rFonts w:ascii="Avenir Book" w:hAnsi="Avenir Book"/>
          <w:sz w:val="22"/>
          <w:szCs w:val="22"/>
        </w:rPr>
        <w:t xml:space="preserve"> the right of persons with disability to freedom from torture or cruel, inhuman or degrading treatment or punishment. </w:t>
      </w:r>
    </w:p>
    <w:p w14:paraId="516B4E46" w14:textId="77777777" w:rsidR="00215809" w:rsidRPr="00411C1D" w:rsidRDefault="00215809" w:rsidP="009A3A16">
      <w:pPr>
        <w:pStyle w:val="ListParagraph"/>
        <w:ind w:left="0"/>
        <w:rPr>
          <w:rFonts w:ascii="Avenir Book" w:hAnsi="Avenir Book" w:cstheme="minorHAnsi"/>
          <w:sz w:val="22"/>
          <w:szCs w:val="22"/>
        </w:rPr>
      </w:pPr>
    </w:p>
    <w:p w14:paraId="30E43751" w14:textId="20CCA69C" w:rsidR="002453C7" w:rsidRPr="00411C1D" w:rsidRDefault="00CF1F1D"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There is a high prevalence in the use of restrictive practices as a form of ‘behaviour management’ in educational settings.</w:t>
      </w:r>
      <w:r w:rsidR="00767AA8" w:rsidRPr="00411C1D">
        <w:rPr>
          <w:rStyle w:val="FootnoteReference"/>
          <w:rFonts w:ascii="Avenir Book" w:hAnsi="Avenir Book" w:cstheme="minorHAnsi"/>
          <w:sz w:val="22"/>
          <w:szCs w:val="22"/>
        </w:rPr>
        <w:footnoteReference w:id="57"/>
      </w:r>
      <w:r w:rsidRPr="00411C1D">
        <w:rPr>
          <w:rFonts w:ascii="Avenir Book" w:hAnsi="Avenir Book" w:cstheme="minorHAnsi"/>
          <w:sz w:val="22"/>
          <w:szCs w:val="22"/>
        </w:rPr>
        <w:t xml:space="preserve">  </w:t>
      </w:r>
      <w:r w:rsidR="006A224F" w:rsidRPr="00411C1D">
        <w:rPr>
          <w:rFonts w:ascii="Avenir Book" w:hAnsi="Avenir Book" w:cstheme="minorHAnsi"/>
          <w:sz w:val="22"/>
          <w:szCs w:val="22"/>
        </w:rPr>
        <w:t>Children and adults with disability are routinely subjected to behaviour management or restrictive practices that include chemical, mechanical, social and physical restraint, detention, seclusion, solitary confinement and exclusionary time out.</w:t>
      </w:r>
      <w:r w:rsidR="006A224F" w:rsidRPr="00411C1D">
        <w:rPr>
          <w:rStyle w:val="FootnoteReference"/>
          <w:rFonts w:ascii="Avenir Book" w:hAnsi="Avenir Book" w:cstheme="minorHAnsi"/>
          <w:sz w:val="22"/>
          <w:szCs w:val="22"/>
        </w:rPr>
        <w:footnoteReference w:id="58"/>
      </w:r>
      <w:r w:rsidRPr="00411C1D">
        <w:rPr>
          <w:rFonts w:ascii="Avenir Book" w:hAnsi="Avenir Book" w:cstheme="minorHAnsi"/>
          <w:sz w:val="22"/>
          <w:szCs w:val="22"/>
        </w:rPr>
        <w:t xml:space="preserve">  Children with disability have been restricted to fenced-off sections of a playground, confined to makeshift cages, locked in cupboards and tied to chairs.</w:t>
      </w:r>
      <w:r w:rsidR="007616C9" w:rsidRPr="00411C1D">
        <w:rPr>
          <w:rStyle w:val="FootnoteReference"/>
          <w:rFonts w:ascii="Avenir Book" w:hAnsi="Avenir Book" w:cstheme="minorHAnsi"/>
          <w:sz w:val="22"/>
          <w:szCs w:val="22"/>
        </w:rPr>
        <w:footnoteReference w:id="59"/>
      </w:r>
    </w:p>
    <w:p w14:paraId="04BB0DF6" w14:textId="77777777" w:rsidR="00215809" w:rsidRPr="00411C1D" w:rsidRDefault="00215809" w:rsidP="009A3A16">
      <w:pPr>
        <w:pStyle w:val="ListParagraph"/>
        <w:ind w:left="0"/>
        <w:rPr>
          <w:rFonts w:ascii="Avenir Book" w:hAnsi="Avenir Book" w:cstheme="minorHAnsi"/>
          <w:sz w:val="22"/>
          <w:szCs w:val="22"/>
        </w:rPr>
      </w:pPr>
    </w:p>
    <w:p w14:paraId="1EFE7EC2" w14:textId="0004634C" w:rsidR="002D33B4" w:rsidRPr="00411C1D" w:rsidRDefault="002D33B4"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The use of restrictive practices desensitises both educational personnel and students with disability, undermining their ability to recognise these practices as unacceptable and as forms of violence, abuse, neglect and exploitation, and leads to acceptance of other forms violence and ill-treatment.</w:t>
      </w:r>
      <w:r w:rsidRPr="00411C1D">
        <w:rPr>
          <w:rStyle w:val="FootnoteReference"/>
          <w:rFonts w:ascii="Avenir Book" w:hAnsi="Avenir Book" w:cstheme="minorHAnsi"/>
          <w:sz w:val="22"/>
          <w:szCs w:val="22"/>
        </w:rPr>
        <w:footnoteReference w:id="60"/>
      </w:r>
      <w:r w:rsidRPr="00411C1D">
        <w:rPr>
          <w:rFonts w:ascii="Avenir Book" w:hAnsi="Avenir Book" w:cstheme="minorHAnsi"/>
          <w:sz w:val="22"/>
          <w:szCs w:val="22"/>
        </w:rPr>
        <w:t xml:space="preserve"> </w:t>
      </w:r>
    </w:p>
    <w:p w14:paraId="230E1BD1" w14:textId="77777777" w:rsidR="00215809" w:rsidRPr="00411C1D" w:rsidRDefault="00215809" w:rsidP="009A3A16">
      <w:pPr>
        <w:pStyle w:val="ListParagraph"/>
        <w:ind w:left="0"/>
        <w:rPr>
          <w:rFonts w:ascii="Avenir Book" w:hAnsi="Avenir Book" w:cstheme="minorHAnsi"/>
          <w:sz w:val="22"/>
          <w:szCs w:val="22"/>
        </w:rPr>
      </w:pPr>
    </w:p>
    <w:p w14:paraId="68C20BBE" w14:textId="4B9D0AF0" w:rsidR="002D33B4" w:rsidRPr="00411C1D" w:rsidRDefault="002D33B4"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In addition, children with disability in segregated models of education, both special schools and segregated units in mainstream schools, lack the community oversight and protective transparency that inclusive education affords.</w:t>
      </w:r>
      <w:r w:rsidRPr="00411C1D">
        <w:rPr>
          <w:rStyle w:val="FootnoteReference"/>
          <w:rFonts w:ascii="Avenir Book" w:hAnsi="Avenir Book" w:cstheme="minorHAnsi"/>
          <w:sz w:val="22"/>
          <w:szCs w:val="22"/>
        </w:rPr>
        <w:footnoteReference w:id="61"/>
      </w:r>
    </w:p>
    <w:p w14:paraId="7F33E893" w14:textId="77777777" w:rsidR="00215809" w:rsidRPr="00411C1D" w:rsidRDefault="00215809" w:rsidP="009A3A16">
      <w:pPr>
        <w:pStyle w:val="ListParagraph"/>
        <w:ind w:left="0"/>
        <w:rPr>
          <w:rFonts w:ascii="Avenir Book" w:hAnsi="Avenir Book" w:cstheme="minorHAnsi"/>
          <w:sz w:val="22"/>
          <w:szCs w:val="22"/>
        </w:rPr>
      </w:pPr>
    </w:p>
    <w:p w14:paraId="0B933E0D" w14:textId="33455A38" w:rsidR="00C70FFC" w:rsidRPr="00411C1D" w:rsidRDefault="006C18B0"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lastRenderedPageBreak/>
        <w:t>Women and girls with disability are disproportionately affected by violence, abuse, neglect and exploitation in educational settings, including restrictive practices,</w:t>
      </w:r>
      <w:r w:rsidRPr="00411C1D">
        <w:rPr>
          <w:rStyle w:val="FootnoteReference"/>
          <w:rFonts w:ascii="Avenir Book" w:hAnsi="Avenir Book" w:cstheme="minorHAnsi"/>
          <w:sz w:val="22"/>
          <w:szCs w:val="22"/>
        </w:rPr>
        <w:footnoteReference w:id="62"/>
      </w:r>
      <w:r w:rsidRPr="00411C1D">
        <w:rPr>
          <w:rFonts w:ascii="Avenir Book" w:hAnsi="Avenir Book" w:cstheme="minorHAnsi"/>
          <w:sz w:val="22"/>
          <w:szCs w:val="22"/>
        </w:rPr>
        <w:t xml:space="preserve"> </w:t>
      </w:r>
      <w:r w:rsidR="00C84B9B" w:rsidRPr="00411C1D">
        <w:rPr>
          <w:rFonts w:ascii="Avenir Book" w:hAnsi="Avenir Book" w:cstheme="minorHAnsi"/>
          <w:sz w:val="22"/>
          <w:szCs w:val="22"/>
        </w:rPr>
        <w:t xml:space="preserve">and other forms of </w:t>
      </w:r>
      <w:r w:rsidRPr="00411C1D">
        <w:rPr>
          <w:rFonts w:ascii="Avenir Book" w:hAnsi="Avenir Book" w:cstheme="minorHAnsi"/>
          <w:sz w:val="22"/>
          <w:szCs w:val="22"/>
        </w:rPr>
        <w:t>torture and ill-treatment</w:t>
      </w:r>
      <w:r w:rsidR="00C84B9B" w:rsidRPr="00411C1D">
        <w:rPr>
          <w:rFonts w:ascii="Avenir Book" w:hAnsi="Avenir Book" w:cstheme="minorHAnsi"/>
          <w:sz w:val="22"/>
          <w:szCs w:val="22"/>
        </w:rPr>
        <w:t xml:space="preserve"> more generally.</w:t>
      </w:r>
      <w:r w:rsidR="00C84B9B" w:rsidRPr="00411C1D">
        <w:rPr>
          <w:rStyle w:val="FootnoteReference"/>
          <w:rFonts w:ascii="Avenir Book" w:hAnsi="Avenir Book" w:cstheme="minorHAnsi"/>
          <w:sz w:val="22"/>
          <w:szCs w:val="22"/>
        </w:rPr>
        <w:footnoteReference w:id="63"/>
      </w:r>
      <w:r w:rsidRPr="00411C1D">
        <w:rPr>
          <w:rFonts w:ascii="Avenir Book" w:hAnsi="Avenir Book" w:cstheme="minorHAnsi"/>
          <w:sz w:val="22"/>
          <w:szCs w:val="22"/>
        </w:rPr>
        <w:t xml:space="preserve"> </w:t>
      </w:r>
    </w:p>
    <w:p w14:paraId="30C8D092" w14:textId="77777777" w:rsidR="00215809" w:rsidRPr="00411C1D" w:rsidRDefault="00215809" w:rsidP="009A3A16">
      <w:pPr>
        <w:pStyle w:val="ListParagraph"/>
        <w:ind w:left="0"/>
        <w:rPr>
          <w:rFonts w:ascii="Avenir Book" w:hAnsi="Avenir Book" w:cstheme="minorHAnsi"/>
          <w:sz w:val="22"/>
          <w:szCs w:val="22"/>
        </w:rPr>
      </w:pPr>
    </w:p>
    <w:p w14:paraId="419638D5" w14:textId="639DF8BC" w:rsidR="002453C7" w:rsidRPr="00411C1D" w:rsidRDefault="00E35D3F"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 xml:space="preserve">A number of serious human rights violations against children with disability in educational settings, </w:t>
      </w:r>
      <w:r w:rsidR="0070601E" w:rsidRPr="00411C1D">
        <w:rPr>
          <w:rFonts w:ascii="Avenir Book" w:hAnsi="Avenir Book" w:cstheme="minorHAnsi"/>
          <w:sz w:val="22"/>
          <w:szCs w:val="22"/>
        </w:rPr>
        <w:t>have been</w:t>
      </w:r>
      <w:r w:rsidRPr="00411C1D">
        <w:rPr>
          <w:rFonts w:ascii="Avenir Book" w:hAnsi="Avenir Book" w:cstheme="minorHAnsi"/>
          <w:sz w:val="22"/>
          <w:szCs w:val="22"/>
        </w:rPr>
        <w:t xml:space="preserve"> reported as a complaint, called a ‘communication’ in the UN system, to the UN Special Rapporteur on the Rights of Persons with Disabilities.</w:t>
      </w:r>
      <w:r w:rsidR="003B34E4" w:rsidRPr="00411C1D">
        <w:rPr>
          <w:rStyle w:val="FootnoteReference"/>
          <w:rFonts w:ascii="Avenir Book" w:hAnsi="Avenir Book" w:cstheme="minorHAnsi"/>
          <w:sz w:val="22"/>
          <w:szCs w:val="22"/>
        </w:rPr>
        <w:footnoteReference w:id="64"/>
      </w:r>
      <w:r w:rsidRPr="00411C1D">
        <w:rPr>
          <w:rFonts w:ascii="Avenir Book" w:hAnsi="Avenir Book" w:cstheme="minorHAnsi"/>
          <w:sz w:val="22"/>
          <w:szCs w:val="22"/>
        </w:rPr>
        <w:t xml:space="preserve"> The violations included sexual harassment, abuse, rape, solitary confinement, restraints, corporal punishment, segregation, denial of reasonable accommodation and a lack of redress mechanisms. </w:t>
      </w:r>
    </w:p>
    <w:p w14:paraId="728958FB" w14:textId="77777777" w:rsidR="00215809" w:rsidRPr="00411C1D" w:rsidRDefault="00215809" w:rsidP="009A3A16">
      <w:pPr>
        <w:pStyle w:val="ListParagraph"/>
        <w:ind w:left="0"/>
        <w:rPr>
          <w:rFonts w:ascii="Avenir Book" w:hAnsi="Avenir Book" w:cstheme="minorHAnsi"/>
          <w:sz w:val="22"/>
          <w:szCs w:val="22"/>
        </w:rPr>
      </w:pPr>
    </w:p>
    <w:p w14:paraId="456594DE" w14:textId="00E581E7" w:rsidR="00E35D3F" w:rsidRPr="00411C1D" w:rsidRDefault="00E35D3F"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 xml:space="preserve">In </w:t>
      </w:r>
      <w:r w:rsidR="00091E78" w:rsidRPr="00411C1D">
        <w:rPr>
          <w:rFonts w:ascii="Avenir Book" w:hAnsi="Avenir Book" w:cstheme="minorHAnsi"/>
          <w:sz w:val="22"/>
          <w:szCs w:val="22"/>
        </w:rPr>
        <w:t xml:space="preserve">March </w:t>
      </w:r>
      <w:r w:rsidRPr="00411C1D">
        <w:rPr>
          <w:rFonts w:ascii="Avenir Book" w:hAnsi="Avenir Book" w:cstheme="minorHAnsi"/>
          <w:sz w:val="22"/>
          <w:szCs w:val="22"/>
        </w:rPr>
        <w:t xml:space="preserve">2017, a letter outlining these violations was sent to the Australian Government seeking further information and a response to specific questions regarding Australia’s legislative and policy measures to protect children with disability </w:t>
      </w:r>
      <w:r w:rsidR="003B34E4" w:rsidRPr="00411C1D">
        <w:rPr>
          <w:rFonts w:ascii="Avenir Book" w:hAnsi="Avenir Book" w:cstheme="minorHAnsi"/>
          <w:sz w:val="22"/>
          <w:szCs w:val="22"/>
        </w:rPr>
        <w:t xml:space="preserve">and promote their rights.  The letter also provided a detailed outline of the international human rights law that applied to Australia with respect to the complaint. The seriousness of the violations in the complaint was reflected in the fact that the letter was sent jointly by the </w:t>
      </w:r>
      <w:r w:rsidR="0070601E" w:rsidRPr="00411C1D">
        <w:rPr>
          <w:rFonts w:ascii="Avenir Book" w:hAnsi="Avenir Book" w:cstheme="minorHAnsi"/>
          <w:sz w:val="22"/>
          <w:szCs w:val="22"/>
        </w:rPr>
        <w:t xml:space="preserve">UN </w:t>
      </w:r>
      <w:r w:rsidR="003B34E4" w:rsidRPr="00411C1D">
        <w:rPr>
          <w:rFonts w:ascii="Avenir Book" w:hAnsi="Avenir Book" w:cstheme="minorHAnsi"/>
          <w:sz w:val="22"/>
          <w:szCs w:val="22"/>
        </w:rPr>
        <w:t>mandates of the Working Group on Arbitrary Detention</w:t>
      </w:r>
      <w:r w:rsidR="007C73F3" w:rsidRPr="00411C1D">
        <w:rPr>
          <w:rFonts w:ascii="Avenir Book" w:hAnsi="Avenir Book" w:cstheme="minorHAnsi"/>
          <w:sz w:val="22"/>
          <w:szCs w:val="22"/>
        </w:rPr>
        <w:t>,</w:t>
      </w:r>
      <w:r w:rsidR="003B34E4" w:rsidRPr="00411C1D">
        <w:rPr>
          <w:rFonts w:ascii="Avenir Book" w:hAnsi="Avenir Book" w:cstheme="minorHAnsi"/>
          <w:sz w:val="22"/>
          <w:szCs w:val="22"/>
        </w:rPr>
        <w:t xml:space="preserve"> the Special Rapporteur on the rights of persons with disabilities</w:t>
      </w:r>
      <w:r w:rsidR="007C73F3" w:rsidRPr="00411C1D">
        <w:rPr>
          <w:rFonts w:ascii="Avenir Book" w:hAnsi="Avenir Book" w:cstheme="minorHAnsi"/>
          <w:sz w:val="22"/>
          <w:szCs w:val="22"/>
        </w:rPr>
        <w:t>,</w:t>
      </w:r>
      <w:r w:rsidR="003B34E4" w:rsidRPr="00411C1D">
        <w:rPr>
          <w:rFonts w:ascii="Avenir Book" w:hAnsi="Avenir Book" w:cstheme="minorHAnsi"/>
          <w:sz w:val="22"/>
          <w:szCs w:val="22"/>
        </w:rPr>
        <w:t xml:space="preserve"> the Special Rapporteur on the sale of children, child prostitution and child pornography</w:t>
      </w:r>
      <w:r w:rsidR="007C73F3" w:rsidRPr="00411C1D">
        <w:rPr>
          <w:rFonts w:ascii="Avenir Book" w:hAnsi="Avenir Book" w:cstheme="minorHAnsi"/>
          <w:sz w:val="22"/>
          <w:szCs w:val="22"/>
        </w:rPr>
        <w:t>,</w:t>
      </w:r>
      <w:r w:rsidR="003B34E4" w:rsidRPr="00411C1D">
        <w:rPr>
          <w:rFonts w:ascii="Avenir Book" w:hAnsi="Avenir Book" w:cstheme="minorHAnsi"/>
          <w:sz w:val="22"/>
          <w:szCs w:val="22"/>
        </w:rPr>
        <w:t xml:space="preserve"> the Special Rapporteur on torture and other cruel, inhuman or degrading treatment or punishment</w:t>
      </w:r>
      <w:r w:rsidR="007C73F3" w:rsidRPr="00411C1D">
        <w:rPr>
          <w:rFonts w:ascii="Avenir Book" w:hAnsi="Avenir Book" w:cstheme="minorHAnsi"/>
          <w:sz w:val="22"/>
          <w:szCs w:val="22"/>
        </w:rPr>
        <w:t>,</w:t>
      </w:r>
      <w:r w:rsidR="003B34E4" w:rsidRPr="00411C1D">
        <w:rPr>
          <w:rFonts w:ascii="Avenir Book" w:hAnsi="Avenir Book" w:cstheme="minorHAnsi"/>
          <w:sz w:val="22"/>
          <w:szCs w:val="22"/>
        </w:rPr>
        <w:t xml:space="preserve"> and the Special Rapporteur on the right to education.</w:t>
      </w:r>
      <w:r w:rsidR="003B34E4" w:rsidRPr="00411C1D">
        <w:rPr>
          <w:rStyle w:val="FootnoteReference"/>
          <w:rFonts w:ascii="Avenir Book" w:hAnsi="Avenir Book" w:cstheme="minorHAnsi"/>
          <w:sz w:val="22"/>
          <w:szCs w:val="22"/>
        </w:rPr>
        <w:footnoteReference w:id="65"/>
      </w:r>
    </w:p>
    <w:p w14:paraId="65E6DD2C" w14:textId="77777777" w:rsidR="00215809" w:rsidRPr="00411C1D" w:rsidRDefault="00215809" w:rsidP="009A3A16">
      <w:pPr>
        <w:pStyle w:val="ListParagraph"/>
        <w:ind w:left="0"/>
        <w:rPr>
          <w:rFonts w:ascii="Avenir Book" w:hAnsi="Avenir Book" w:cstheme="minorHAnsi"/>
          <w:sz w:val="22"/>
          <w:szCs w:val="22"/>
        </w:rPr>
      </w:pPr>
    </w:p>
    <w:p w14:paraId="30F8A981" w14:textId="2AFD24CB" w:rsidR="00E35D3F" w:rsidRPr="00411C1D" w:rsidRDefault="002D33B4"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 xml:space="preserve">WWDA is not aware of a public response to this letter, and </w:t>
      </w:r>
      <w:r w:rsidR="0042710A" w:rsidRPr="00411C1D">
        <w:rPr>
          <w:rFonts w:ascii="Avenir Book" w:hAnsi="Avenir Book" w:cstheme="minorHAnsi"/>
          <w:sz w:val="22"/>
          <w:szCs w:val="22"/>
        </w:rPr>
        <w:t xml:space="preserve">there is no evidence of actions or measures at the national, state or territory levels to eliminate restrictive practices or to develop oversight and protective mechanisms </w:t>
      </w:r>
      <w:r w:rsidR="007C7638" w:rsidRPr="00411C1D">
        <w:rPr>
          <w:rFonts w:ascii="Avenir Book" w:hAnsi="Avenir Book" w:cstheme="minorHAnsi"/>
          <w:sz w:val="22"/>
          <w:szCs w:val="22"/>
        </w:rPr>
        <w:t xml:space="preserve">in educational settings </w:t>
      </w:r>
      <w:r w:rsidR="0042710A" w:rsidRPr="00411C1D">
        <w:rPr>
          <w:rFonts w:ascii="Avenir Book" w:hAnsi="Avenir Book" w:cstheme="minorHAnsi"/>
          <w:sz w:val="22"/>
          <w:szCs w:val="22"/>
        </w:rPr>
        <w:t>to protect children with disability</w:t>
      </w:r>
      <w:r w:rsidR="00736A76" w:rsidRPr="00411C1D">
        <w:rPr>
          <w:rFonts w:ascii="Avenir Book" w:hAnsi="Avenir Book" w:cstheme="minorHAnsi"/>
          <w:sz w:val="22"/>
          <w:szCs w:val="22"/>
        </w:rPr>
        <w:t>.</w:t>
      </w:r>
      <w:r w:rsidR="0042710A" w:rsidRPr="00411C1D">
        <w:rPr>
          <w:rFonts w:ascii="Avenir Book" w:hAnsi="Avenir Book" w:cstheme="minorHAnsi"/>
          <w:sz w:val="22"/>
          <w:szCs w:val="22"/>
        </w:rPr>
        <w:t xml:space="preserve"> </w:t>
      </w:r>
    </w:p>
    <w:p w14:paraId="64A595BA" w14:textId="77777777" w:rsidR="00215809" w:rsidRPr="00411C1D" w:rsidRDefault="00215809" w:rsidP="009A3A16">
      <w:pPr>
        <w:pStyle w:val="ListParagraph"/>
        <w:ind w:left="0"/>
        <w:rPr>
          <w:rFonts w:ascii="Avenir Book" w:hAnsi="Avenir Book" w:cstheme="minorHAnsi"/>
          <w:sz w:val="22"/>
          <w:szCs w:val="22"/>
        </w:rPr>
      </w:pPr>
    </w:p>
    <w:p w14:paraId="573A9641" w14:textId="5FB5F2DA" w:rsidR="0042710A" w:rsidRPr="00411C1D" w:rsidRDefault="0042710A"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Australia ratified the Optional Protocol to the Convention Against Torture and Other Cruel, Inhuman or Degrading Treatment or Punishment (OPCAT) in December 2017</w:t>
      </w:r>
      <w:r w:rsidR="00091E78" w:rsidRPr="00411C1D">
        <w:rPr>
          <w:rFonts w:ascii="Avenir Book" w:hAnsi="Avenir Book" w:cstheme="minorHAnsi"/>
          <w:sz w:val="22"/>
          <w:szCs w:val="22"/>
        </w:rPr>
        <w:t xml:space="preserve">.  OPCAT obliges Australia to implement a National Preventive Mechanism (NPM) with powers to </w:t>
      </w:r>
      <w:r w:rsidR="00BD37D3" w:rsidRPr="00411C1D">
        <w:rPr>
          <w:rFonts w:ascii="Avenir Book" w:hAnsi="Avenir Book" w:cstheme="minorHAnsi"/>
          <w:sz w:val="22"/>
          <w:szCs w:val="22"/>
        </w:rPr>
        <w:t xml:space="preserve">inspect, </w:t>
      </w:r>
      <w:r w:rsidR="00091E78" w:rsidRPr="00411C1D">
        <w:rPr>
          <w:rFonts w:ascii="Avenir Book" w:hAnsi="Avenir Book" w:cstheme="minorHAnsi"/>
          <w:sz w:val="22"/>
          <w:szCs w:val="22"/>
        </w:rPr>
        <w:t xml:space="preserve">monitor and report on </w:t>
      </w:r>
      <w:r w:rsidR="000F0464" w:rsidRPr="00411C1D">
        <w:rPr>
          <w:rFonts w:ascii="Avenir Book" w:hAnsi="Avenir Book" w:cstheme="minorHAnsi"/>
          <w:sz w:val="22"/>
          <w:szCs w:val="22"/>
        </w:rPr>
        <w:t>people in detention and people deprived of their liberty.</w:t>
      </w:r>
      <w:r w:rsidR="00091E78" w:rsidRPr="00411C1D">
        <w:rPr>
          <w:rFonts w:ascii="Avenir Book" w:hAnsi="Avenir Book" w:cstheme="minorHAnsi"/>
          <w:sz w:val="22"/>
          <w:szCs w:val="22"/>
        </w:rPr>
        <w:t xml:space="preserve"> </w:t>
      </w:r>
    </w:p>
    <w:p w14:paraId="456CEBD6" w14:textId="77777777" w:rsidR="00215809" w:rsidRPr="00411C1D" w:rsidRDefault="00215809" w:rsidP="009A3A16">
      <w:pPr>
        <w:pStyle w:val="ListParagraph"/>
        <w:ind w:left="0"/>
        <w:rPr>
          <w:rFonts w:ascii="Avenir Book" w:hAnsi="Avenir Book" w:cstheme="minorHAnsi"/>
          <w:sz w:val="22"/>
          <w:szCs w:val="22"/>
        </w:rPr>
      </w:pPr>
    </w:p>
    <w:p w14:paraId="0D7EEDA8" w14:textId="3C53A0DC" w:rsidR="00E353EB" w:rsidRPr="00411C1D" w:rsidRDefault="00E353EB"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The Special Rapporteur on Torture has called for an “absolute ban on all coercive and non-consensual measures, including restraint and solitary confinement.”</w:t>
      </w:r>
      <w:r w:rsidR="00736A76" w:rsidRPr="00411C1D">
        <w:rPr>
          <w:rStyle w:val="FootnoteReference"/>
          <w:rFonts w:ascii="Avenir Book" w:hAnsi="Avenir Book" w:cstheme="minorHAnsi"/>
          <w:sz w:val="22"/>
          <w:szCs w:val="22"/>
        </w:rPr>
        <w:footnoteReference w:id="66"/>
      </w:r>
      <w:r w:rsidRPr="00411C1D">
        <w:rPr>
          <w:rFonts w:ascii="Avenir Book" w:hAnsi="Avenir Book" w:cstheme="minorHAnsi"/>
          <w:sz w:val="22"/>
          <w:szCs w:val="22"/>
        </w:rPr>
        <w:t xml:space="preserve"> An Australian NPM must seek to enforce this ban.</w:t>
      </w:r>
    </w:p>
    <w:p w14:paraId="41D180B2" w14:textId="77777777" w:rsidR="00215809" w:rsidRPr="00411C1D" w:rsidRDefault="00215809" w:rsidP="009A3A16">
      <w:pPr>
        <w:pStyle w:val="ListParagraph"/>
        <w:ind w:left="0"/>
        <w:rPr>
          <w:rFonts w:ascii="Avenir Book" w:hAnsi="Avenir Book" w:cstheme="minorHAnsi"/>
          <w:sz w:val="22"/>
          <w:szCs w:val="22"/>
        </w:rPr>
      </w:pPr>
    </w:p>
    <w:p w14:paraId="3821BA20" w14:textId="2CD5C6D8" w:rsidR="00D15DAE" w:rsidRPr="00411C1D" w:rsidRDefault="000F0464"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lastRenderedPageBreak/>
        <w:t xml:space="preserve">Australia is yet to finalise the design </w:t>
      </w:r>
      <w:r w:rsidR="00787F38" w:rsidRPr="00411C1D">
        <w:rPr>
          <w:rFonts w:ascii="Avenir Book" w:hAnsi="Avenir Book" w:cstheme="minorHAnsi"/>
          <w:sz w:val="22"/>
          <w:szCs w:val="22"/>
        </w:rPr>
        <w:t xml:space="preserve">and scope </w:t>
      </w:r>
      <w:r w:rsidRPr="00411C1D">
        <w:rPr>
          <w:rFonts w:ascii="Avenir Book" w:hAnsi="Avenir Book" w:cstheme="minorHAnsi"/>
          <w:sz w:val="22"/>
          <w:szCs w:val="22"/>
        </w:rPr>
        <w:t xml:space="preserve">of the NPM, but </w:t>
      </w:r>
      <w:r w:rsidR="00BD37D3" w:rsidRPr="00411C1D">
        <w:rPr>
          <w:rFonts w:ascii="Avenir Book" w:hAnsi="Avenir Book" w:cstheme="minorHAnsi"/>
          <w:sz w:val="22"/>
          <w:szCs w:val="22"/>
        </w:rPr>
        <w:t>people with disability through their representative organisations</w:t>
      </w:r>
      <w:r w:rsidR="007C73F3" w:rsidRPr="00411C1D">
        <w:rPr>
          <w:rFonts w:ascii="Avenir Book" w:hAnsi="Avenir Book" w:cstheme="minorHAnsi"/>
          <w:sz w:val="22"/>
          <w:szCs w:val="22"/>
        </w:rPr>
        <w:t xml:space="preserve">, including WWDA, </w:t>
      </w:r>
      <w:r w:rsidR="00BD37D3" w:rsidRPr="00411C1D">
        <w:rPr>
          <w:rFonts w:ascii="Avenir Book" w:hAnsi="Avenir Book" w:cstheme="minorHAnsi"/>
          <w:sz w:val="22"/>
          <w:szCs w:val="22"/>
        </w:rPr>
        <w:t>are strongly arguing for a disability inclusive NPM.</w:t>
      </w:r>
      <w:r w:rsidR="00BD37D3" w:rsidRPr="00411C1D">
        <w:rPr>
          <w:rStyle w:val="FootnoteReference"/>
          <w:rFonts w:ascii="Avenir Book" w:hAnsi="Avenir Book" w:cstheme="minorHAnsi"/>
          <w:sz w:val="22"/>
          <w:szCs w:val="22"/>
        </w:rPr>
        <w:footnoteReference w:id="67"/>
      </w:r>
      <w:r w:rsidRPr="00411C1D">
        <w:rPr>
          <w:rFonts w:ascii="Avenir Book" w:hAnsi="Avenir Book" w:cstheme="minorHAnsi"/>
          <w:sz w:val="22"/>
          <w:szCs w:val="22"/>
        </w:rPr>
        <w:t xml:space="preserve"> </w:t>
      </w:r>
      <w:r w:rsidR="001E2544" w:rsidRPr="00411C1D">
        <w:rPr>
          <w:rFonts w:ascii="Avenir Book" w:hAnsi="Avenir Book" w:cstheme="minorHAnsi"/>
          <w:sz w:val="22"/>
          <w:szCs w:val="22"/>
        </w:rPr>
        <w:t>This is critical, as p</w:t>
      </w:r>
      <w:r w:rsidR="00787F38" w:rsidRPr="00411C1D">
        <w:rPr>
          <w:rFonts w:ascii="Avenir Book" w:hAnsi="Avenir Book" w:cstheme="minorHAnsi"/>
          <w:sz w:val="22"/>
          <w:szCs w:val="22"/>
        </w:rPr>
        <w:t>eople with disability</w:t>
      </w:r>
      <w:r w:rsidR="00736A76" w:rsidRPr="00411C1D">
        <w:rPr>
          <w:rFonts w:ascii="Avenir Book" w:hAnsi="Avenir Book" w:cstheme="minorHAnsi"/>
          <w:sz w:val="22"/>
          <w:szCs w:val="22"/>
        </w:rPr>
        <w:t xml:space="preserve"> are over-represented in traditional places of detention, such as prisons and juvenile detention centres, but are also detained in disability specific and related institutions, such as locked dementia wards, mental health facilities, residential accommodation as well as </w:t>
      </w:r>
      <w:r w:rsidR="00CF1469" w:rsidRPr="00411C1D">
        <w:rPr>
          <w:rFonts w:ascii="Avenir Book" w:hAnsi="Avenir Book" w:cstheme="minorHAnsi"/>
          <w:sz w:val="22"/>
          <w:szCs w:val="22"/>
        </w:rPr>
        <w:t xml:space="preserve">educational settings, particularly </w:t>
      </w:r>
      <w:r w:rsidR="00736A76" w:rsidRPr="00411C1D">
        <w:rPr>
          <w:rFonts w:ascii="Avenir Book" w:hAnsi="Avenir Book" w:cstheme="minorHAnsi"/>
          <w:sz w:val="22"/>
          <w:szCs w:val="22"/>
        </w:rPr>
        <w:t>‘time out’ and seclusion rooms and segregated areas</w:t>
      </w:r>
      <w:r w:rsidR="00CF1469" w:rsidRPr="00411C1D">
        <w:rPr>
          <w:rFonts w:ascii="Avenir Book" w:hAnsi="Avenir Book" w:cstheme="minorHAnsi"/>
          <w:sz w:val="22"/>
          <w:szCs w:val="22"/>
        </w:rPr>
        <w:t>.</w:t>
      </w:r>
      <w:r w:rsidR="00736A76" w:rsidRPr="00411C1D">
        <w:rPr>
          <w:rStyle w:val="FootnoteReference"/>
          <w:rFonts w:ascii="Avenir Book" w:hAnsi="Avenir Book" w:cstheme="minorHAnsi"/>
          <w:sz w:val="22"/>
          <w:szCs w:val="22"/>
        </w:rPr>
        <w:footnoteReference w:id="68"/>
      </w:r>
      <w:r w:rsidR="00787F38" w:rsidRPr="00411C1D">
        <w:rPr>
          <w:rFonts w:ascii="Avenir Book" w:hAnsi="Avenir Book" w:cstheme="minorHAnsi"/>
          <w:sz w:val="22"/>
          <w:szCs w:val="22"/>
        </w:rPr>
        <w:t xml:space="preserve"> </w:t>
      </w:r>
    </w:p>
    <w:p w14:paraId="722CF2BF" w14:textId="77777777" w:rsidR="00215809" w:rsidRPr="00411C1D" w:rsidRDefault="00215809" w:rsidP="009A3A16">
      <w:pPr>
        <w:pStyle w:val="ListParagraph"/>
        <w:ind w:left="0"/>
        <w:rPr>
          <w:rFonts w:ascii="Avenir Book" w:hAnsi="Avenir Book" w:cstheme="minorHAnsi"/>
          <w:sz w:val="22"/>
          <w:szCs w:val="22"/>
        </w:rPr>
      </w:pPr>
    </w:p>
    <w:p w14:paraId="392C6842" w14:textId="015B00AF" w:rsidR="00BD37D3" w:rsidRPr="00411C1D" w:rsidRDefault="007C7638"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 xml:space="preserve">OPCAT </w:t>
      </w:r>
      <w:r w:rsidR="00C420FC" w:rsidRPr="00411C1D">
        <w:rPr>
          <w:rFonts w:ascii="Avenir Book" w:hAnsi="Avenir Book" w:cstheme="minorHAnsi"/>
          <w:sz w:val="22"/>
          <w:szCs w:val="22"/>
        </w:rPr>
        <w:t>also obliges Australia to accept visits from the UN Subcommittee on the Prevention of Torture and other Cruel, Inhuman or Degrading Treatment or Punishment (SPT).  The SPT visits places of detention and provides advice regarding NPM establishment.</w:t>
      </w:r>
      <w:r w:rsidR="00352908" w:rsidRPr="00411C1D">
        <w:rPr>
          <w:rStyle w:val="FootnoteReference"/>
          <w:rFonts w:ascii="Avenir Book" w:hAnsi="Avenir Book" w:cstheme="minorHAnsi"/>
          <w:sz w:val="22"/>
          <w:szCs w:val="22"/>
        </w:rPr>
        <w:footnoteReference w:id="69"/>
      </w:r>
      <w:r w:rsidR="00C420FC" w:rsidRPr="00411C1D">
        <w:rPr>
          <w:rFonts w:ascii="Avenir Book" w:hAnsi="Avenir Book" w:cstheme="minorHAnsi"/>
          <w:sz w:val="22"/>
          <w:szCs w:val="22"/>
        </w:rPr>
        <w:t xml:space="preserve"> Both the SPT and the UN Working Group on Arbitrary Detention (WGAD) intend to visit Australia in 2020</w:t>
      </w:r>
      <w:r w:rsidR="00561B85" w:rsidRPr="00411C1D">
        <w:rPr>
          <w:rFonts w:ascii="Avenir Book" w:hAnsi="Avenir Book" w:cstheme="minorHAnsi"/>
          <w:sz w:val="22"/>
          <w:szCs w:val="22"/>
        </w:rPr>
        <w:t>, and submissions for a disability inclusive NPM have been submitted to both these groups by civil society, including DPOs as part of the Australian OPCAT Network.</w:t>
      </w:r>
      <w:r w:rsidR="00561B85" w:rsidRPr="00411C1D">
        <w:rPr>
          <w:rStyle w:val="FootnoteReference"/>
          <w:rFonts w:ascii="Avenir Book" w:hAnsi="Avenir Book" w:cstheme="minorHAnsi"/>
          <w:sz w:val="22"/>
          <w:szCs w:val="22"/>
        </w:rPr>
        <w:footnoteReference w:id="70"/>
      </w:r>
    </w:p>
    <w:p w14:paraId="7C66F954" w14:textId="77777777" w:rsidR="00BA2D24" w:rsidRPr="00411C1D" w:rsidRDefault="00BA2D24" w:rsidP="009A3A16">
      <w:pPr>
        <w:pStyle w:val="ListParagraph"/>
        <w:ind w:left="0"/>
        <w:rPr>
          <w:rFonts w:ascii="Avenir Book" w:hAnsi="Avenir Book" w:cstheme="minorHAnsi"/>
          <w:sz w:val="22"/>
          <w:szCs w:val="22"/>
        </w:rPr>
      </w:pPr>
    </w:p>
    <w:p w14:paraId="56CE9A0D" w14:textId="5B4AF3C6" w:rsidR="003F72D8" w:rsidRPr="00411C1D" w:rsidRDefault="003F72D8"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The Royal Commission has already heard reports of restrictive practices in educational settings,</w:t>
      </w:r>
      <w:r w:rsidRPr="00411C1D">
        <w:rPr>
          <w:rStyle w:val="FootnoteReference"/>
          <w:rFonts w:ascii="Avenir Book" w:hAnsi="Avenir Book" w:cstheme="minorHAnsi"/>
          <w:sz w:val="22"/>
          <w:szCs w:val="22"/>
        </w:rPr>
        <w:footnoteReference w:id="71"/>
      </w:r>
      <w:r w:rsidR="0019646C" w:rsidRPr="00411C1D">
        <w:rPr>
          <w:rFonts w:ascii="Avenir Book" w:hAnsi="Avenir Book" w:cstheme="minorHAnsi"/>
          <w:sz w:val="22"/>
          <w:szCs w:val="22"/>
        </w:rPr>
        <w:t xml:space="preserve"> and has noted that behaviour management and the use of restrictive practices “are very important topics, worthy and in need of detailed consideration…</w:t>
      </w:r>
      <w:r w:rsidRPr="00411C1D">
        <w:rPr>
          <w:rFonts w:ascii="Avenir Book" w:hAnsi="Avenir Book" w:cstheme="minorHAnsi"/>
          <w:sz w:val="22"/>
          <w:szCs w:val="22"/>
        </w:rPr>
        <w:t xml:space="preserve"> and work which the Commission will be undertaking into the future</w:t>
      </w:r>
      <w:r w:rsidR="0019646C" w:rsidRPr="00411C1D">
        <w:rPr>
          <w:rFonts w:ascii="Avenir Book" w:hAnsi="Avenir Book" w:cstheme="minorHAnsi"/>
          <w:sz w:val="22"/>
          <w:szCs w:val="22"/>
        </w:rPr>
        <w:t>”</w:t>
      </w:r>
      <w:r w:rsidRPr="00411C1D">
        <w:rPr>
          <w:rFonts w:ascii="Avenir Book" w:hAnsi="Avenir Book" w:cstheme="minorHAnsi"/>
          <w:sz w:val="22"/>
          <w:szCs w:val="22"/>
        </w:rPr>
        <w:t>.</w:t>
      </w:r>
      <w:r w:rsidR="00EB6CC9" w:rsidRPr="00411C1D">
        <w:rPr>
          <w:rStyle w:val="FootnoteReference"/>
          <w:rFonts w:ascii="Avenir Book" w:hAnsi="Avenir Book" w:cstheme="minorHAnsi"/>
          <w:sz w:val="22"/>
          <w:szCs w:val="22"/>
        </w:rPr>
        <w:footnoteReference w:id="72"/>
      </w:r>
      <w:r w:rsidRPr="00411C1D">
        <w:rPr>
          <w:rFonts w:ascii="Avenir Book" w:hAnsi="Avenir Book" w:cstheme="minorHAnsi"/>
          <w:sz w:val="22"/>
          <w:szCs w:val="22"/>
        </w:rPr>
        <w:t xml:space="preserve"> </w:t>
      </w:r>
    </w:p>
    <w:p w14:paraId="19BCF1B0" w14:textId="77777777" w:rsidR="00BA2D24" w:rsidRPr="00411C1D" w:rsidRDefault="00BA2D24" w:rsidP="009A3A16">
      <w:pPr>
        <w:pStyle w:val="ListParagraph"/>
        <w:ind w:left="0"/>
        <w:rPr>
          <w:rFonts w:ascii="Avenir Book" w:hAnsi="Avenir Book" w:cstheme="minorHAnsi"/>
          <w:sz w:val="22"/>
          <w:szCs w:val="22"/>
        </w:rPr>
      </w:pPr>
    </w:p>
    <w:p w14:paraId="1C5A3416" w14:textId="2744A6CB" w:rsidR="004D0E80" w:rsidRPr="00411C1D" w:rsidRDefault="00B63281"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It is critical that any future examination of behaviour management</w:t>
      </w:r>
      <w:r w:rsidR="00E15142" w:rsidRPr="00411C1D">
        <w:rPr>
          <w:rFonts w:ascii="Avenir Book" w:hAnsi="Avenir Book" w:cstheme="minorHAnsi"/>
          <w:sz w:val="22"/>
          <w:szCs w:val="22"/>
        </w:rPr>
        <w:t xml:space="preserve"> and </w:t>
      </w:r>
      <w:r w:rsidRPr="00411C1D">
        <w:rPr>
          <w:rFonts w:ascii="Avenir Book" w:hAnsi="Avenir Book" w:cstheme="minorHAnsi"/>
          <w:sz w:val="22"/>
          <w:szCs w:val="22"/>
        </w:rPr>
        <w:t xml:space="preserve">restrictive practices by the Royal Commission </w:t>
      </w:r>
      <w:r w:rsidR="00E15142" w:rsidRPr="00411C1D">
        <w:rPr>
          <w:rFonts w:ascii="Avenir Book" w:hAnsi="Avenir Book" w:cstheme="minorHAnsi"/>
          <w:sz w:val="22"/>
          <w:szCs w:val="22"/>
        </w:rPr>
        <w:t xml:space="preserve">is conducted within the context of </w:t>
      </w:r>
      <w:r w:rsidR="00645ACA" w:rsidRPr="00411C1D">
        <w:rPr>
          <w:rFonts w:ascii="Avenir Book" w:hAnsi="Avenir Book" w:cstheme="minorHAnsi"/>
          <w:sz w:val="22"/>
          <w:szCs w:val="22"/>
        </w:rPr>
        <w:t xml:space="preserve">the </w:t>
      </w:r>
      <w:r w:rsidR="00E15142" w:rsidRPr="00411C1D">
        <w:rPr>
          <w:rFonts w:ascii="Avenir Book" w:hAnsi="Avenir Book" w:cstheme="minorHAnsi"/>
          <w:sz w:val="22"/>
          <w:szCs w:val="22"/>
        </w:rPr>
        <w:t>human rights</w:t>
      </w:r>
      <w:r w:rsidR="00645ACA" w:rsidRPr="00411C1D">
        <w:rPr>
          <w:rFonts w:ascii="Avenir Book" w:hAnsi="Avenir Book" w:cstheme="minorHAnsi"/>
          <w:sz w:val="22"/>
          <w:szCs w:val="22"/>
        </w:rPr>
        <w:t xml:space="preserve"> interpretation and </w:t>
      </w:r>
      <w:r w:rsidR="00E15142" w:rsidRPr="00411C1D">
        <w:rPr>
          <w:rFonts w:ascii="Avenir Book" w:hAnsi="Avenir Book" w:cstheme="minorHAnsi"/>
          <w:sz w:val="22"/>
          <w:szCs w:val="22"/>
        </w:rPr>
        <w:t>understanding of violence, abuse, neglect</w:t>
      </w:r>
      <w:r w:rsidR="00610B2C" w:rsidRPr="00411C1D">
        <w:rPr>
          <w:rFonts w:ascii="Avenir Book" w:hAnsi="Avenir Book" w:cstheme="minorHAnsi"/>
          <w:sz w:val="22"/>
          <w:szCs w:val="22"/>
        </w:rPr>
        <w:t xml:space="preserve">, </w:t>
      </w:r>
      <w:r w:rsidR="00E15142" w:rsidRPr="00411C1D">
        <w:rPr>
          <w:rFonts w:ascii="Avenir Book" w:hAnsi="Avenir Book" w:cstheme="minorHAnsi"/>
          <w:sz w:val="22"/>
          <w:szCs w:val="22"/>
        </w:rPr>
        <w:t xml:space="preserve">exploitation, </w:t>
      </w:r>
      <w:r w:rsidR="00610B2C" w:rsidRPr="00411C1D">
        <w:rPr>
          <w:rFonts w:ascii="Avenir Book" w:hAnsi="Avenir Book" w:cstheme="minorHAnsi"/>
          <w:sz w:val="22"/>
          <w:szCs w:val="22"/>
        </w:rPr>
        <w:t xml:space="preserve">torture </w:t>
      </w:r>
      <w:r w:rsidR="00E15142" w:rsidRPr="00411C1D">
        <w:rPr>
          <w:rFonts w:ascii="Avenir Book" w:hAnsi="Avenir Book" w:cstheme="minorHAnsi"/>
          <w:sz w:val="22"/>
          <w:szCs w:val="22"/>
        </w:rPr>
        <w:t xml:space="preserve">and ill-treatment.  </w:t>
      </w:r>
    </w:p>
    <w:p w14:paraId="43B5FCDB" w14:textId="77777777" w:rsidR="00BA2D24" w:rsidRPr="00411C1D" w:rsidRDefault="00BA2D24" w:rsidP="009A3A16">
      <w:pPr>
        <w:pStyle w:val="ListParagraph"/>
        <w:ind w:left="0"/>
        <w:rPr>
          <w:rFonts w:ascii="Avenir Book" w:hAnsi="Avenir Book" w:cstheme="minorHAnsi"/>
          <w:sz w:val="22"/>
          <w:szCs w:val="22"/>
        </w:rPr>
      </w:pPr>
    </w:p>
    <w:p w14:paraId="7B72B068" w14:textId="725A40E2" w:rsidR="00E15142" w:rsidRPr="00411C1D" w:rsidRDefault="004D0E80" w:rsidP="00EF5411">
      <w:pPr>
        <w:pStyle w:val="ListParagraph"/>
        <w:numPr>
          <w:ilvl w:val="1"/>
          <w:numId w:val="26"/>
        </w:numPr>
        <w:ind w:left="993" w:hanging="567"/>
        <w:rPr>
          <w:rFonts w:ascii="Avenir Book" w:hAnsi="Avenir Book" w:cstheme="minorHAnsi"/>
          <w:sz w:val="22"/>
          <w:szCs w:val="22"/>
        </w:rPr>
      </w:pPr>
      <w:r w:rsidRPr="00411C1D">
        <w:rPr>
          <w:rFonts w:ascii="Avenir Book" w:hAnsi="Avenir Book" w:cstheme="minorHAnsi"/>
          <w:sz w:val="22"/>
          <w:szCs w:val="22"/>
        </w:rPr>
        <w:t xml:space="preserve">We would be very concerned if these topics were confined to </w:t>
      </w:r>
      <w:r w:rsidR="00610B2C" w:rsidRPr="00411C1D">
        <w:rPr>
          <w:rFonts w:ascii="Avenir Book" w:hAnsi="Avenir Book" w:cstheme="minorHAnsi"/>
          <w:sz w:val="22"/>
          <w:szCs w:val="22"/>
        </w:rPr>
        <w:t xml:space="preserve">merely </w:t>
      </w:r>
      <w:r w:rsidRPr="00411C1D">
        <w:rPr>
          <w:rFonts w:ascii="Avenir Book" w:hAnsi="Avenir Book" w:cstheme="minorHAnsi"/>
          <w:sz w:val="22"/>
          <w:szCs w:val="22"/>
        </w:rPr>
        <w:t>discussions about enhancing educational policies and oversight mechanisms, reportable incident systems</w:t>
      </w:r>
      <w:r w:rsidR="00C623C5" w:rsidRPr="00411C1D">
        <w:rPr>
          <w:rFonts w:ascii="Avenir Book" w:hAnsi="Avenir Book" w:cstheme="minorHAnsi"/>
          <w:sz w:val="22"/>
          <w:szCs w:val="22"/>
        </w:rPr>
        <w:t>, teacher training</w:t>
      </w:r>
      <w:r w:rsidRPr="00411C1D">
        <w:rPr>
          <w:rFonts w:ascii="Avenir Book" w:hAnsi="Avenir Book" w:cstheme="minorHAnsi"/>
          <w:sz w:val="22"/>
          <w:szCs w:val="22"/>
        </w:rPr>
        <w:t xml:space="preserve"> and developing responsible and best practice behaviour management practices.  The consequence of this </w:t>
      </w:r>
      <w:r w:rsidR="00297BC1" w:rsidRPr="00411C1D">
        <w:rPr>
          <w:rFonts w:ascii="Avenir Book" w:hAnsi="Avenir Book" w:cstheme="minorHAnsi"/>
          <w:sz w:val="22"/>
          <w:szCs w:val="22"/>
        </w:rPr>
        <w:t xml:space="preserve">limited examination </w:t>
      </w:r>
      <w:r w:rsidRPr="00411C1D">
        <w:rPr>
          <w:rFonts w:ascii="Avenir Book" w:hAnsi="Avenir Book" w:cstheme="minorHAnsi"/>
          <w:sz w:val="22"/>
          <w:szCs w:val="22"/>
        </w:rPr>
        <w:t xml:space="preserve">is to maintain the ongoing minimising and downplaying of torture and ill-treatment perpetrated against people with disability by the education system, and </w:t>
      </w:r>
      <w:r w:rsidR="00466FDC" w:rsidRPr="00411C1D">
        <w:rPr>
          <w:rFonts w:ascii="Avenir Book" w:hAnsi="Avenir Book" w:cstheme="minorHAnsi"/>
          <w:sz w:val="22"/>
          <w:szCs w:val="22"/>
        </w:rPr>
        <w:t>the continual confinement of people with disability to objects of service system management and practice.</w:t>
      </w:r>
      <w:r w:rsidRPr="00411C1D">
        <w:rPr>
          <w:rFonts w:ascii="Avenir Book" w:hAnsi="Avenir Book" w:cstheme="minorHAnsi"/>
          <w:sz w:val="22"/>
          <w:szCs w:val="22"/>
        </w:rPr>
        <w:t xml:space="preserve">  </w:t>
      </w:r>
    </w:p>
    <w:p w14:paraId="04B7148E" w14:textId="5BDE9F4B" w:rsidR="00C623C5" w:rsidRDefault="00C623C5" w:rsidP="00C623C5">
      <w:pPr>
        <w:rPr>
          <w:rFonts w:ascii="Avenir Book" w:hAnsi="Avenir Book" w:cstheme="minorHAnsi"/>
          <w:sz w:val="22"/>
          <w:szCs w:val="22"/>
        </w:rPr>
      </w:pPr>
    </w:p>
    <w:p w14:paraId="0691E734" w14:textId="265F5909" w:rsidR="00C449B1" w:rsidRDefault="00C449B1" w:rsidP="00C623C5">
      <w:pPr>
        <w:rPr>
          <w:rFonts w:ascii="Avenir Book" w:hAnsi="Avenir Book" w:cstheme="minorHAnsi"/>
          <w:sz w:val="22"/>
          <w:szCs w:val="22"/>
        </w:rPr>
      </w:pPr>
    </w:p>
    <w:p w14:paraId="32E76904" w14:textId="72B48183" w:rsidR="00C449B1" w:rsidRDefault="00C449B1" w:rsidP="00C623C5">
      <w:pPr>
        <w:rPr>
          <w:rFonts w:ascii="Avenir Book" w:hAnsi="Avenir Book" w:cstheme="minorHAnsi"/>
          <w:sz w:val="22"/>
          <w:szCs w:val="22"/>
        </w:rPr>
      </w:pPr>
    </w:p>
    <w:p w14:paraId="11D96E3C" w14:textId="77777777" w:rsidR="00C449B1" w:rsidRPr="00411C1D" w:rsidRDefault="00C449B1" w:rsidP="00C623C5">
      <w:pPr>
        <w:rPr>
          <w:rFonts w:ascii="Avenir Book" w:hAnsi="Avenir Book" w:cstheme="minorHAnsi"/>
          <w:sz w:val="22"/>
          <w:szCs w:val="22"/>
        </w:rPr>
      </w:pPr>
    </w:p>
    <w:p w14:paraId="046F48A7" w14:textId="77777777" w:rsidR="001F3DBB" w:rsidRPr="007C7C0D" w:rsidRDefault="001F3DBB" w:rsidP="001F3DBB">
      <w:pPr>
        <w:rPr>
          <w:rFonts w:ascii="Avenir Book" w:hAnsi="Avenir Book" w:cstheme="minorHAnsi"/>
          <w:b/>
          <w:color w:val="AC1F79"/>
        </w:rPr>
      </w:pPr>
      <w:r w:rsidRPr="007C7C0D">
        <w:rPr>
          <w:rFonts w:ascii="Avenir Book" w:hAnsi="Avenir Book" w:cstheme="minorHAnsi"/>
          <w:b/>
          <w:color w:val="AC1F79"/>
        </w:rPr>
        <w:lastRenderedPageBreak/>
        <w:t>Recommendations</w:t>
      </w:r>
    </w:p>
    <w:p w14:paraId="48C7D608" w14:textId="77777777" w:rsidR="00C623C5" w:rsidRPr="007C7C0D" w:rsidRDefault="00C623C5" w:rsidP="00C623C5">
      <w:pPr>
        <w:rPr>
          <w:rFonts w:ascii="Avenir Book" w:hAnsi="Avenir Book" w:cstheme="minorHAnsi"/>
          <w:sz w:val="22"/>
          <w:szCs w:val="22"/>
        </w:rPr>
      </w:pPr>
    </w:p>
    <w:p w14:paraId="1CEF20DB" w14:textId="72BB1400" w:rsidR="00C6430D" w:rsidRPr="007C7C0D" w:rsidRDefault="004D0E80" w:rsidP="00EF5411">
      <w:pPr>
        <w:pStyle w:val="ListParagraph"/>
        <w:numPr>
          <w:ilvl w:val="0"/>
          <w:numId w:val="15"/>
        </w:numPr>
        <w:snapToGrid w:val="0"/>
        <w:spacing w:after="120"/>
        <w:ind w:left="425" w:hanging="425"/>
        <w:contextualSpacing w:val="0"/>
        <w:rPr>
          <w:rFonts w:ascii="Avenir Book" w:hAnsi="Avenir Book" w:cstheme="minorHAnsi"/>
          <w:sz w:val="22"/>
          <w:szCs w:val="22"/>
        </w:rPr>
      </w:pPr>
      <w:r w:rsidRPr="007C7C0D">
        <w:rPr>
          <w:rFonts w:ascii="Avenir Book" w:hAnsi="Avenir Book" w:cstheme="minorHAnsi"/>
          <w:sz w:val="22"/>
          <w:szCs w:val="22"/>
        </w:rPr>
        <w:t xml:space="preserve">The Royal Commission </w:t>
      </w:r>
      <w:r w:rsidR="00466FDC" w:rsidRPr="007C7C0D">
        <w:rPr>
          <w:rFonts w:ascii="Avenir Book" w:hAnsi="Avenir Book" w:cstheme="minorHAnsi"/>
          <w:sz w:val="22"/>
          <w:szCs w:val="22"/>
        </w:rPr>
        <w:t xml:space="preserve">should </w:t>
      </w:r>
      <w:r w:rsidR="00C6430D" w:rsidRPr="007C7C0D">
        <w:rPr>
          <w:rFonts w:ascii="Avenir Book" w:hAnsi="Avenir Book" w:cstheme="minorHAnsi"/>
          <w:sz w:val="22"/>
          <w:szCs w:val="22"/>
        </w:rPr>
        <w:t xml:space="preserve">explicitly </w:t>
      </w:r>
      <w:r w:rsidR="00466FDC" w:rsidRPr="007C7C0D">
        <w:rPr>
          <w:rFonts w:ascii="Avenir Book" w:hAnsi="Avenir Book" w:cstheme="minorHAnsi"/>
          <w:sz w:val="22"/>
          <w:szCs w:val="22"/>
        </w:rPr>
        <w:t>recognise restrictive practices as violations of article 15 of the CRPD</w:t>
      </w:r>
      <w:r w:rsidR="00C9105E" w:rsidRPr="007C7C0D">
        <w:rPr>
          <w:rFonts w:ascii="Avenir Book" w:hAnsi="Avenir Book" w:cstheme="minorHAnsi"/>
          <w:sz w:val="22"/>
          <w:szCs w:val="22"/>
        </w:rPr>
        <w:t xml:space="preserve"> and </w:t>
      </w:r>
      <w:r w:rsidR="00466FDC" w:rsidRPr="007C7C0D">
        <w:rPr>
          <w:rFonts w:ascii="Avenir Book" w:hAnsi="Avenir Book" w:cstheme="minorHAnsi"/>
          <w:sz w:val="22"/>
          <w:szCs w:val="22"/>
        </w:rPr>
        <w:t>violations of the Convention against Torture and other Cruel, Inhuman or Degrading Treatment or Punishment (CAT)</w:t>
      </w:r>
      <w:r w:rsidR="00C623C5" w:rsidRPr="007C7C0D">
        <w:rPr>
          <w:rFonts w:ascii="Avenir Book" w:hAnsi="Avenir Book" w:cstheme="minorHAnsi"/>
          <w:sz w:val="22"/>
          <w:szCs w:val="22"/>
        </w:rPr>
        <w:t xml:space="preserve">, and </w:t>
      </w:r>
      <w:r w:rsidR="00C6430D" w:rsidRPr="007C7C0D">
        <w:rPr>
          <w:rFonts w:ascii="Avenir Book" w:hAnsi="Avenir Book" w:cstheme="minorHAnsi"/>
          <w:sz w:val="22"/>
          <w:szCs w:val="22"/>
        </w:rPr>
        <w:t>as part of its examination of these practices, it should:</w:t>
      </w:r>
    </w:p>
    <w:p w14:paraId="60D1417E" w14:textId="62C10F52" w:rsidR="00C6430D" w:rsidRPr="007C7C0D" w:rsidRDefault="00C6430D" w:rsidP="00EF5411">
      <w:pPr>
        <w:pStyle w:val="ListParagraph"/>
        <w:numPr>
          <w:ilvl w:val="0"/>
          <w:numId w:val="18"/>
        </w:numPr>
        <w:ind w:left="851" w:hanging="425"/>
        <w:rPr>
          <w:rFonts w:ascii="Avenir Book" w:hAnsi="Avenir Book" w:cstheme="minorHAnsi"/>
          <w:sz w:val="22"/>
          <w:szCs w:val="22"/>
        </w:rPr>
      </w:pPr>
      <w:r w:rsidRPr="007C7C0D">
        <w:rPr>
          <w:rFonts w:ascii="Avenir Book" w:hAnsi="Avenir Book" w:cstheme="minorHAnsi"/>
          <w:sz w:val="22"/>
          <w:szCs w:val="22"/>
        </w:rPr>
        <w:t>Compel evidence from the Australian Government regarding its response, including specific actions to address the issues raised by the UN mandates in their letter regarding instances of violence, abuse, neglect and exploitation, torture and ill-treatment in educational settings;</w:t>
      </w:r>
    </w:p>
    <w:p w14:paraId="4031625E" w14:textId="77777777" w:rsidR="00C6430D" w:rsidRPr="007C7C0D" w:rsidRDefault="00C6430D" w:rsidP="00EF5411">
      <w:pPr>
        <w:pStyle w:val="ListParagraph"/>
        <w:numPr>
          <w:ilvl w:val="0"/>
          <w:numId w:val="18"/>
        </w:numPr>
        <w:ind w:left="851" w:hanging="425"/>
        <w:rPr>
          <w:rFonts w:ascii="Avenir Book" w:hAnsi="Avenir Book" w:cstheme="minorHAnsi"/>
          <w:sz w:val="22"/>
          <w:szCs w:val="22"/>
        </w:rPr>
      </w:pPr>
      <w:r w:rsidRPr="007C7C0D">
        <w:rPr>
          <w:rFonts w:ascii="Avenir Book" w:hAnsi="Avenir Book" w:cstheme="minorHAnsi"/>
          <w:sz w:val="22"/>
          <w:szCs w:val="22"/>
        </w:rPr>
        <w:t>Hold to account educational settings that have used restrictive practices as a means of behaviour management and control of students with disability;</w:t>
      </w:r>
    </w:p>
    <w:p w14:paraId="0D623FAD" w14:textId="5A12CD4B" w:rsidR="00C6430D" w:rsidRPr="007C7C0D" w:rsidRDefault="00C6430D" w:rsidP="00EF5411">
      <w:pPr>
        <w:pStyle w:val="ListParagraph"/>
        <w:numPr>
          <w:ilvl w:val="0"/>
          <w:numId w:val="18"/>
        </w:numPr>
        <w:ind w:left="851" w:hanging="425"/>
        <w:rPr>
          <w:rFonts w:ascii="Avenir Book" w:hAnsi="Avenir Book" w:cstheme="minorHAnsi"/>
          <w:sz w:val="22"/>
          <w:szCs w:val="22"/>
        </w:rPr>
      </w:pPr>
      <w:r w:rsidRPr="007C7C0D">
        <w:rPr>
          <w:rFonts w:ascii="Avenir Book" w:hAnsi="Avenir Book" w:cstheme="minorHAnsi"/>
          <w:sz w:val="22"/>
          <w:szCs w:val="22"/>
        </w:rPr>
        <w:t xml:space="preserve">Make findings and recommendations for the urgent and immediate elimination of restrictive practices in the area of education and learning. </w:t>
      </w:r>
    </w:p>
    <w:p w14:paraId="351988E2" w14:textId="77777777" w:rsidR="00C6430D" w:rsidRPr="007C7C0D" w:rsidRDefault="00C6430D" w:rsidP="00C449B1">
      <w:pPr>
        <w:pStyle w:val="ListParagraph"/>
        <w:ind w:left="0"/>
        <w:rPr>
          <w:rFonts w:ascii="Avenir Book" w:hAnsi="Avenir Book" w:cstheme="minorHAnsi"/>
          <w:sz w:val="22"/>
          <w:szCs w:val="22"/>
        </w:rPr>
      </w:pPr>
    </w:p>
    <w:p w14:paraId="3D1FD049" w14:textId="030A265A" w:rsidR="00466FDC" w:rsidRPr="007C7C0D" w:rsidRDefault="00466FDC" w:rsidP="00EF5411">
      <w:pPr>
        <w:pStyle w:val="ListParagraph"/>
        <w:numPr>
          <w:ilvl w:val="0"/>
          <w:numId w:val="15"/>
        </w:numPr>
        <w:ind w:left="426" w:hanging="426"/>
        <w:rPr>
          <w:rFonts w:ascii="Avenir Book" w:hAnsi="Avenir Book" w:cstheme="minorHAnsi"/>
          <w:sz w:val="22"/>
          <w:szCs w:val="22"/>
        </w:rPr>
      </w:pPr>
      <w:r w:rsidRPr="007C7C0D">
        <w:rPr>
          <w:rFonts w:ascii="Avenir Book" w:hAnsi="Avenir Book" w:cstheme="minorHAnsi"/>
          <w:sz w:val="22"/>
          <w:szCs w:val="22"/>
        </w:rPr>
        <w:t xml:space="preserve">The Royal Commission should </w:t>
      </w:r>
      <w:r w:rsidR="006A1D7A" w:rsidRPr="007C7C0D">
        <w:rPr>
          <w:rFonts w:ascii="Avenir Book" w:hAnsi="Avenir Book" w:cstheme="minorHAnsi"/>
          <w:sz w:val="22"/>
          <w:szCs w:val="22"/>
        </w:rPr>
        <w:t xml:space="preserve">actively </w:t>
      </w:r>
      <w:r w:rsidRPr="007C7C0D">
        <w:rPr>
          <w:rFonts w:ascii="Avenir Book" w:hAnsi="Avenir Book" w:cstheme="minorHAnsi"/>
          <w:sz w:val="22"/>
          <w:szCs w:val="22"/>
        </w:rPr>
        <w:t>seek to engage with the S</w:t>
      </w:r>
      <w:r w:rsidR="003139C3" w:rsidRPr="007C7C0D">
        <w:rPr>
          <w:rFonts w:ascii="Avenir Book" w:hAnsi="Avenir Book" w:cstheme="minorHAnsi"/>
          <w:sz w:val="22"/>
          <w:szCs w:val="22"/>
        </w:rPr>
        <w:t>ubcommittee for the Prevention Against Torture (S</w:t>
      </w:r>
      <w:r w:rsidRPr="007C7C0D">
        <w:rPr>
          <w:rFonts w:ascii="Avenir Book" w:hAnsi="Avenir Book" w:cstheme="minorHAnsi"/>
          <w:sz w:val="22"/>
          <w:szCs w:val="22"/>
        </w:rPr>
        <w:t>PT</w:t>
      </w:r>
      <w:r w:rsidR="003139C3" w:rsidRPr="007C7C0D">
        <w:rPr>
          <w:rFonts w:ascii="Avenir Book" w:hAnsi="Avenir Book" w:cstheme="minorHAnsi"/>
          <w:sz w:val="22"/>
          <w:szCs w:val="22"/>
        </w:rPr>
        <w:t>)</w:t>
      </w:r>
      <w:r w:rsidRPr="007C7C0D">
        <w:rPr>
          <w:rFonts w:ascii="Avenir Book" w:hAnsi="Avenir Book" w:cstheme="minorHAnsi"/>
          <w:sz w:val="22"/>
          <w:szCs w:val="22"/>
        </w:rPr>
        <w:t xml:space="preserve"> and the </w:t>
      </w:r>
      <w:r w:rsidR="003139C3" w:rsidRPr="007C7C0D">
        <w:rPr>
          <w:rFonts w:ascii="Avenir Book" w:hAnsi="Avenir Book" w:cstheme="minorHAnsi"/>
          <w:sz w:val="22"/>
          <w:szCs w:val="22"/>
        </w:rPr>
        <w:t>UN Working Group on Arbitrary Detention (</w:t>
      </w:r>
      <w:r w:rsidRPr="007C7C0D">
        <w:rPr>
          <w:rFonts w:ascii="Avenir Book" w:hAnsi="Avenir Book" w:cstheme="minorHAnsi"/>
          <w:sz w:val="22"/>
          <w:szCs w:val="22"/>
        </w:rPr>
        <w:t>WGAD</w:t>
      </w:r>
      <w:r w:rsidR="003139C3" w:rsidRPr="007C7C0D">
        <w:rPr>
          <w:rFonts w:ascii="Avenir Book" w:hAnsi="Avenir Book" w:cstheme="minorHAnsi"/>
          <w:sz w:val="22"/>
          <w:szCs w:val="22"/>
        </w:rPr>
        <w:t>)</w:t>
      </w:r>
      <w:r w:rsidRPr="007C7C0D">
        <w:rPr>
          <w:rFonts w:ascii="Avenir Book" w:hAnsi="Avenir Book" w:cstheme="minorHAnsi"/>
          <w:sz w:val="22"/>
          <w:szCs w:val="22"/>
        </w:rPr>
        <w:t xml:space="preserve"> during their visit to Australia, </w:t>
      </w:r>
      <w:r w:rsidR="006A1D7A" w:rsidRPr="007C7C0D">
        <w:rPr>
          <w:rFonts w:ascii="Avenir Book" w:hAnsi="Avenir Book" w:cstheme="minorHAnsi"/>
          <w:sz w:val="22"/>
          <w:szCs w:val="22"/>
        </w:rPr>
        <w:t xml:space="preserve">with the aim of </w:t>
      </w:r>
      <w:r w:rsidRPr="007C7C0D">
        <w:rPr>
          <w:rFonts w:ascii="Avenir Book" w:hAnsi="Avenir Book" w:cstheme="minorHAnsi"/>
          <w:sz w:val="22"/>
          <w:szCs w:val="22"/>
        </w:rPr>
        <w:t>discuss</w:t>
      </w:r>
      <w:r w:rsidR="006A1D7A" w:rsidRPr="007C7C0D">
        <w:rPr>
          <w:rFonts w:ascii="Avenir Book" w:hAnsi="Avenir Book" w:cstheme="minorHAnsi"/>
          <w:sz w:val="22"/>
          <w:szCs w:val="22"/>
        </w:rPr>
        <w:t>ing</w:t>
      </w:r>
      <w:r w:rsidRPr="007C7C0D">
        <w:rPr>
          <w:rFonts w:ascii="Avenir Book" w:hAnsi="Avenir Book" w:cstheme="minorHAnsi"/>
          <w:sz w:val="22"/>
          <w:szCs w:val="22"/>
        </w:rPr>
        <w:t xml:space="preserve"> the evidence it has received regarding torture and ill-treatment, to demonstrate support for the design and scope of the </w:t>
      </w:r>
      <w:r w:rsidR="006A1D7A" w:rsidRPr="007C7C0D">
        <w:rPr>
          <w:rFonts w:ascii="Avenir Book" w:hAnsi="Avenir Book" w:cstheme="minorHAnsi"/>
          <w:sz w:val="22"/>
          <w:szCs w:val="22"/>
        </w:rPr>
        <w:t xml:space="preserve">Australian </w:t>
      </w:r>
      <w:r w:rsidRPr="007C7C0D">
        <w:rPr>
          <w:rFonts w:ascii="Avenir Book" w:hAnsi="Avenir Book" w:cstheme="minorHAnsi"/>
          <w:sz w:val="22"/>
          <w:szCs w:val="22"/>
        </w:rPr>
        <w:t>N</w:t>
      </w:r>
      <w:r w:rsidR="000E2276" w:rsidRPr="007C7C0D">
        <w:rPr>
          <w:rFonts w:ascii="Avenir Book" w:hAnsi="Avenir Book" w:cstheme="minorHAnsi"/>
          <w:sz w:val="22"/>
          <w:szCs w:val="22"/>
        </w:rPr>
        <w:t xml:space="preserve">ational </w:t>
      </w:r>
      <w:r w:rsidRPr="007C7C0D">
        <w:rPr>
          <w:rFonts w:ascii="Avenir Book" w:hAnsi="Avenir Book" w:cstheme="minorHAnsi"/>
          <w:sz w:val="22"/>
          <w:szCs w:val="22"/>
        </w:rPr>
        <w:t>P</w:t>
      </w:r>
      <w:r w:rsidR="000E2276" w:rsidRPr="007C7C0D">
        <w:rPr>
          <w:rFonts w:ascii="Avenir Book" w:hAnsi="Avenir Book" w:cstheme="minorHAnsi"/>
          <w:sz w:val="22"/>
          <w:szCs w:val="22"/>
        </w:rPr>
        <w:t xml:space="preserve">reventive </w:t>
      </w:r>
      <w:r w:rsidRPr="007C7C0D">
        <w:rPr>
          <w:rFonts w:ascii="Avenir Book" w:hAnsi="Avenir Book" w:cstheme="minorHAnsi"/>
          <w:sz w:val="22"/>
          <w:szCs w:val="22"/>
        </w:rPr>
        <w:t>M</w:t>
      </w:r>
      <w:r w:rsidR="000E2276" w:rsidRPr="007C7C0D">
        <w:rPr>
          <w:rFonts w:ascii="Avenir Book" w:hAnsi="Avenir Book" w:cstheme="minorHAnsi"/>
          <w:sz w:val="22"/>
          <w:szCs w:val="22"/>
        </w:rPr>
        <w:t>echanism (NPM)</w:t>
      </w:r>
      <w:r w:rsidRPr="007C7C0D">
        <w:rPr>
          <w:rFonts w:ascii="Avenir Book" w:hAnsi="Avenir Book" w:cstheme="minorHAnsi"/>
          <w:sz w:val="22"/>
          <w:szCs w:val="22"/>
        </w:rPr>
        <w:t xml:space="preserve"> to be disability inclus</w:t>
      </w:r>
      <w:r w:rsidR="006A1D7A" w:rsidRPr="007C7C0D">
        <w:rPr>
          <w:rFonts w:ascii="Avenir Book" w:hAnsi="Avenir Book" w:cstheme="minorHAnsi"/>
          <w:sz w:val="22"/>
          <w:szCs w:val="22"/>
        </w:rPr>
        <w:t xml:space="preserve">ive, including for the inclusion of </w:t>
      </w:r>
      <w:r w:rsidRPr="007C7C0D">
        <w:rPr>
          <w:rFonts w:ascii="Avenir Book" w:hAnsi="Avenir Book" w:cstheme="minorHAnsi"/>
          <w:sz w:val="22"/>
          <w:szCs w:val="22"/>
        </w:rPr>
        <w:t xml:space="preserve">disability specific places of detention, </w:t>
      </w:r>
      <w:r w:rsidR="00FB52D1" w:rsidRPr="007C7C0D">
        <w:rPr>
          <w:rFonts w:ascii="Avenir Book" w:hAnsi="Avenir Book" w:cstheme="minorHAnsi"/>
          <w:sz w:val="22"/>
          <w:szCs w:val="22"/>
        </w:rPr>
        <w:t>such as</w:t>
      </w:r>
      <w:r w:rsidRPr="007C7C0D">
        <w:rPr>
          <w:rFonts w:ascii="Avenir Book" w:hAnsi="Avenir Book" w:cstheme="minorHAnsi"/>
          <w:sz w:val="22"/>
          <w:szCs w:val="22"/>
        </w:rPr>
        <w:t xml:space="preserve"> educational settings.</w:t>
      </w:r>
    </w:p>
    <w:p w14:paraId="760ED787" w14:textId="77777777" w:rsidR="00894A14" w:rsidRPr="007C7C0D" w:rsidRDefault="00894A14" w:rsidP="00894A14">
      <w:pPr>
        <w:snapToGrid w:val="0"/>
        <w:rPr>
          <w:rFonts w:ascii="Avenir Book" w:hAnsi="Avenir Book" w:cstheme="minorHAnsi"/>
          <w:sz w:val="22"/>
          <w:szCs w:val="22"/>
        </w:rPr>
      </w:pPr>
    </w:p>
    <w:p w14:paraId="5B604736" w14:textId="77777777" w:rsidR="003033F3" w:rsidRPr="007C7C0D" w:rsidRDefault="003033F3" w:rsidP="00894A14">
      <w:pPr>
        <w:snapToGrid w:val="0"/>
        <w:rPr>
          <w:rFonts w:ascii="Avenir Book" w:hAnsi="Avenir Book" w:cstheme="minorHAnsi"/>
          <w:sz w:val="22"/>
          <w:szCs w:val="22"/>
        </w:rPr>
      </w:pPr>
    </w:p>
    <w:p w14:paraId="0AEBB38F" w14:textId="77777777" w:rsidR="00764C27" w:rsidRDefault="00764C27">
      <w:pPr>
        <w:rPr>
          <w:rFonts w:ascii="Calibri" w:eastAsiaTheme="minorHAnsi" w:hAnsi="Calibri" w:cs="Calibri"/>
          <w:b/>
          <w:color w:val="7030A0"/>
          <w:sz w:val="28"/>
        </w:rPr>
      </w:pPr>
      <w:r>
        <w:rPr>
          <w:rFonts w:ascii="Calibri" w:hAnsi="Calibri" w:cs="Calibri"/>
          <w:color w:val="7030A0"/>
        </w:rPr>
        <w:br w:type="page"/>
      </w:r>
    </w:p>
    <w:p w14:paraId="753B7877" w14:textId="69E5FCDA" w:rsidR="004C4470" w:rsidRDefault="004C4470" w:rsidP="00EF5411">
      <w:pPr>
        <w:pStyle w:val="Heading2"/>
        <w:numPr>
          <w:ilvl w:val="0"/>
          <w:numId w:val="13"/>
        </w:numPr>
        <w:spacing w:after="120"/>
        <w:ind w:left="425" w:hanging="425"/>
        <w:jc w:val="left"/>
        <w:rPr>
          <w:rFonts w:ascii="Calibri" w:hAnsi="Calibri" w:cs="Calibri"/>
          <w:color w:val="AC1F79"/>
        </w:rPr>
      </w:pPr>
      <w:bookmarkStart w:id="86" w:name="_Toc32759992"/>
      <w:r w:rsidRPr="00DA4323">
        <w:rPr>
          <w:rFonts w:ascii="Calibri" w:hAnsi="Calibri" w:cs="Calibri"/>
          <w:color w:val="AC1F79"/>
        </w:rPr>
        <w:lastRenderedPageBreak/>
        <w:t>Exposing violence – disaggregated data and intersectionality</w:t>
      </w:r>
      <w:bookmarkEnd w:id="86"/>
      <w:r w:rsidRPr="00DA4323">
        <w:rPr>
          <w:rFonts w:ascii="Calibri" w:hAnsi="Calibri" w:cs="Calibri"/>
          <w:color w:val="AC1F79"/>
        </w:rPr>
        <w:t xml:space="preserve"> </w:t>
      </w:r>
    </w:p>
    <w:p w14:paraId="37223A05" w14:textId="77777777" w:rsidR="00DA4323" w:rsidRPr="00DA4323" w:rsidRDefault="00DA4323" w:rsidP="00DA4323">
      <w:pPr>
        <w:rPr>
          <w:rFonts w:ascii="Avenir Book" w:hAnsi="Avenir Book"/>
          <w:sz w:val="22"/>
          <w:szCs w:val="22"/>
        </w:rPr>
      </w:pPr>
    </w:p>
    <w:p w14:paraId="0C1100B2" w14:textId="699ED02E"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color w:val="191619"/>
          <w:sz w:val="22"/>
          <w:szCs w:val="22"/>
        </w:rPr>
        <w:t>It is now well established that violence against women and girls with disability globally and in Australia is far more extensive, frequent and significantly more diverse in nature than violence amongst either their male counterparts or women without disability.</w:t>
      </w:r>
      <w:r w:rsidR="00F91254" w:rsidRPr="00DA4323">
        <w:rPr>
          <w:rStyle w:val="FootnoteReference"/>
          <w:rFonts w:ascii="Avenir Book" w:hAnsi="Avenir Book" w:cstheme="minorHAnsi"/>
          <w:color w:val="191619"/>
          <w:sz w:val="22"/>
          <w:szCs w:val="22"/>
        </w:rPr>
        <w:footnoteReference w:id="73"/>
      </w:r>
      <w:r w:rsidRPr="00DA4323">
        <w:rPr>
          <w:rFonts w:ascii="Avenir Book" w:hAnsi="Avenir Book" w:cstheme="minorHAnsi"/>
          <w:color w:val="191619"/>
          <w:sz w:val="22"/>
          <w:szCs w:val="22"/>
        </w:rPr>
        <w:t xml:space="preserve"> </w:t>
      </w:r>
    </w:p>
    <w:p w14:paraId="0CA563FC" w14:textId="77777777" w:rsidR="00E76DA6" w:rsidRPr="00DA4323" w:rsidRDefault="00E76DA6" w:rsidP="00EB604E">
      <w:pPr>
        <w:pStyle w:val="ListParagraph"/>
        <w:ind w:left="0"/>
        <w:rPr>
          <w:rFonts w:ascii="Avenir Book" w:hAnsi="Avenir Book" w:cstheme="minorHAnsi"/>
          <w:sz w:val="22"/>
          <w:szCs w:val="22"/>
        </w:rPr>
      </w:pPr>
    </w:p>
    <w:p w14:paraId="56525E40" w14:textId="4BBF3528"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color w:val="191619"/>
          <w:sz w:val="22"/>
          <w:szCs w:val="22"/>
        </w:rPr>
        <w:t>While research studies have begun to focus on the experience of violence for women and girls with disability over the past decade</w:t>
      </w:r>
      <w:r w:rsidR="00E32407" w:rsidRPr="00DA4323">
        <w:rPr>
          <w:rFonts w:ascii="Avenir Book" w:hAnsi="Avenir Book" w:cstheme="minorHAnsi"/>
          <w:color w:val="191619"/>
          <w:sz w:val="22"/>
          <w:szCs w:val="22"/>
        </w:rPr>
        <w:t xml:space="preserve">, </w:t>
      </w:r>
      <w:r w:rsidRPr="00DA4323">
        <w:rPr>
          <w:rFonts w:ascii="Avenir Book" w:hAnsi="Avenir Book" w:cstheme="minorHAnsi"/>
          <w:color w:val="191619"/>
          <w:sz w:val="22"/>
          <w:szCs w:val="22"/>
        </w:rPr>
        <w:t>the focus of these studies has largely been on the incidence and experiences of women with disability in the area of domestic and family violence.</w:t>
      </w:r>
      <w:r w:rsidR="004071B2" w:rsidRPr="00DA4323">
        <w:rPr>
          <w:rStyle w:val="FootnoteReference"/>
          <w:rFonts w:ascii="Avenir Book" w:hAnsi="Avenir Book" w:cstheme="minorHAnsi"/>
          <w:color w:val="191619"/>
          <w:sz w:val="22"/>
          <w:szCs w:val="22"/>
        </w:rPr>
        <w:footnoteReference w:id="74"/>
      </w:r>
      <w:r w:rsidRPr="00DA4323">
        <w:rPr>
          <w:rFonts w:ascii="Avenir Book" w:hAnsi="Avenir Book" w:cstheme="minorHAnsi"/>
          <w:color w:val="191619"/>
          <w:sz w:val="22"/>
          <w:szCs w:val="22"/>
        </w:rPr>
        <w:t xml:space="preserve">  </w:t>
      </w:r>
    </w:p>
    <w:p w14:paraId="6BD7BC96" w14:textId="77777777" w:rsidR="00E76DA6" w:rsidRPr="00DA4323" w:rsidRDefault="00E76DA6" w:rsidP="00EB604E">
      <w:pPr>
        <w:pStyle w:val="ListParagraph"/>
        <w:ind w:left="0"/>
        <w:rPr>
          <w:rFonts w:ascii="Avenir Book" w:hAnsi="Avenir Book" w:cstheme="minorHAnsi"/>
          <w:sz w:val="22"/>
          <w:szCs w:val="22"/>
        </w:rPr>
      </w:pPr>
    </w:p>
    <w:p w14:paraId="4466F4FC" w14:textId="3591E686"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There is little to no intersectional analysis, research or disaggregated data that examines the experience of violence, abuse and exploitation by specific groups of women and girls with disability, such as those who are Indigenous, those from culturally and linguistically diverse backgrounds, those who are migrants, refugees or asylum seekers, those who are lesbian, gay, bisexual, transgender or intersex, or those living in rural and remote communities.</w:t>
      </w:r>
      <w:r w:rsidR="00E32407" w:rsidRPr="00DA4323">
        <w:rPr>
          <w:rStyle w:val="FootnoteReference"/>
          <w:rFonts w:ascii="Avenir Book" w:hAnsi="Avenir Book" w:cstheme="minorHAnsi"/>
          <w:sz w:val="22"/>
          <w:szCs w:val="22"/>
        </w:rPr>
        <w:footnoteReference w:id="75"/>
      </w:r>
      <w:r w:rsidRPr="00DA4323">
        <w:rPr>
          <w:rFonts w:ascii="Avenir Book" w:hAnsi="Avenir Book" w:cstheme="minorHAnsi"/>
          <w:sz w:val="22"/>
          <w:szCs w:val="22"/>
        </w:rPr>
        <w:t xml:space="preserve"> </w:t>
      </w:r>
    </w:p>
    <w:p w14:paraId="35855D01" w14:textId="77777777" w:rsidR="00E76DA6" w:rsidRPr="00DA4323" w:rsidRDefault="00E76DA6" w:rsidP="00EB604E">
      <w:pPr>
        <w:pStyle w:val="ListParagraph"/>
        <w:ind w:left="0"/>
        <w:rPr>
          <w:rFonts w:ascii="Avenir Book" w:hAnsi="Avenir Book" w:cstheme="minorHAnsi"/>
          <w:sz w:val="22"/>
          <w:szCs w:val="22"/>
        </w:rPr>
      </w:pPr>
    </w:p>
    <w:p w14:paraId="3CD13A32" w14:textId="106F2A59"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There is little to no disaggregated data or intersectional analysis available in Australia on the educational experiences of women and girls with disability,</w:t>
      </w:r>
      <w:r w:rsidR="00E32407" w:rsidRPr="00DA4323">
        <w:rPr>
          <w:rStyle w:val="FootnoteReference"/>
          <w:rFonts w:ascii="Avenir Book" w:hAnsi="Avenir Book" w:cstheme="minorHAnsi"/>
          <w:sz w:val="22"/>
          <w:szCs w:val="22"/>
        </w:rPr>
        <w:footnoteReference w:id="76"/>
      </w:r>
      <w:r w:rsidRPr="00DA4323">
        <w:rPr>
          <w:rFonts w:ascii="Avenir Book" w:hAnsi="Avenir Book" w:cstheme="minorHAnsi"/>
          <w:sz w:val="22"/>
          <w:szCs w:val="22"/>
        </w:rPr>
        <w:t xml:space="preserve"> including in relation to experiences of violence, abuse and exploitation in the area of education and learning. </w:t>
      </w:r>
    </w:p>
    <w:p w14:paraId="226EBCC9" w14:textId="77777777" w:rsidR="00E76DA6" w:rsidRPr="00DA4323" w:rsidRDefault="00E76DA6" w:rsidP="00EB604E">
      <w:pPr>
        <w:pStyle w:val="ListParagraph"/>
        <w:ind w:left="0"/>
        <w:rPr>
          <w:rFonts w:ascii="Avenir Book" w:hAnsi="Avenir Book" w:cstheme="minorHAnsi"/>
          <w:sz w:val="22"/>
          <w:szCs w:val="22"/>
        </w:rPr>
      </w:pPr>
    </w:p>
    <w:p w14:paraId="73042C44" w14:textId="55CBBA1E"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 xml:space="preserve">There is data </w:t>
      </w:r>
      <w:r w:rsidR="00C76D57" w:rsidRPr="00DA4323">
        <w:rPr>
          <w:rFonts w:ascii="Avenir Book" w:hAnsi="Avenir Book" w:cstheme="minorHAnsi"/>
          <w:sz w:val="22"/>
          <w:szCs w:val="22"/>
        </w:rPr>
        <w:t xml:space="preserve">from the Australian Institute of Health and Welfare (AIHW) </w:t>
      </w:r>
      <w:r w:rsidRPr="00DA4323">
        <w:rPr>
          <w:rFonts w:ascii="Avenir Book" w:hAnsi="Avenir Book" w:cstheme="minorHAnsi"/>
          <w:sz w:val="22"/>
          <w:szCs w:val="22"/>
        </w:rPr>
        <w:t xml:space="preserve">on the educational experiences of children and young people with disability, but this data is not </w:t>
      </w:r>
      <w:r w:rsidR="00EB604E" w:rsidRPr="00DA4323">
        <w:rPr>
          <w:rFonts w:ascii="Avenir Book" w:hAnsi="Avenir Book" w:cstheme="minorHAnsi"/>
          <w:sz w:val="22"/>
          <w:szCs w:val="22"/>
        </w:rPr>
        <w:t>disaggregated,</w:t>
      </w:r>
      <w:r w:rsidRPr="00DA4323">
        <w:rPr>
          <w:rFonts w:ascii="Avenir Book" w:hAnsi="Avenir Book" w:cstheme="minorHAnsi"/>
          <w:sz w:val="22"/>
          <w:szCs w:val="22"/>
        </w:rPr>
        <w:t xml:space="preserve"> or disaggregated data is not publicly available.</w:t>
      </w:r>
      <w:r w:rsidR="00C76D57" w:rsidRPr="00DA4323">
        <w:rPr>
          <w:rStyle w:val="FootnoteReference"/>
          <w:rFonts w:ascii="Avenir Book" w:hAnsi="Avenir Book" w:cstheme="minorHAnsi"/>
          <w:sz w:val="22"/>
          <w:szCs w:val="22"/>
        </w:rPr>
        <w:footnoteReference w:id="77"/>
      </w:r>
      <w:r w:rsidRPr="00DA4323">
        <w:rPr>
          <w:rFonts w:ascii="Avenir Book" w:hAnsi="Avenir Book" w:cstheme="minorHAnsi"/>
          <w:sz w:val="22"/>
          <w:szCs w:val="22"/>
        </w:rPr>
        <w:t xml:space="preserve"> </w:t>
      </w:r>
    </w:p>
    <w:p w14:paraId="5BFDF762" w14:textId="77777777" w:rsidR="00E76DA6" w:rsidRPr="00DA4323" w:rsidRDefault="00E76DA6" w:rsidP="00EB604E">
      <w:pPr>
        <w:pStyle w:val="ListParagraph"/>
        <w:ind w:left="0"/>
        <w:rPr>
          <w:rFonts w:ascii="Avenir Book" w:hAnsi="Avenir Book" w:cstheme="minorHAnsi"/>
          <w:sz w:val="22"/>
          <w:szCs w:val="22"/>
        </w:rPr>
      </w:pPr>
    </w:p>
    <w:p w14:paraId="1B44E908" w14:textId="40F43888"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In section 2 of the Issues Paper, a range of barriers and issues are outlined to highlight why inclusive education is not being achieved, but these barriers and issues are gender neutral.</w:t>
      </w:r>
      <w:r w:rsidR="001F42B6" w:rsidRPr="00DA4323">
        <w:rPr>
          <w:rFonts w:ascii="Avenir Book" w:hAnsi="Avenir Book" w:cstheme="minorHAnsi"/>
          <w:sz w:val="22"/>
          <w:szCs w:val="22"/>
        </w:rPr>
        <w:t xml:space="preserve">  There is no intersectional analysis of these barriers.</w:t>
      </w:r>
      <w:r w:rsidRPr="00DA4323">
        <w:rPr>
          <w:rFonts w:ascii="Avenir Book" w:hAnsi="Avenir Book" w:cstheme="minorHAnsi"/>
          <w:sz w:val="22"/>
          <w:szCs w:val="22"/>
        </w:rPr>
        <w:t xml:space="preserve"> </w:t>
      </w:r>
    </w:p>
    <w:p w14:paraId="7BBA75C5" w14:textId="77777777" w:rsidR="00E76DA6" w:rsidRPr="00DA4323" w:rsidRDefault="00E76DA6" w:rsidP="00EB604E">
      <w:pPr>
        <w:pStyle w:val="ListParagraph"/>
        <w:ind w:left="0"/>
        <w:rPr>
          <w:rFonts w:ascii="Avenir Book" w:hAnsi="Avenir Book" w:cstheme="minorHAnsi"/>
          <w:sz w:val="22"/>
          <w:szCs w:val="22"/>
        </w:rPr>
      </w:pPr>
    </w:p>
    <w:p w14:paraId="4C426C00" w14:textId="55CDAFDE" w:rsidR="004A2693" w:rsidRPr="00DA4323" w:rsidRDefault="00AF1F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Despite evidence that demonstrates high rates of suspension, restraint and seclusion of students with disability, t</w:t>
      </w:r>
      <w:r w:rsidR="00925835" w:rsidRPr="00DA4323">
        <w:rPr>
          <w:rFonts w:ascii="Avenir Book" w:hAnsi="Avenir Book" w:cstheme="minorHAnsi"/>
          <w:sz w:val="22"/>
          <w:szCs w:val="22"/>
        </w:rPr>
        <w:t>here is no national data</w:t>
      </w:r>
      <w:r w:rsidRPr="00DA4323">
        <w:rPr>
          <w:rFonts w:ascii="Avenir Book" w:hAnsi="Avenir Book" w:cstheme="minorHAnsi"/>
          <w:sz w:val="22"/>
          <w:szCs w:val="22"/>
        </w:rPr>
        <w:t xml:space="preserve"> on this situation, nor </w:t>
      </w:r>
      <w:r w:rsidR="004A2693" w:rsidRPr="00DA4323">
        <w:rPr>
          <w:rFonts w:ascii="Avenir Book" w:hAnsi="Avenir Book" w:cstheme="minorHAnsi"/>
          <w:sz w:val="22"/>
          <w:szCs w:val="22"/>
        </w:rPr>
        <w:t>are</w:t>
      </w:r>
      <w:r w:rsidRPr="00DA4323">
        <w:rPr>
          <w:rFonts w:ascii="Avenir Book" w:hAnsi="Avenir Book" w:cstheme="minorHAnsi"/>
          <w:sz w:val="22"/>
          <w:szCs w:val="22"/>
        </w:rPr>
        <w:t xml:space="preserve"> there regulatory or monitoring framework</w:t>
      </w:r>
      <w:r w:rsidR="006A7C04" w:rsidRPr="00DA4323">
        <w:rPr>
          <w:rFonts w:ascii="Avenir Book" w:hAnsi="Avenir Book" w:cstheme="minorHAnsi"/>
          <w:sz w:val="22"/>
          <w:szCs w:val="22"/>
        </w:rPr>
        <w:t>s</w:t>
      </w:r>
      <w:r w:rsidRPr="00DA4323">
        <w:rPr>
          <w:rFonts w:ascii="Avenir Book" w:hAnsi="Avenir Book" w:cstheme="minorHAnsi"/>
          <w:sz w:val="22"/>
          <w:szCs w:val="22"/>
        </w:rPr>
        <w:t xml:space="preserve"> </w:t>
      </w:r>
      <w:r w:rsidR="004A2693" w:rsidRPr="00DA4323">
        <w:rPr>
          <w:rFonts w:ascii="Avenir Book" w:hAnsi="Avenir Book" w:cstheme="minorHAnsi"/>
          <w:sz w:val="22"/>
          <w:szCs w:val="22"/>
        </w:rPr>
        <w:t xml:space="preserve">within education systems </w:t>
      </w:r>
      <w:r w:rsidRPr="00DA4323">
        <w:rPr>
          <w:rFonts w:ascii="Avenir Book" w:hAnsi="Avenir Book" w:cstheme="minorHAnsi"/>
          <w:sz w:val="22"/>
          <w:szCs w:val="22"/>
        </w:rPr>
        <w:t>in relation to the use of restrictive practices.</w:t>
      </w:r>
      <w:r w:rsidRPr="00DA4323">
        <w:rPr>
          <w:rStyle w:val="FootnoteReference"/>
          <w:rFonts w:ascii="Avenir Book" w:hAnsi="Avenir Book" w:cstheme="minorHAnsi"/>
          <w:sz w:val="22"/>
          <w:szCs w:val="22"/>
        </w:rPr>
        <w:footnoteReference w:id="78"/>
      </w:r>
      <w:r w:rsidRPr="00DA4323">
        <w:rPr>
          <w:rFonts w:ascii="Avenir Book" w:hAnsi="Avenir Book" w:cstheme="minorHAnsi"/>
          <w:sz w:val="22"/>
          <w:szCs w:val="22"/>
        </w:rPr>
        <w:t xml:space="preserve">  </w:t>
      </w:r>
      <w:r w:rsidR="004A2693" w:rsidRPr="00DA4323">
        <w:rPr>
          <w:rFonts w:ascii="Avenir Book" w:hAnsi="Avenir Book" w:cstheme="minorHAnsi"/>
          <w:sz w:val="22"/>
          <w:szCs w:val="22"/>
        </w:rPr>
        <w:t xml:space="preserve">There is no intersectional information that would highlight the </w:t>
      </w:r>
      <w:r w:rsidR="004A2693" w:rsidRPr="00DA4323">
        <w:rPr>
          <w:rFonts w:ascii="Avenir Book" w:hAnsi="Avenir Book" w:cstheme="minorHAnsi"/>
          <w:sz w:val="22"/>
          <w:szCs w:val="22"/>
        </w:rPr>
        <w:lastRenderedPageBreak/>
        <w:t>situation of women and girls with disability in relation to suspension, restraint and seclusion.</w:t>
      </w:r>
    </w:p>
    <w:p w14:paraId="20BD4F47" w14:textId="77777777" w:rsidR="00E76DA6" w:rsidRPr="00DA4323" w:rsidRDefault="00E76DA6" w:rsidP="00591FF2">
      <w:pPr>
        <w:pStyle w:val="ListParagraph"/>
        <w:ind w:left="0"/>
        <w:rPr>
          <w:rFonts w:ascii="Avenir Book" w:hAnsi="Avenir Book" w:cstheme="minorHAnsi"/>
          <w:sz w:val="22"/>
          <w:szCs w:val="22"/>
        </w:rPr>
      </w:pPr>
    </w:p>
    <w:p w14:paraId="5C97ECC3" w14:textId="63F72D48"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There is evidence that students with disability regularly experience discrimination, an entrenched culture of low expectations, significantly high levels of bullying and harassment, and educational practices that allow for students to be subjected to a range of restrictive practices.</w:t>
      </w:r>
      <w:r w:rsidR="004A2693" w:rsidRPr="00DA4323">
        <w:rPr>
          <w:rStyle w:val="FootnoteReference"/>
          <w:rFonts w:ascii="Avenir Book" w:hAnsi="Avenir Book" w:cstheme="minorHAnsi"/>
          <w:sz w:val="22"/>
          <w:szCs w:val="22"/>
        </w:rPr>
        <w:footnoteReference w:id="79"/>
      </w:r>
      <w:r w:rsidRPr="00DA4323">
        <w:rPr>
          <w:rFonts w:ascii="Avenir Book" w:hAnsi="Avenir Book" w:cstheme="minorHAnsi"/>
          <w:sz w:val="22"/>
          <w:szCs w:val="22"/>
        </w:rPr>
        <w:t xml:space="preserve"> However, this evidence is gender neutral.</w:t>
      </w:r>
    </w:p>
    <w:p w14:paraId="0393D9CD" w14:textId="77777777" w:rsidR="00E76DA6" w:rsidRPr="00DA4323" w:rsidRDefault="00E76DA6" w:rsidP="00591FF2">
      <w:pPr>
        <w:pStyle w:val="ListParagraph"/>
        <w:ind w:left="0"/>
        <w:rPr>
          <w:rFonts w:ascii="Avenir Book" w:hAnsi="Avenir Book" w:cstheme="minorHAnsi"/>
          <w:sz w:val="22"/>
          <w:szCs w:val="22"/>
        </w:rPr>
      </w:pPr>
    </w:p>
    <w:p w14:paraId="2BCA566A" w14:textId="575F09D9" w:rsidR="004C4470" w:rsidRPr="00DA4323" w:rsidRDefault="004C4470"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 xml:space="preserve">There are reports of </w:t>
      </w:r>
      <w:r w:rsidR="002B2347" w:rsidRPr="00DA4323">
        <w:rPr>
          <w:rFonts w:ascii="Avenir Book" w:hAnsi="Avenir Book" w:cstheme="minorHAnsi"/>
          <w:sz w:val="22"/>
          <w:szCs w:val="22"/>
        </w:rPr>
        <w:t>serious</w:t>
      </w:r>
      <w:r w:rsidR="00D30507" w:rsidRPr="00DA4323">
        <w:rPr>
          <w:rFonts w:ascii="Avenir Book" w:hAnsi="Avenir Book" w:cstheme="minorHAnsi"/>
          <w:sz w:val="22"/>
          <w:szCs w:val="22"/>
        </w:rPr>
        <w:t xml:space="preserve"> human rights violations</w:t>
      </w:r>
      <w:r w:rsidR="00935E4C" w:rsidRPr="00DA4323">
        <w:rPr>
          <w:rFonts w:ascii="Avenir Book" w:hAnsi="Avenir Book" w:cstheme="minorHAnsi"/>
          <w:sz w:val="22"/>
          <w:szCs w:val="22"/>
        </w:rPr>
        <w:t>,</w:t>
      </w:r>
      <w:r w:rsidR="00935E4C" w:rsidRPr="00DA4323">
        <w:rPr>
          <w:rStyle w:val="FootnoteReference"/>
          <w:rFonts w:ascii="Avenir Book" w:hAnsi="Avenir Book" w:cstheme="minorHAnsi"/>
          <w:sz w:val="22"/>
          <w:szCs w:val="22"/>
        </w:rPr>
        <w:footnoteReference w:id="80"/>
      </w:r>
      <w:r w:rsidR="00D30507" w:rsidRPr="00DA4323">
        <w:rPr>
          <w:rFonts w:ascii="Avenir Book" w:hAnsi="Avenir Book" w:cstheme="minorHAnsi"/>
          <w:sz w:val="22"/>
          <w:szCs w:val="22"/>
        </w:rPr>
        <w:t xml:space="preserve"> including </w:t>
      </w:r>
      <w:r w:rsidRPr="00DA4323">
        <w:rPr>
          <w:rFonts w:ascii="Avenir Book" w:hAnsi="Avenir Book" w:cstheme="minorHAnsi"/>
          <w:sz w:val="22"/>
          <w:szCs w:val="22"/>
        </w:rPr>
        <w:t>sexual harassment</w:t>
      </w:r>
      <w:r w:rsidR="00DA49FE" w:rsidRPr="00DA4323">
        <w:rPr>
          <w:rFonts w:ascii="Avenir Book" w:hAnsi="Avenir Book" w:cstheme="minorHAnsi"/>
          <w:sz w:val="22"/>
          <w:szCs w:val="22"/>
        </w:rPr>
        <w:t>, abuse</w:t>
      </w:r>
      <w:r w:rsidRPr="00DA4323">
        <w:rPr>
          <w:rFonts w:ascii="Avenir Book" w:hAnsi="Avenir Book" w:cstheme="minorHAnsi"/>
          <w:sz w:val="22"/>
          <w:szCs w:val="22"/>
        </w:rPr>
        <w:t xml:space="preserve"> and rape</w:t>
      </w:r>
      <w:r w:rsidR="004A2693" w:rsidRPr="00DA4323">
        <w:rPr>
          <w:rFonts w:ascii="Avenir Book" w:hAnsi="Avenir Book" w:cstheme="minorHAnsi"/>
          <w:sz w:val="22"/>
          <w:szCs w:val="22"/>
        </w:rPr>
        <w:t xml:space="preserve"> perpetrated against children with disability in schools</w:t>
      </w:r>
      <w:r w:rsidRPr="00DA4323">
        <w:rPr>
          <w:rFonts w:ascii="Avenir Book" w:hAnsi="Avenir Book" w:cstheme="minorHAnsi"/>
          <w:sz w:val="22"/>
          <w:szCs w:val="22"/>
        </w:rPr>
        <w:t xml:space="preserve">, </w:t>
      </w:r>
      <w:r w:rsidR="002B29E2" w:rsidRPr="00DA4323">
        <w:rPr>
          <w:rFonts w:ascii="Avenir Book" w:hAnsi="Avenir Book" w:cstheme="minorHAnsi"/>
          <w:sz w:val="22"/>
          <w:szCs w:val="22"/>
        </w:rPr>
        <w:t>including incident</w:t>
      </w:r>
      <w:r w:rsidR="00D15DCE" w:rsidRPr="00DA4323">
        <w:rPr>
          <w:rFonts w:ascii="Avenir Book" w:hAnsi="Avenir Book" w:cstheme="minorHAnsi"/>
          <w:sz w:val="22"/>
          <w:szCs w:val="22"/>
        </w:rPr>
        <w:t>s</w:t>
      </w:r>
      <w:r w:rsidR="002B29E2" w:rsidRPr="00DA4323">
        <w:rPr>
          <w:rFonts w:ascii="Avenir Book" w:hAnsi="Avenir Book" w:cstheme="minorHAnsi"/>
          <w:sz w:val="22"/>
          <w:szCs w:val="22"/>
        </w:rPr>
        <w:t xml:space="preserve"> relayed during the Townsville Hearing of the Royal Commission,</w:t>
      </w:r>
      <w:r w:rsidR="002B29E2" w:rsidRPr="00DA4323">
        <w:rPr>
          <w:rStyle w:val="FootnoteReference"/>
          <w:rFonts w:ascii="Avenir Book" w:hAnsi="Avenir Book" w:cstheme="minorHAnsi"/>
          <w:sz w:val="22"/>
          <w:szCs w:val="22"/>
        </w:rPr>
        <w:footnoteReference w:id="81"/>
      </w:r>
      <w:r w:rsidR="002B29E2" w:rsidRPr="00DA4323">
        <w:rPr>
          <w:rFonts w:ascii="Avenir Book" w:hAnsi="Avenir Book" w:cstheme="minorHAnsi"/>
          <w:sz w:val="22"/>
          <w:szCs w:val="22"/>
        </w:rPr>
        <w:t xml:space="preserve"> </w:t>
      </w:r>
      <w:r w:rsidRPr="00DA4323">
        <w:rPr>
          <w:rFonts w:ascii="Avenir Book" w:hAnsi="Avenir Book" w:cstheme="minorHAnsi"/>
          <w:sz w:val="22"/>
          <w:szCs w:val="22"/>
        </w:rPr>
        <w:t xml:space="preserve">but </w:t>
      </w:r>
      <w:r w:rsidR="004A2693" w:rsidRPr="00DA4323">
        <w:rPr>
          <w:rFonts w:ascii="Avenir Book" w:hAnsi="Avenir Book" w:cstheme="minorHAnsi"/>
          <w:sz w:val="22"/>
          <w:szCs w:val="22"/>
        </w:rPr>
        <w:t xml:space="preserve">little to </w:t>
      </w:r>
      <w:r w:rsidRPr="00DA4323">
        <w:rPr>
          <w:rFonts w:ascii="Avenir Book" w:hAnsi="Avenir Book" w:cstheme="minorHAnsi"/>
          <w:sz w:val="22"/>
          <w:szCs w:val="22"/>
        </w:rPr>
        <w:t xml:space="preserve">no </w:t>
      </w:r>
      <w:r w:rsidR="004A2693" w:rsidRPr="00DA4323">
        <w:rPr>
          <w:rFonts w:ascii="Avenir Book" w:hAnsi="Avenir Book" w:cstheme="minorHAnsi"/>
          <w:sz w:val="22"/>
          <w:szCs w:val="22"/>
        </w:rPr>
        <w:t xml:space="preserve">disaggregated </w:t>
      </w:r>
      <w:r w:rsidRPr="00DA4323">
        <w:rPr>
          <w:rFonts w:ascii="Avenir Book" w:hAnsi="Avenir Book" w:cstheme="minorHAnsi"/>
          <w:sz w:val="22"/>
          <w:szCs w:val="22"/>
        </w:rPr>
        <w:t xml:space="preserve">information </w:t>
      </w:r>
      <w:r w:rsidR="004A2693" w:rsidRPr="00DA4323">
        <w:rPr>
          <w:rFonts w:ascii="Avenir Book" w:hAnsi="Avenir Book" w:cstheme="minorHAnsi"/>
          <w:sz w:val="22"/>
          <w:szCs w:val="22"/>
        </w:rPr>
        <w:t xml:space="preserve">that would elaborate on the </w:t>
      </w:r>
      <w:r w:rsidR="00DA49FE" w:rsidRPr="00DA4323">
        <w:rPr>
          <w:rFonts w:ascii="Avenir Book" w:hAnsi="Avenir Book" w:cstheme="minorHAnsi"/>
          <w:sz w:val="22"/>
          <w:szCs w:val="22"/>
        </w:rPr>
        <w:t xml:space="preserve">gender-based nature of these incidents and the </w:t>
      </w:r>
      <w:r w:rsidR="004A2693" w:rsidRPr="00DA4323">
        <w:rPr>
          <w:rFonts w:ascii="Avenir Book" w:hAnsi="Avenir Book" w:cstheme="minorHAnsi"/>
          <w:sz w:val="22"/>
          <w:szCs w:val="22"/>
        </w:rPr>
        <w:t xml:space="preserve">situation of girls with disability.  </w:t>
      </w:r>
    </w:p>
    <w:p w14:paraId="50C5600E" w14:textId="77777777" w:rsidR="00E76DA6" w:rsidRPr="00DA4323" w:rsidRDefault="00E76DA6" w:rsidP="00E76DA6">
      <w:pPr>
        <w:rPr>
          <w:rFonts w:ascii="Avenir Book" w:hAnsi="Avenir Book" w:cstheme="minorHAnsi"/>
          <w:sz w:val="22"/>
          <w:szCs w:val="22"/>
        </w:rPr>
      </w:pPr>
    </w:p>
    <w:p w14:paraId="2447BDD6" w14:textId="2766C4B2" w:rsidR="004E7079" w:rsidRPr="00DA4323" w:rsidRDefault="004C4470" w:rsidP="00EF5411">
      <w:pPr>
        <w:pStyle w:val="ListParagraph"/>
        <w:numPr>
          <w:ilvl w:val="1"/>
          <w:numId w:val="27"/>
        </w:numPr>
        <w:spacing w:after="120"/>
        <w:ind w:left="992" w:hanging="567"/>
        <w:contextualSpacing w:val="0"/>
        <w:rPr>
          <w:rFonts w:ascii="Avenir Book" w:hAnsi="Avenir Book" w:cstheme="minorHAnsi"/>
          <w:sz w:val="22"/>
          <w:szCs w:val="22"/>
        </w:rPr>
      </w:pPr>
      <w:r w:rsidRPr="00DA4323">
        <w:rPr>
          <w:rFonts w:ascii="Avenir Book" w:hAnsi="Avenir Book" w:cstheme="minorHAnsi"/>
          <w:sz w:val="22"/>
          <w:szCs w:val="22"/>
        </w:rPr>
        <w:t xml:space="preserve">General Comment </w:t>
      </w:r>
      <w:r w:rsidR="00B6548B" w:rsidRPr="00DA4323">
        <w:rPr>
          <w:rFonts w:ascii="Avenir Book" w:hAnsi="Avenir Book" w:cstheme="minorHAnsi"/>
          <w:sz w:val="22"/>
          <w:szCs w:val="22"/>
        </w:rPr>
        <w:t xml:space="preserve">No. </w:t>
      </w:r>
      <w:r w:rsidRPr="00DA4323">
        <w:rPr>
          <w:rFonts w:ascii="Avenir Book" w:hAnsi="Avenir Book" w:cstheme="minorHAnsi"/>
          <w:sz w:val="22"/>
          <w:szCs w:val="22"/>
        </w:rPr>
        <w:t>4 notes that women and girls with disability in particular are</w:t>
      </w:r>
      <w:r w:rsidR="000E71C2" w:rsidRPr="00DA4323">
        <w:rPr>
          <w:rFonts w:ascii="Avenir Book" w:hAnsi="Avenir Book" w:cstheme="minorHAnsi"/>
          <w:sz w:val="22"/>
          <w:szCs w:val="22"/>
        </w:rPr>
        <w:t>:</w:t>
      </w:r>
    </w:p>
    <w:p w14:paraId="240D8E2E" w14:textId="0A8F8EAC" w:rsidR="004C4470" w:rsidRPr="00DA4323" w:rsidRDefault="004C4470" w:rsidP="00B42158">
      <w:pPr>
        <w:pStyle w:val="ListParagraph"/>
        <w:snapToGrid w:val="0"/>
        <w:ind w:left="1276" w:right="720"/>
        <w:contextualSpacing w:val="0"/>
        <w:rPr>
          <w:rFonts w:ascii="Avenir Book" w:hAnsi="Avenir Book" w:cstheme="minorHAnsi"/>
          <w:sz w:val="22"/>
          <w:szCs w:val="22"/>
        </w:rPr>
      </w:pPr>
      <w:r w:rsidRPr="00DA4323">
        <w:rPr>
          <w:rFonts w:ascii="Avenir Book" w:hAnsi="Avenir Book" w:cstheme="minorHAnsi"/>
          <w:sz w:val="22"/>
          <w:szCs w:val="22"/>
        </w:rPr>
        <w:t xml:space="preserve">“disproportionately affected by violence and abuse, including physical and humiliating punishments by educational personnel, for example through the use of restraints and seclusion and bullying by others in and </w:t>
      </w:r>
      <w:r w:rsidR="00B42158">
        <w:rPr>
          <w:rFonts w:ascii="Avenir Book" w:hAnsi="Avenir Book" w:cstheme="minorHAnsi"/>
          <w:sz w:val="22"/>
          <w:szCs w:val="22"/>
        </w:rPr>
        <w:t xml:space="preserve">on </w:t>
      </w:r>
      <w:r w:rsidRPr="00DA4323">
        <w:rPr>
          <w:rFonts w:ascii="Avenir Book" w:hAnsi="Avenir Book" w:cstheme="minorHAnsi"/>
          <w:sz w:val="22"/>
          <w:szCs w:val="22"/>
        </w:rPr>
        <w:t>route to school”</w:t>
      </w:r>
      <w:r w:rsidR="000E71C2" w:rsidRPr="00DA4323">
        <w:rPr>
          <w:rFonts w:ascii="Avenir Book" w:hAnsi="Avenir Book" w:cstheme="minorHAnsi"/>
          <w:sz w:val="22"/>
          <w:szCs w:val="22"/>
        </w:rPr>
        <w:t>.</w:t>
      </w:r>
      <w:r w:rsidR="000E71C2" w:rsidRPr="00DA4323">
        <w:rPr>
          <w:rStyle w:val="FootnoteReference"/>
          <w:rFonts w:ascii="Avenir Book" w:hAnsi="Avenir Book" w:cstheme="minorHAnsi"/>
          <w:sz w:val="22"/>
          <w:szCs w:val="22"/>
        </w:rPr>
        <w:footnoteReference w:id="82"/>
      </w:r>
      <w:r w:rsidRPr="00DA4323">
        <w:rPr>
          <w:rFonts w:ascii="Avenir Book" w:hAnsi="Avenir Book" w:cstheme="minorHAnsi"/>
          <w:sz w:val="22"/>
          <w:szCs w:val="22"/>
        </w:rPr>
        <w:t xml:space="preserve"> </w:t>
      </w:r>
    </w:p>
    <w:p w14:paraId="62497180" w14:textId="77777777" w:rsidR="004E7079" w:rsidRPr="00DA4323" w:rsidRDefault="004E7079" w:rsidP="00591FF2">
      <w:pPr>
        <w:pStyle w:val="ListParagraph"/>
        <w:snapToGrid w:val="0"/>
        <w:ind w:left="0" w:right="232"/>
        <w:contextualSpacing w:val="0"/>
        <w:rPr>
          <w:rFonts w:ascii="Avenir Book" w:hAnsi="Avenir Book" w:cstheme="minorHAnsi"/>
          <w:sz w:val="22"/>
          <w:szCs w:val="22"/>
        </w:rPr>
      </w:pPr>
    </w:p>
    <w:p w14:paraId="6BD4C0A1" w14:textId="48608A69" w:rsidR="008C6D0E" w:rsidRPr="00DA4323" w:rsidRDefault="00DF108E"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 xml:space="preserve">The Australian Human Rights Commission </w:t>
      </w:r>
      <w:r w:rsidR="008C6D0E" w:rsidRPr="00DA4323">
        <w:rPr>
          <w:rFonts w:ascii="Avenir Book" w:hAnsi="Avenir Book" w:cstheme="minorHAnsi"/>
          <w:sz w:val="22"/>
          <w:szCs w:val="22"/>
        </w:rPr>
        <w:t xml:space="preserve">(AHRC) </w:t>
      </w:r>
      <w:r w:rsidRPr="00DA4323">
        <w:rPr>
          <w:rFonts w:ascii="Avenir Book" w:hAnsi="Avenir Book" w:cstheme="minorHAnsi"/>
          <w:sz w:val="22"/>
          <w:szCs w:val="22"/>
        </w:rPr>
        <w:t xml:space="preserve">conducted a national, independent survey of university students </w:t>
      </w:r>
      <w:r w:rsidRPr="00DA4323">
        <w:rPr>
          <w:rFonts w:ascii="Avenir Book" w:hAnsi="Avenir Book" w:cstheme="minorHAnsi"/>
          <w:color w:val="1F1923"/>
          <w:sz w:val="22"/>
          <w:szCs w:val="22"/>
        </w:rPr>
        <w:t>into the nature, prevalence and reporting of sexual assault and sexual harassment at Australian universities.</w:t>
      </w:r>
      <w:r w:rsidR="00A009D2" w:rsidRPr="00DA4323">
        <w:rPr>
          <w:rStyle w:val="FootnoteReference"/>
          <w:rFonts w:ascii="Avenir Book" w:hAnsi="Avenir Book" w:cstheme="minorHAnsi"/>
          <w:color w:val="1F1923"/>
          <w:sz w:val="22"/>
          <w:szCs w:val="22"/>
        </w:rPr>
        <w:footnoteReference w:id="83"/>
      </w:r>
      <w:r w:rsidR="003266F4" w:rsidRPr="00DA4323">
        <w:rPr>
          <w:rFonts w:ascii="Avenir Book" w:hAnsi="Avenir Book" w:cstheme="minorHAnsi"/>
          <w:color w:val="1F1923"/>
          <w:sz w:val="22"/>
          <w:szCs w:val="22"/>
        </w:rPr>
        <w:t xml:space="preserve"> Although the sample size was small, this </w:t>
      </w:r>
      <w:r w:rsidR="008C6D0E" w:rsidRPr="00DA4323">
        <w:rPr>
          <w:rFonts w:ascii="Avenir Book" w:hAnsi="Avenir Book" w:cstheme="minorHAnsi"/>
          <w:color w:val="1F1923"/>
          <w:sz w:val="22"/>
          <w:szCs w:val="22"/>
        </w:rPr>
        <w:t>survey</w:t>
      </w:r>
      <w:r w:rsidR="003266F4" w:rsidRPr="00DA4323">
        <w:rPr>
          <w:rFonts w:ascii="Avenir Book" w:hAnsi="Avenir Book" w:cstheme="minorHAnsi"/>
          <w:color w:val="1F1923"/>
          <w:sz w:val="22"/>
          <w:szCs w:val="22"/>
        </w:rPr>
        <w:t xml:space="preserve"> found that </w:t>
      </w:r>
      <w:r w:rsidR="00643014" w:rsidRPr="00DA4323">
        <w:rPr>
          <w:rFonts w:ascii="Avenir Book" w:hAnsi="Avenir Book" w:cstheme="minorHAnsi"/>
          <w:color w:val="1F1923"/>
          <w:sz w:val="22"/>
          <w:szCs w:val="22"/>
        </w:rPr>
        <w:t xml:space="preserve">30% of students with disability compared to 21% of students without disability were sexually harassed in a university setting. </w:t>
      </w:r>
      <w:r w:rsidR="008C6D0E" w:rsidRPr="00DA4323">
        <w:rPr>
          <w:rFonts w:ascii="Avenir Book" w:hAnsi="Avenir Book" w:cstheme="minorHAnsi"/>
          <w:color w:val="1F1923"/>
          <w:sz w:val="22"/>
          <w:szCs w:val="22"/>
        </w:rPr>
        <w:t>The sexual harassment incident rate for m</w:t>
      </w:r>
      <w:r w:rsidR="00643014" w:rsidRPr="00DA4323">
        <w:rPr>
          <w:rFonts w:ascii="Avenir Book" w:hAnsi="Avenir Book" w:cstheme="minorHAnsi"/>
          <w:color w:val="1F1923"/>
          <w:sz w:val="22"/>
          <w:szCs w:val="22"/>
        </w:rPr>
        <w:t>en with disability w</w:t>
      </w:r>
      <w:r w:rsidR="008C6D0E" w:rsidRPr="00DA4323">
        <w:rPr>
          <w:rFonts w:ascii="Avenir Book" w:hAnsi="Avenir Book" w:cstheme="minorHAnsi"/>
          <w:color w:val="1F1923"/>
          <w:sz w:val="22"/>
          <w:szCs w:val="22"/>
        </w:rPr>
        <w:t xml:space="preserve">as </w:t>
      </w:r>
      <w:r w:rsidR="00643014" w:rsidRPr="00DA4323">
        <w:rPr>
          <w:rFonts w:ascii="Avenir Book" w:hAnsi="Avenir Book" w:cstheme="minorHAnsi"/>
          <w:color w:val="1F1923"/>
          <w:sz w:val="22"/>
          <w:szCs w:val="22"/>
        </w:rPr>
        <w:t xml:space="preserve">24% compared to 16% of men without disability; and </w:t>
      </w:r>
      <w:r w:rsidR="008C6D0E" w:rsidRPr="00DA4323">
        <w:rPr>
          <w:rFonts w:ascii="Avenir Book" w:hAnsi="Avenir Book" w:cstheme="minorHAnsi"/>
          <w:color w:val="1F1923"/>
          <w:sz w:val="22"/>
          <w:szCs w:val="22"/>
        </w:rPr>
        <w:t xml:space="preserve">the rate for </w:t>
      </w:r>
      <w:r w:rsidR="00643014" w:rsidRPr="00DA4323">
        <w:rPr>
          <w:rFonts w:ascii="Avenir Book" w:hAnsi="Avenir Book" w:cstheme="minorHAnsi"/>
          <w:color w:val="1F1923"/>
          <w:sz w:val="22"/>
          <w:szCs w:val="22"/>
        </w:rPr>
        <w:t xml:space="preserve">women with disability </w:t>
      </w:r>
      <w:r w:rsidR="008C6D0E" w:rsidRPr="00DA4323">
        <w:rPr>
          <w:rFonts w:ascii="Avenir Book" w:hAnsi="Avenir Book" w:cstheme="minorHAnsi"/>
          <w:color w:val="1F1923"/>
          <w:sz w:val="22"/>
          <w:szCs w:val="22"/>
        </w:rPr>
        <w:t xml:space="preserve">was </w:t>
      </w:r>
      <w:r w:rsidR="00643014" w:rsidRPr="00DA4323">
        <w:rPr>
          <w:rFonts w:ascii="Avenir Book" w:hAnsi="Avenir Book" w:cstheme="minorHAnsi"/>
          <w:color w:val="1F1923"/>
          <w:sz w:val="22"/>
          <w:szCs w:val="22"/>
        </w:rPr>
        <w:t>39%</w:t>
      </w:r>
      <w:r w:rsidR="008C6D0E" w:rsidRPr="00DA4323">
        <w:rPr>
          <w:rFonts w:ascii="Avenir Book" w:hAnsi="Avenir Book" w:cstheme="minorHAnsi"/>
          <w:color w:val="1F1923"/>
          <w:sz w:val="22"/>
          <w:szCs w:val="22"/>
        </w:rPr>
        <w:t xml:space="preserve"> </w:t>
      </w:r>
      <w:r w:rsidR="00643014" w:rsidRPr="00DA4323">
        <w:rPr>
          <w:rFonts w:ascii="Avenir Book" w:hAnsi="Avenir Book" w:cstheme="minorHAnsi"/>
          <w:color w:val="1F1923"/>
          <w:sz w:val="22"/>
          <w:szCs w:val="22"/>
        </w:rPr>
        <w:t xml:space="preserve">compared to </w:t>
      </w:r>
      <w:r w:rsidR="008C6D0E" w:rsidRPr="00DA4323">
        <w:rPr>
          <w:rFonts w:ascii="Avenir Book" w:hAnsi="Avenir Book" w:cstheme="minorHAnsi"/>
          <w:color w:val="1F1923"/>
          <w:sz w:val="22"/>
          <w:szCs w:val="22"/>
        </w:rPr>
        <w:t>32</w:t>
      </w:r>
      <w:r w:rsidR="00643014" w:rsidRPr="00DA4323">
        <w:rPr>
          <w:rFonts w:ascii="Avenir Book" w:hAnsi="Avenir Book" w:cstheme="minorHAnsi"/>
          <w:color w:val="1F1923"/>
          <w:sz w:val="22"/>
          <w:szCs w:val="22"/>
        </w:rPr>
        <w:t xml:space="preserve">% of </w:t>
      </w:r>
      <w:r w:rsidR="008C6D0E" w:rsidRPr="00DA4323">
        <w:rPr>
          <w:rFonts w:ascii="Avenir Book" w:hAnsi="Avenir Book" w:cstheme="minorHAnsi"/>
          <w:color w:val="1F1923"/>
          <w:sz w:val="22"/>
          <w:szCs w:val="22"/>
        </w:rPr>
        <w:t>women</w:t>
      </w:r>
      <w:r w:rsidR="00643014" w:rsidRPr="00DA4323">
        <w:rPr>
          <w:rFonts w:ascii="Avenir Book" w:hAnsi="Avenir Book" w:cstheme="minorHAnsi"/>
          <w:color w:val="1F1923"/>
          <w:sz w:val="22"/>
          <w:szCs w:val="22"/>
        </w:rPr>
        <w:t xml:space="preserve"> without disability</w:t>
      </w:r>
      <w:r w:rsidR="008C6D0E" w:rsidRPr="00DA4323">
        <w:rPr>
          <w:rFonts w:ascii="Avenir Book" w:hAnsi="Avenir Book" w:cstheme="minorHAnsi"/>
          <w:color w:val="1F1923"/>
          <w:sz w:val="22"/>
          <w:szCs w:val="22"/>
        </w:rPr>
        <w:t>.</w:t>
      </w:r>
      <w:r w:rsidR="008C6D0E" w:rsidRPr="00DA4323">
        <w:rPr>
          <w:rStyle w:val="FootnoteReference"/>
          <w:rFonts w:ascii="Avenir Book" w:hAnsi="Avenir Book" w:cstheme="minorHAnsi"/>
          <w:color w:val="1F1923"/>
          <w:sz w:val="22"/>
          <w:szCs w:val="22"/>
        </w:rPr>
        <w:footnoteReference w:id="84"/>
      </w:r>
      <w:r w:rsidR="008C6D0E" w:rsidRPr="00DA4323">
        <w:rPr>
          <w:rFonts w:ascii="Avenir Book" w:hAnsi="Avenir Book" w:cstheme="minorHAnsi"/>
          <w:color w:val="1F1923"/>
          <w:sz w:val="22"/>
          <w:szCs w:val="22"/>
        </w:rPr>
        <w:t xml:space="preserve"> </w:t>
      </w:r>
    </w:p>
    <w:p w14:paraId="3AAAB5BD" w14:textId="77777777" w:rsidR="00E76DA6" w:rsidRPr="00DA4323" w:rsidRDefault="00E76DA6" w:rsidP="00591FF2">
      <w:pPr>
        <w:pStyle w:val="ListParagraph"/>
        <w:ind w:left="0"/>
        <w:rPr>
          <w:rFonts w:ascii="Avenir Book" w:hAnsi="Avenir Book" w:cstheme="minorHAnsi"/>
          <w:sz w:val="22"/>
          <w:szCs w:val="22"/>
        </w:rPr>
      </w:pPr>
    </w:p>
    <w:p w14:paraId="22D1A323" w14:textId="5C6E1E42" w:rsidR="008C6D0E" w:rsidRPr="00DA4323" w:rsidRDefault="008C6D0E"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color w:val="1F1923"/>
          <w:sz w:val="22"/>
          <w:szCs w:val="22"/>
        </w:rPr>
        <w:t xml:space="preserve">The AHRC survey noted that people with disability are significantly underrepresented in higher education in Australia, and there was limited data available through the survey on incidents of sexual assault.  However, the data did show that 3.9% of students with </w:t>
      </w:r>
      <w:r w:rsidRPr="00DA4323">
        <w:rPr>
          <w:rFonts w:ascii="Avenir Book" w:hAnsi="Avenir Book" w:cstheme="minorHAnsi"/>
          <w:color w:val="1F1923"/>
          <w:sz w:val="22"/>
          <w:szCs w:val="22"/>
        </w:rPr>
        <w:lastRenderedPageBreak/>
        <w:t>disability compared to 1.5% without disability were sexually assaulted in a university setting, although there was no gender disaggregation of this situation.</w:t>
      </w:r>
      <w:r w:rsidRPr="00DA4323">
        <w:rPr>
          <w:rStyle w:val="FootnoteReference"/>
          <w:rFonts w:ascii="Avenir Book" w:hAnsi="Avenir Book" w:cstheme="minorHAnsi"/>
          <w:color w:val="1F1923"/>
          <w:sz w:val="22"/>
          <w:szCs w:val="22"/>
        </w:rPr>
        <w:footnoteReference w:id="85"/>
      </w:r>
    </w:p>
    <w:p w14:paraId="333D643D" w14:textId="77777777" w:rsidR="00E76DA6" w:rsidRPr="00DA4323" w:rsidRDefault="00E76DA6" w:rsidP="00E76DA6">
      <w:pPr>
        <w:rPr>
          <w:rFonts w:ascii="Avenir Book" w:hAnsi="Avenir Book" w:cstheme="minorHAnsi"/>
          <w:sz w:val="22"/>
          <w:szCs w:val="22"/>
        </w:rPr>
      </w:pPr>
    </w:p>
    <w:p w14:paraId="6B174FFE" w14:textId="4AD1A5C9" w:rsidR="004C4470" w:rsidRPr="00DA4323" w:rsidRDefault="0067317A" w:rsidP="00EF5411">
      <w:pPr>
        <w:pStyle w:val="ListParagraph"/>
        <w:numPr>
          <w:ilvl w:val="1"/>
          <w:numId w:val="27"/>
        </w:numPr>
        <w:spacing w:after="120"/>
        <w:ind w:left="992" w:hanging="567"/>
        <w:contextualSpacing w:val="0"/>
        <w:rPr>
          <w:rFonts w:ascii="Avenir Book" w:hAnsi="Avenir Book" w:cstheme="minorHAnsi"/>
          <w:sz w:val="22"/>
          <w:szCs w:val="22"/>
        </w:rPr>
      </w:pPr>
      <w:r w:rsidRPr="00DA4323">
        <w:rPr>
          <w:rFonts w:ascii="Avenir Book" w:hAnsi="Avenir Book" w:cstheme="minorHAnsi"/>
          <w:sz w:val="22"/>
          <w:szCs w:val="22"/>
        </w:rPr>
        <w:t>The lack of disaggregated data and intersectional research in the area of education and learning significantly undermines the ability to understand the specific experiences of women and girls with disability.  A</w:t>
      </w:r>
      <w:r w:rsidR="004C4470" w:rsidRPr="00DA4323">
        <w:rPr>
          <w:rFonts w:ascii="Avenir Book" w:hAnsi="Avenir Book" w:cstheme="minorHAnsi"/>
          <w:sz w:val="22"/>
          <w:szCs w:val="22"/>
        </w:rPr>
        <w:t xml:space="preserve">n intersectional analysis of the </w:t>
      </w:r>
      <w:r w:rsidRPr="00DA4323">
        <w:rPr>
          <w:rFonts w:ascii="Avenir Book" w:hAnsi="Avenir Book" w:cstheme="minorHAnsi"/>
          <w:sz w:val="22"/>
          <w:szCs w:val="22"/>
        </w:rPr>
        <w:t xml:space="preserve">available </w:t>
      </w:r>
      <w:r w:rsidR="004C4470" w:rsidRPr="00DA4323">
        <w:rPr>
          <w:rFonts w:ascii="Avenir Book" w:hAnsi="Avenir Book" w:cstheme="minorHAnsi"/>
          <w:sz w:val="22"/>
          <w:szCs w:val="22"/>
        </w:rPr>
        <w:t xml:space="preserve">evidence would </w:t>
      </w:r>
      <w:r w:rsidRPr="00DA4323">
        <w:rPr>
          <w:rFonts w:ascii="Avenir Book" w:hAnsi="Avenir Book" w:cstheme="minorHAnsi"/>
          <w:sz w:val="22"/>
          <w:szCs w:val="22"/>
        </w:rPr>
        <w:t>be in</w:t>
      </w:r>
      <w:r w:rsidR="004C4470" w:rsidRPr="00DA4323">
        <w:rPr>
          <w:rFonts w:ascii="Avenir Book" w:hAnsi="Avenir Book" w:cstheme="minorHAnsi"/>
          <w:sz w:val="22"/>
          <w:szCs w:val="22"/>
        </w:rPr>
        <w:t xml:space="preserve">valuable </w:t>
      </w:r>
      <w:r w:rsidR="006A7C04" w:rsidRPr="00DA4323">
        <w:rPr>
          <w:rFonts w:ascii="Avenir Book" w:hAnsi="Avenir Book" w:cstheme="minorHAnsi"/>
          <w:sz w:val="22"/>
          <w:szCs w:val="22"/>
        </w:rPr>
        <w:t>in</w:t>
      </w:r>
      <w:r w:rsidR="004C4470" w:rsidRPr="00DA4323">
        <w:rPr>
          <w:rFonts w:ascii="Avenir Book" w:hAnsi="Avenir Book" w:cstheme="minorHAnsi"/>
          <w:sz w:val="22"/>
          <w:szCs w:val="22"/>
        </w:rPr>
        <w:t xml:space="preserve"> </w:t>
      </w:r>
      <w:r w:rsidRPr="00DA4323">
        <w:rPr>
          <w:rFonts w:ascii="Avenir Book" w:hAnsi="Avenir Book" w:cstheme="minorHAnsi"/>
          <w:sz w:val="22"/>
          <w:szCs w:val="22"/>
        </w:rPr>
        <w:t xml:space="preserve">identifying and implementing </w:t>
      </w:r>
      <w:r w:rsidR="004C4470" w:rsidRPr="00DA4323">
        <w:rPr>
          <w:rFonts w:ascii="Avenir Book" w:hAnsi="Avenir Book" w:cstheme="minorHAnsi"/>
          <w:sz w:val="22"/>
          <w:szCs w:val="22"/>
        </w:rPr>
        <w:t>specific measures and programs for women and girls with disability</w:t>
      </w:r>
      <w:r w:rsidR="002B2347" w:rsidRPr="00DA4323">
        <w:rPr>
          <w:rFonts w:ascii="Avenir Book" w:hAnsi="Avenir Book" w:cstheme="minorHAnsi"/>
          <w:sz w:val="22"/>
          <w:szCs w:val="22"/>
        </w:rPr>
        <w:t xml:space="preserve"> in the area of education and learning</w:t>
      </w:r>
      <w:r w:rsidR="004C4470" w:rsidRPr="00DA4323">
        <w:rPr>
          <w:rFonts w:ascii="Avenir Book" w:hAnsi="Avenir Book" w:cstheme="minorHAnsi"/>
          <w:sz w:val="22"/>
          <w:szCs w:val="22"/>
        </w:rPr>
        <w:t>.  For example:</w:t>
      </w:r>
    </w:p>
    <w:p w14:paraId="7864B2FD" w14:textId="757E826F" w:rsidR="004C4470" w:rsidRPr="00DA4323" w:rsidRDefault="004C4470" w:rsidP="00EF5411">
      <w:pPr>
        <w:pStyle w:val="ListParagraph"/>
        <w:numPr>
          <w:ilvl w:val="0"/>
          <w:numId w:val="5"/>
        </w:numPr>
        <w:snapToGrid w:val="0"/>
        <w:spacing w:after="120"/>
        <w:ind w:left="1276" w:hanging="284"/>
        <w:contextualSpacing w:val="0"/>
        <w:rPr>
          <w:rFonts w:ascii="Avenir Book" w:hAnsi="Avenir Book" w:cstheme="minorHAnsi"/>
          <w:sz w:val="22"/>
          <w:szCs w:val="22"/>
        </w:rPr>
      </w:pPr>
      <w:r w:rsidRPr="00DA4323">
        <w:rPr>
          <w:rFonts w:ascii="Avenir Book" w:hAnsi="Avenir Book" w:cstheme="minorHAnsi"/>
          <w:sz w:val="22"/>
          <w:szCs w:val="22"/>
        </w:rPr>
        <w:t>Accessibility: are there accessible and safe sanitation facilities that allow for menstrual management support</w:t>
      </w:r>
      <w:r w:rsidR="0062275D" w:rsidRPr="00DA4323">
        <w:rPr>
          <w:rFonts w:ascii="Avenir Book" w:hAnsi="Avenir Book" w:cstheme="minorHAnsi"/>
          <w:sz w:val="22"/>
          <w:szCs w:val="22"/>
        </w:rPr>
        <w:t xml:space="preserve"> in educational facilities</w:t>
      </w:r>
      <w:r w:rsidRPr="00DA4323">
        <w:rPr>
          <w:rFonts w:ascii="Avenir Book" w:hAnsi="Avenir Book" w:cstheme="minorHAnsi"/>
          <w:sz w:val="22"/>
          <w:szCs w:val="22"/>
        </w:rPr>
        <w:t xml:space="preserve">? Are women and girls with disability at risk of violence because of the lack of accessible and safe sanitation facilities? Are </w:t>
      </w:r>
      <w:r w:rsidR="0062275D" w:rsidRPr="00DA4323">
        <w:rPr>
          <w:rFonts w:ascii="Avenir Book" w:hAnsi="Avenir Book" w:cstheme="minorHAnsi"/>
          <w:sz w:val="22"/>
          <w:szCs w:val="22"/>
        </w:rPr>
        <w:t>women and girls with disability</w:t>
      </w:r>
      <w:r w:rsidRPr="00DA4323">
        <w:rPr>
          <w:rFonts w:ascii="Avenir Book" w:hAnsi="Avenir Book" w:cstheme="minorHAnsi"/>
          <w:sz w:val="22"/>
          <w:szCs w:val="22"/>
        </w:rPr>
        <w:t xml:space="preserve"> discouraged, either personally or by </w:t>
      </w:r>
      <w:r w:rsidR="0062275D" w:rsidRPr="00DA4323">
        <w:rPr>
          <w:rFonts w:ascii="Avenir Book" w:hAnsi="Avenir Book" w:cstheme="minorHAnsi"/>
          <w:sz w:val="22"/>
          <w:szCs w:val="22"/>
        </w:rPr>
        <w:t>an educational facility</w:t>
      </w:r>
      <w:r w:rsidRPr="00DA4323">
        <w:rPr>
          <w:rFonts w:ascii="Avenir Book" w:hAnsi="Avenir Book" w:cstheme="minorHAnsi"/>
          <w:sz w:val="22"/>
          <w:szCs w:val="22"/>
        </w:rPr>
        <w:t xml:space="preserve"> from attending school because of the lack of these facilities? </w:t>
      </w:r>
    </w:p>
    <w:p w14:paraId="4A338D85" w14:textId="77777777" w:rsidR="004C4470" w:rsidRPr="00DA4323" w:rsidRDefault="004C4470" w:rsidP="00EF5411">
      <w:pPr>
        <w:pStyle w:val="ListParagraph"/>
        <w:numPr>
          <w:ilvl w:val="0"/>
          <w:numId w:val="5"/>
        </w:numPr>
        <w:snapToGrid w:val="0"/>
        <w:spacing w:after="120"/>
        <w:ind w:left="1276" w:hanging="284"/>
        <w:contextualSpacing w:val="0"/>
        <w:rPr>
          <w:rFonts w:ascii="Avenir Book" w:hAnsi="Avenir Book" w:cstheme="minorHAnsi"/>
          <w:sz w:val="22"/>
          <w:szCs w:val="22"/>
        </w:rPr>
      </w:pPr>
      <w:r w:rsidRPr="00DA4323">
        <w:rPr>
          <w:rFonts w:ascii="Avenir Book" w:hAnsi="Avenir Book" w:cstheme="minorHAnsi"/>
          <w:sz w:val="22"/>
          <w:szCs w:val="22"/>
        </w:rPr>
        <w:t xml:space="preserve">Discrimination, suspension and expulsions: do women and girls with disability experience higher rates of discrimination, suspension and expulsion than other students? Are there gender-related factors that contribute to these higher or lower rates?  </w:t>
      </w:r>
    </w:p>
    <w:p w14:paraId="36C8F9AA" w14:textId="1BDEFD6F" w:rsidR="004C4470" w:rsidRPr="00DA4323" w:rsidRDefault="004C4470" w:rsidP="00EF5411">
      <w:pPr>
        <w:pStyle w:val="ListParagraph"/>
        <w:numPr>
          <w:ilvl w:val="0"/>
          <w:numId w:val="5"/>
        </w:numPr>
        <w:snapToGrid w:val="0"/>
        <w:spacing w:after="120"/>
        <w:ind w:left="1276" w:hanging="284"/>
        <w:contextualSpacing w:val="0"/>
        <w:rPr>
          <w:rFonts w:ascii="Avenir Book" w:hAnsi="Avenir Book" w:cstheme="minorHAnsi"/>
          <w:sz w:val="22"/>
          <w:szCs w:val="22"/>
        </w:rPr>
      </w:pPr>
      <w:r w:rsidRPr="00DA4323">
        <w:rPr>
          <w:rFonts w:ascii="Avenir Book" w:eastAsia="Times New Roman" w:hAnsi="Avenir Book" w:cstheme="minorHAnsi"/>
          <w:sz w:val="22"/>
          <w:szCs w:val="22"/>
        </w:rPr>
        <w:t xml:space="preserve">Segregation: what </w:t>
      </w:r>
      <w:r w:rsidR="0062275D" w:rsidRPr="00DA4323">
        <w:rPr>
          <w:rFonts w:ascii="Avenir Book" w:eastAsia="Times New Roman" w:hAnsi="Avenir Book" w:cstheme="minorHAnsi"/>
          <w:sz w:val="22"/>
          <w:szCs w:val="22"/>
        </w:rPr>
        <w:t xml:space="preserve">gender </w:t>
      </w:r>
      <w:r w:rsidRPr="00DA4323">
        <w:rPr>
          <w:rFonts w:ascii="Avenir Book" w:eastAsia="Times New Roman" w:hAnsi="Avenir Book" w:cstheme="minorHAnsi"/>
          <w:sz w:val="22"/>
          <w:szCs w:val="22"/>
        </w:rPr>
        <w:t>difference</w:t>
      </w:r>
      <w:r w:rsidR="0062275D" w:rsidRPr="00DA4323">
        <w:rPr>
          <w:rFonts w:ascii="Avenir Book" w:eastAsia="Times New Roman" w:hAnsi="Avenir Book" w:cstheme="minorHAnsi"/>
          <w:sz w:val="22"/>
          <w:szCs w:val="22"/>
        </w:rPr>
        <w:t>s</w:t>
      </w:r>
      <w:r w:rsidRPr="00DA4323">
        <w:rPr>
          <w:rFonts w:ascii="Avenir Book" w:eastAsia="Times New Roman" w:hAnsi="Avenir Book" w:cstheme="minorHAnsi"/>
          <w:sz w:val="22"/>
          <w:szCs w:val="22"/>
        </w:rPr>
        <w:t xml:space="preserve">, if any, </w:t>
      </w:r>
      <w:r w:rsidR="0062275D" w:rsidRPr="00DA4323">
        <w:rPr>
          <w:rFonts w:ascii="Avenir Book" w:eastAsia="Times New Roman" w:hAnsi="Avenir Book" w:cstheme="minorHAnsi"/>
          <w:sz w:val="22"/>
          <w:szCs w:val="22"/>
        </w:rPr>
        <w:t>are</w:t>
      </w:r>
      <w:r w:rsidRPr="00DA4323">
        <w:rPr>
          <w:rFonts w:ascii="Avenir Book" w:eastAsia="Times New Roman" w:hAnsi="Avenir Book" w:cstheme="minorHAnsi"/>
          <w:sz w:val="22"/>
          <w:szCs w:val="22"/>
        </w:rPr>
        <w:t xml:space="preserve"> there in the segregation rates of students with disability</w:t>
      </w:r>
      <w:r w:rsidR="0062275D" w:rsidRPr="00DA4323">
        <w:rPr>
          <w:rFonts w:ascii="Avenir Book" w:eastAsia="Times New Roman" w:hAnsi="Avenir Book" w:cstheme="minorHAnsi"/>
          <w:sz w:val="22"/>
          <w:szCs w:val="22"/>
        </w:rPr>
        <w:t xml:space="preserve"> in special schools and in segregated environments in mainstream schools?</w:t>
      </w:r>
      <w:r w:rsidRPr="00DA4323">
        <w:rPr>
          <w:rFonts w:ascii="Avenir Book" w:eastAsia="Times New Roman" w:hAnsi="Avenir Book" w:cstheme="minorHAnsi"/>
          <w:sz w:val="22"/>
          <w:szCs w:val="22"/>
        </w:rPr>
        <w:t xml:space="preserve"> </w:t>
      </w:r>
    </w:p>
    <w:p w14:paraId="571EBA22" w14:textId="2093CFBF" w:rsidR="004C4470" w:rsidRPr="00DA4323" w:rsidRDefault="004C4470" w:rsidP="00EF5411">
      <w:pPr>
        <w:pStyle w:val="ListParagraph"/>
        <w:numPr>
          <w:ilvl w:val="0"/>
          <w:numId w:val="5"/>
        </w:numPr>
        <w:snapToGrid w:val="0"/>
        <w:spacing w:after="120"/>
        <w:ind w:left="1276" w:hanging="284"/>
        <w:contextualSpacing w:val="0"/>
        <w:rPr>
          <w:rFonts w:ascii="Avenir Book" w:hAnsi="Avenir Book" w:cstheme="minorHAnsi"/>
          <w:sz w:val="22"/>
          <w:szCs w:val="22"/>
        </w:rPr>
      </w:pPr>
      <w:r w:rsidRPr="00DA4323">
        <w:rPr>
          <w:rFonts w:ascii="Avenir Book" w:hAnsi="Avenir Book"/>
          <w:sz w:val="22"/>
          <w:szCs w:val="22"/>
        </w:rPr>
        <w:t xml:space="preserve">Restrictive practices:  Are girls with disability subjected to higher incidences of restrictive practices compared to other students with disability? Are they more likely to be subjected to specific types of restrictive practices? </w:t>
      </w:r>
      <w:r w:rsidR="00D15DCE" w:rsidRPr="00DA4323">
        <w:rPr>
          <w:rFonts w:ascii="Avenir Book" w:hAnsi="Avenir Book"/>
          <w:sz w:val="22"/>
          <w:szCs w:val="22"/>
        </w:rPr>
        <w:t>Are there gender-based restrictive practices?</w:t>
      </w:r>
    </w:p>
    <w:p w14:paraId="50D7A037" w14:textId="77777777" w:rsidR="004C4470" w:rsidRPr="00DA4323" w:rsidRDefault="004C4470" w:rsidP="00EF5411">
      <w:pPr>
        <w:pStyle w:val="ListParagraph"/>
        <w:numPr>
          <w:ilvl w:val="0"/>
          <w:numId w:val="5"/>
        </w:numPr>
        <w:snapToGrid w:val="0"/>
        <w:spacing w:after="120"/>
        <w:ind w:left="1276" w:hanging="284"/>
        <w:contextualSpacing w:val="0"/>
        <w:rPr>
          <w:rFonts w:ascii="Avenir Book" w:hAnsi="Avenir Book" w:cstheme="minorHAnsi"/>
          <w:sz w:val="22"/>
          <w:szCs w:val="22"/>
        </w:rPr>
      </w:pPr>
      <w:r w:rsidRPr="00DA4323">
        <w:rPr>
          <w:rFonts w:ascii="Avenir Book" w:hAnsi="Avenir Book"/>
          <w:sz w:val="22"/>
          <w:szCs w:val="22"/>
        </w:rPr>
        <w:t xml:space="preserve">Bullying and harassment:  Does bullying and harassment have a gendered component, such as sexual harassment, threats of rape, derogatory gendered comments regarding beauty and appearance? Are these identified as gendered disability violence and linked to gender-based violence responses? How is gendered disability bullying and harassment addressed in school policies or educational curricula aimed at countering gender inequality, gender bias and / or gender-based violence? </w:t>
      </w:r>
    </w:p>
    <w:p w14:paraId="7B2A2D1A" w14:textId="4C42DBB4" w:rsidR="004C4470" w:rsidRPr="00DA4323" w:rsidRDefault="004C4470" w:rsidP="00EF5411">
      <w:pPr>
        <w:pStyle w:val="ListParagraph"/>
        <w:numPr>
          <w:ilvl w:val="0"/>
          <w:numId w:val="5"/>
        </w:numPr>
        <w:snapToGrid w:val="0"/>
        <w:ind w:left="1276" w:hanging="284"/>
        <w:contextualSpacing w:val="0"/>
        <w:rPr>
          <w:rFonts w:ascii="Avenir Book" w:hAnsi="Avenir Book" w:cstheme="minorHAnsi"/>
          <w:sz w:val="22"/>
          <w:szCs w:val="22"/>
        </w:rPr>
      </w:pPr>
      <w:r w:rsidRPr="00DA4323">
        <w:rPr>
          <w:rFonts w:ascii="Avenir Book" w:hAnsi="Avenir Book" w:cstheme="minorHAnsi"/>
          <w:sz w:val="22"/>
          <w:szCs w:val="22"/>
        </w:rPr>
        <w:t xml:space="preserve">Diversity and inclusion: Are there </w:t>
      </w:r>
      <w:r w:rsidR="00F65525" w:rsidRPr="00DA4323">
        <w:rPr>
          <w:rFonts w:ascii="Avenir Book" w:hAnsi="Avenir Book" w:cstheme="minorHAnsi"/>
          <w:sz w:val="22"/>
          <w:szCs w:val="22"/>
        </w:rPr>
        <w:t xml:space="preserve">gendered </w:t>
      </w:r>
      <w:r w:rsidRPr="00DA4323">
        <w:rPr>
          <w:rFonts w:ascii="Avenir Book" w:hAnsi="Avenir Book" w:cstheme="minorHAnsi"/>
          <w:sz w:val="22"/>
          <w:szCs w:val="22"/>
        </w:rPr>
        <w:t xml:space="preserve">disability specific or disability inclusive diversity and inclusion programs for teachers and students with disability?  </w:t>
      </w:r>
    </w:p>
    <w:p w14:paraId="1C113775" w14:textId="77777777" w:rsidR="004C4470" w:rsidRPr="00DA4323" w:rsidRDefault="004C4470" w:rsidP="004C4470">
      <w:pPr>
        <w:snapToGrid w:val="0"/>
        <w:rPr>
          <w:rFonts w:ascii="Avenir Book" w:hAnsi="Avenir Book" w:cstheme="minorHAnsi"/>
          <w:sz w:val="22"/>
          <w:szCs w:val="22"/>
        </w:rPr>
      </w:pPr>
    </w:p>
    <w:p w14:paraId="5B50ED1F" w14:textId="476864A9" w:rsidR="002B2347" w:rsidRPr="00DA4323" w:rsidRDefault="006A7C04" w:rsidP="00EF5411">
      <w:pPr>
        <w:pStyle w:val="ListParagraph"/>
        <w:numPr>
          <w:ilvl w:val="1"/>
          <w:numId w:val="27"/>
        </w:numPr>
        <w:ind w:left="993" w:hanging="567"/>
        <w:rPr>
          <w:rFonts w:ascii="Avenir Book" w:hAnsi="Avenir Book" w:cstheme="minorHAnsi"/>
          <w:sz w:val="22"/>
          <w:szCs w:val="22"/>
        </w:rPr>
      </w:pPr>
      <w:r w:rsidRPr="00DA4323">
        <w:rPr>
          <w:rFonts w:ascii="Avenir Book" w:hAnsi="Avenir Book" w:cstheme="minorHAnsi"/>
          <w:sz w:val="22"/>
          <w:szCs w:val="22"/>
        </w:rPr>
        <w:t xml:space="preserve">The lack of </w:t>
      </w:r>
      <w:r w:rsidR="004C4470" w:rsidRPr="00DA4323">
        <w:rPr>
          <w:rFonts w:ascii="Avenir Book" w:hAnsi="Avenir Book" w:cstheme="minorHAnsi"/>
          <w:sz w:val="22"/>
          <w:szCs w:val="22"/>
        </w:rPr>
        <w:t>disaggregated data</w:t>
      </w:r>
      <w:r w:rsidR="002B2347" w:rsidRPr="00DA4323">
        <w:rPr>
          <w:rFonts w:ascii="Avenir Book" w:hAnsi="Avenir Book" w:cstheme="minorHAnsi"/>
          <w:sz w:val="22"/>
          <w:szCs w:val="22"/>
        </w:rPr>
        <w:t xml:space="preserve"> and </w:t>
      </w:r>
      <w:r w:rsidR="004C4470" w:rsidRPr="00DA4323">
        <w:rPr>
          <w:rFonts w:ascii="Avenir Book" w:hAnsi="Avenir Book" w:cstheme="minorHAnsi"/>
          <w:sz w:val="22"/>
          <w:szCs w:val="22"/>
        </w:rPr>
        <w:t>intersectional research</w:t>
      </w:r>
      <w:r w:rsidRPr="00DA4323">
        <w:rPr>
          <w:rFonts w:ascii="Avenir Book" w:hAnsi="Avenir Book" w:cstheme="minorHAnsi"/>
          <w:sz w:val="22"/>
          <w:szCs w:val="22"/>
        </w:rPr>
        <w:t xml:space="preserve"> in the area of education and learning </w:t>
      </w:r>
      <w:r w:rsidR="004C4470" w:rsidRPr="00DA4323">
        <w:rPr>
          <w:rFonts w:ascii="Avenir Book" w:hAnsi="Avenir Book" w:cstheme="minorHAnsi"/>
          <w:sz w:val="22"/>
          <w:szCs w:val="22"/>
        </w:rPr>
        <w:t xml:space="preserve">severely limits the ability to analyse, address, prevent, and respond to the intersectional discrimination and inequality that underpins violence, abuse, neglect and exploitation experienced by women and girls with disability.  </w:t>
      </w:r>
    </w:p>
    <w:p w14:paraId="5B894477" w14:textId="302889B8" w:rsidR="004C4470" w:rsidRPr="00DA4323" w:rsidRDefault="004C4470" w:rsidP="00591FF2">
      <w:pPr>
        <w:snapToGrid w:val="0"/>
        <w:rPr>
          <w:rFonts w:ascii="Avenir Book" w:hAnsi="Avenir Book" w:cstheme="minorHAnsi"/>
          <w:sz w:val="22"/>
          <w:szCs w:val="22"/>
        </w:rPr>
      </w:pPr>
    </w:p>
    <w:p w14:paraId="73B67B59" w14:textId="77777777" w:rsidR="00BF4A0F" w:rsidRPr="009434AB" w:rsidRDefault="00BF4A0F" w:rsidP="00BF4A0F">
      <w:pPr>
        <w:rPr>
          <w:rFonts w:asciiTheme="minorHAnsi" w:hAnsiTheme="minorHAnsi" w:cstheme="minorHAnsi"/>
          <w:b/>
          <w:color w:val="AC1F79"/>
        </w:rPr>
      </w:pPr>
      <w:r w:rsidRPr="009434AB">
        <w:rPr>
          <w:rFonts w:asciiTheme="minorHAnsi" w:hAnsiTheme="minorHAnsi" w:cstheme="minorHAnsi"/>
          <w:b/>
          <w:color w:val="AC1F79"/>
        </w:rPr>
        <w:t>Recommendations</w:t>
      </w:r>
    </w:p>
    <w:p w14:paraId="3EF5B891" w14:textId="77777777" w:rsidR="00BF4A0F" w:rsidRPr="009434AB" w:rsidRDefault="00BF4A0F" w:rsidP="00591FF2">
      <w:pPr>
        <w:snapToGrid w:val="0"/>
        <w:rPr>
          <w:rFonts w:ascii="Avenir Book" w:hAnsi="Avenir Book" w:cstheme="minorHAnsi"/>
          <w:sz w:val="22"/>
          <w:szCs w:val="22"/>
        </w:rPr>
      </w:pPr>
    </w:p>
    <w:p w14:paraId="3C147594" w14:textId="684E95BD" w:rsidR="004C4470" w:rsidRPr="009434AB" w:rsidRDefault="00BE053D" w:rsidP="00EF5411">
      <w:pPr>
        <w:pStyle w:val="ListParagraph"/>
        <w:numPr>
          <w:ilvl w:val="0"/>
          <w:numId w:val="19"/>
        </w:numPr>
        <w:snapToGrid w:val="0"/>
        <w:ind w:left="426" w:hanging="426"/>
        <w:rPr>
          <w:rFonts w:ascii="Avenir Book" w:hAnsi="Avenir Book" w:cstheme="minorHAnsi"/>
          <w:sz w:val="22"/>
          <w:szCs w:val="22"/>
        </w:rPr>
      </w:pPr>
      <w:r w:rsidRPr="009434AB">
        <w:rPr>
          <w:rFonts w:ascii="Avenir Book" w:hAnsi="Avenir Book" w:cstheme="minorHAnsi"/>
          <w:sz w:val="22"/>
          <w:szCs w:val="22"/>
        </w:rPr>
        <w:t>Australia should c</w:t>
      </w:r>
      <w:r w:rsidR="00BF4A0F" w:rsidRPr="009434AB">
        <w:rPr>
          <w:rFonts w:ascii="Avenir Book" w:hAnsi="Avenir Book" w:cstheme="minorHAnsi"/>
          <w:sz w:val="22"/>
          <w:szCs w:val="22"/>
        </w:rPr>
        <w:t xml:space="preserve">ommission a comprehensive assessment, using intersectional research methodologies, on the situation and rights of women and girls with disability in Australia, in </w:t>
      </w:r>
      <w:r w:rsidR="00BF4A0F" w:rsidRPr="009434AB">
        <w:rPr>
          <w:rFonts w:ascii="Avenir Book" w:hAnsi="Avenir Book" w:cstheme="minorHAnsi"/>
          <w:sz w:val="22"/>
          <w:szCs w:val="22"/>
        </w:rPr>
        <w:lastRenderedPageBreak/>
        <w:t>order to establish a baseline of disaggregated data and intersectional evidence to measure progress toward implementation of CRPD in all areas, including in the area of education and learning.</w:t>
      </w:r>
    </w:p>
    <w:p w14:paraId="2AA7E9CA" w14:textId="77777777" w:rsidR="00FE09EF" w:rsidRPr="009434AB" w:rsidRDefault="00FE09EF" w:rsidP="00591FF2">
      <w:pPr>
        <w:pStyle w:val="ListParagraph"/>
        <w:snapToGrid w:val="0"/>
        <w:ind w:left="0"/>
        <w:rPr>
          <w:rFonts w:ascii="Avenir Book" w:hAnsi="Avenir Book" w:cstheme="minorHAnsi"/>
          <w:sz w:val="22"/>
          <w:szCs w:val="22"/>
        </w:rPr>
      </w:pPr>
    </w:p>
    <w:p w14:paraId="4451CB2E" w14:textId="35DCBA1F" w:rsidR="00BF4A0F" w:rsidRPr="009434AB" w:rsidRDefault="00BE053D" w:rsidP="00EF5411">
      <w:pPr>
        <w:pStyle w:val="ListParagraph"/>
        <w:numPr>
          <w:ilvl w:val="0"/>
          <w:numId w:val="19"/>
        </w:numPr>
        <w:snapToGrid w:val="0"/>
        <w:ind w:left="426" w:hanging="426"/>
        <w:rPr>
          <w:rFonts w:ascii="Avenir Book" w:hAnsi="Avenir Book" w:cstheme="minorHAnsi"/>
          <w:sz w:val="22"/>
          <w:szCs w:val="22"/>
        </w:rPr>
      </w:pPr>
      <w:r w:rsidRPr="009434AB">
        <w:rPr>
          <w:rFonts w:ascii="Avenir Book" w:hAnsi="Avenir Book" w:cstheme="minorHAnsi"/>
          <w:sz w:val="22"/>
          <w:szCs w:val="22"/>
        </w:rPr>
        <w:t>Australian governments should i</w:t>
      </w:r>
      <w:r w:rsidR="00BF4A0F" w:rsidRPr="009434AB">
        <w:rPr>
          <w:rFonts w:ascii="Avenir Book" w:hAnsi="Avenir Book" w:cstheme="minorHAnsi"/>
          <w:sz w:val="22"/>
          <w:szCs w:val="22"/>
        </w:rPr>
        <w:t>mplement a nationally consistent framework to enable the collection</w:t>
      </w:r>
      <w:r w:rsidR="003B1AFE" w:rsidRPr="009434AB">
        <w:rPr>
          <w:rFonts w:ascii="Avenir Book" w:hAnsi="Avenir Book" w:cstheme="minorHAnsi"/>
          <w:sz w:val="22"/>
          <w:szCs w:val="22"/>
        </w:rPr>
        <w:t xml:space="preserve">, </w:t>
      </w:r>
      <w:r w:rsidR="00BF4A0F" w:rsidRPr="009434AB">
        <w:rPr>
          <w:rFonts w:ascii="Avenir Book" w:hAnsi="Avenir Book" w:cstheme="minorHAnsi"/>
          <w:sz w:val="22"/>
          <w:szCs w:val="22"/>
        </w:rPr>
        <w:t xml:space="preserve">analysis </w:t>
      </w:r>
      <w:r w:rsidR="003B1AFE" w:rsidRPr="009434AB">
        <w:rPr>
          <w:rFonts w:ascii="Avenir Book" w:hAnsi="Avenir Book" w:cstheme="minorHAnsi"/>
          <w:sz w:val="22"/>
          <w:szCs w:val="22"/>
        </w:rPr>
        <w:t xml:space="preserve">and public reporting </w:t>
      </w:r>
      <w:r w:rsidR="00BF4A0F" w:rsidRPr="009434AB">
        <w:rPr>
          <w:rFonts w:ascii="Avenir Book" w:hAnsi="Avenir Book" w:cstheme="minorHAnsi"/>
          <w:sz w:val="22"/>
          <w:szCs w:val="22"/>
        </w:rPr>
        <w:t xml:space="preserve">of disaggregated data across all jurisdictions, on all forms of gendered disability violence, abuse, neglect and exploitation experienced by women and girls with disability. </w:t>
      </w:r>
    </w:p>
    <w:p w14:paraId="5947D298" w14:textId="77777777" w:rsidR="00BF4A0F" w:rsidRPr="009434AB" w:rsidRDefault="00BF4A0F" w:rsidP="00121931">
      <w:pPr>
        <w:spacing w:line="276" w:lineRule="auto"/>
        <w:rPr>
          <w:rFonts w:ascii="Avenir Book" w:hAnsi="Avenir Book" w:cs="Calibri"/>
          <w:sz w:val="22"/>
          <w:szCs w:val="22"/>
        </w:rPr>
      </w:pPr>
    </w:p>
    <w:p w14:paraId="23FD852B" w14:textId="77777777" w:rsidR="004E26B9" w:rsidRPr="009434AB" w:rsidRDefault="004E26B9" w:rsidP="004E26B9">
      <w:pPr>
        <w:spacing w:line="276" w:lineRule="auto"/>
        <w:rPr>
          <w:rFonts w:ascii="Avenir Book" w:hAnsi="Avenir Book" w:cs="Calibri"/>
          <w:sz w:val="22"/>
          <w:szCs w:val="22"/>
        </w:rPr>
      </w:pPr>
    </w:p>
    <w:p w14:paraId="21ECAAC5" w14:textId="77777777" w:rsidR="00A16838" w:rsidRPr="009434AB" w:rsidRDefault="00A16838" w:rsidP="00121931">
      <w:pPr>
        <w:spacing w:line="276" w:lineRule="auto"/>
        <w:rPr>
          <w:rFonts w:ascii="Avenir Book" w:hAnsi="Avenir Book" w:cs="Calibri"/>
          <w:sz w:val="22"/>
          <w:szCs w:val="22"/>
        </w:rPr>
      </w:pPr>
    </w:p>
    <w:p w14:paraId="7489EE29" w14:textId="61E49645" w:rsidR="004C4470" w:rsidRPr="009C52ED" w:rsidRDefault="00F82630" w:rsidP="009C52ED">
      <w:pPr>
        <w:rPr>
          <w:rFonts w:ascii="Calibri" w:hAnsi="Calibri" w:cs="Calibri"/>
          <w:b/>
          <w:color w:val="CC0099"/>
          <w:sz w:val="28"/>
        </w:rPr>
      </w:pPr>
      <w:r>
        <w:rPr>
          <w:rFonts w:ascii="Calibri" w:hAnsi="Calibri" w:cs="Calibri"/>
        </w:rPr>
        <w:br w:type="page"/>
      </w:r>
    </w:p>
    <w:p w14:paraId="67101615" w14:textId="15EF63D3" w:rsidR="00A16838" w:rsidRPr="00E84BC7" w:rsidRDefault="002367F3" w:rsidP="00EF5411">
      <w:pPr>
        <w:pStyle w:val="Heading2"/>
        <w:numPr>
          <w:ilvl w:val="0"/>
          <w:numId w:val="13"/>
        </w:numPr>
        <w:ind w:left="426" w:hanging="426"/>
        <w:jc w:val="left"/>
        <w:rPr>
          <w:rFonts w:ascii="Avenir Book" w:hAnsi="Avenir Book" w:cs="Calibri"/>
          <w:color w:val="AC1F79"/>
          <w:sz w:val="22"/>
        </w:rPr>
      </w:pPr>
      <w:bookmarkStart w:id="87" w:name="_Toc32759993"/>
      <w:r w:rsidRPr="00E84BC7">
        <w:rPr>
          <w:rFonts w:ascii="Avenir Book" w:hAnsi="Avenir Book" w:cs="Calibri"/>
          <w:color w:val="AC1F79"/>
        </w:rPr>
        <w:lastRenderedPageBreak/>
        <w:t xml:space="preserve">Building </w:t>
      </w:r>
      <w:r w:rsidR="0048565C" w:rsidRPr="00E84BC7">
        <w:rPr>
          <w:rFonts w:ascii="Avenir Book" w:hAnsi="Avenir Book" w:cs="Calibri"/>
          <w:color w:val="AC1F79"/>
        </w:rPr>
        <w:t>strengths</w:t>
      </w:r>
      <w:r w:rsidRPr="00E84BC7">
        <w:rPr>
          <w:rFonts w:ascii="Avenir Book" w:hAnsi="Avenir Book" w:cs="Calibri"/>
          <w:color w:val="AC1F79"/>
        </w:rPr>
        <w:t xml:space="preserve"> through inclusive education</w:t>
      </w:r>
      <w:bookmarkEnd w:id="87"/>
      <w:r w:rsidRPr="00E84BC7">
        <w:rPr>
          <w:rFonts w:ascii="Avenir Book" w:hAnsi="Avenir Book" w:cs="Calibri"/>
          <w:color w:val="AC1F79"/>
        </w:rPr>
        <w:t xml:space="preserve"> </w:t>
      </w:r>
    </w:p>
    <w:p w14:paraId="30043E12" w14:textId="4B4E294C" w:rsidR="002367F3" w:rsidRPr="00E84BC7" w:rsidRDefault="002367F3" w:rsidP="004E26B9">
      <w:pPr>
        <w:snapToGrid w:val="0"/>
        <w:rPr>
          <w:rFonts w:ascii="Avenir Book" w:hAnsi="Avenir Book" w:cstheme="minorHAnsi"/>
          <w:b/>
          <w:sz w:val="22"/>
          <w:szCs w:val="22"/>
        </w:rPr>
      </w:pPr>
    </w:p>
    <w:p w14:paraId="2DCE09D6" w14:textId="35DC9218"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Inclusive education</w:t>
      </w:r>
      <w:r w:rsidR="009E1E7B" w:rsidRPr="00E84BC7">
        <w:rPr>
          <w:rFonts w:ascii="Avenir Book" w:hAnsi="Avenir Book" w:cstheme="minorHAnsi"/>
          <w:sz w:val="22"/>
          <w:szCs w:val="22"/>
        </w:rPr>
        <w:t xml:space="preserve"> </w:t>
      </w:r>
      <w:r w:rsidRPr="00E84BC7">
        <w:rPr>
          <w:rFonts w:ascii="Avenir Book" w:hAnsi="Avenir Book" w:cstheme="minorHAnsi"/>
          <w:sz w:val="22"/>
          <w:szCs w:val="22"/>
        </w:rPr>
        <w:t xml:space="preserve">has a key role in facilitating the social transformation required to address the underpinning drivers of violence, abuse, neglect and exploitation against people with disability. It would end educational neglect, </w:t>
      </w:r>
      <w:r w:rsidR="009B584C" w:rsidRPr="00E84BC7">
        <w:rPr>
          <w:rFonts w:ascii="Avenir Book" w:hAnsi="Avenir Book" w:cstheme="minorHAnsi"/>
          <w:sz w:val="22"/>
          <w:szCs w:val="22"/>
        </w:rPr>
        <w:t>and</w:t>
      </w:r>
      <w:r w:rsidRPr="00E84BC7">
        <w:rPr>
          <w:rFonts w:ascii="Avenir Book" w:hAnsi="Avenir Book" w:cstheme="minorHAnsi"/>
          <w:sz w:val="22"/>
          <w:szCs w:val="22"/>
        </w:rPr>
        <w:t xml:space="preserve"> also challenge ableism and the stereotypes, prejudices, inequality, discrimination and harmful practices that arise from ableism. </w:t>
      </w:r>
    </w:p>
    <w:p w14:paraId="69DD7164" w14:textId="77777777" w:rsidR="00867C3B" w:rsidRPr="00E84BC7" w:rsidRDefault="00867C3B" w:rsidP="00263664">
      <w:pPr>
        <w:pStyle w:val="ListParagraph"/>
        <w:snapToGrid w:val="0"/>
        <w:ind w:left="0"/>
        <w:rPr>
          <w:rFonts w:ascii="Avenir Book" w:hAnsi="Avenir Book" w:cstheme="minorHAnsi"/>
          <w:sz w:val="22"/>
          <w:szCs w:val="22"/>
        </w:rPr>
      </w:pPr>
    </w:p>
    <w:p w14:paraId="4B099E93" w14:textId="323F4B2C" w:rsidR="00847BCB" w:rsidRPr="00E84BC7" w:rsidRDefault="0090137E" w:rsidP="00EF5411">
      <w:pPr>
        <w:pStyle w:val="ListParagraph"/>
        <w:numPr>
          <w:ilvl w:val="1"/>
          <w:numId w:val="28"/>
        </w:numPr>
        <w:snapToGrid w:val="0"/>
        <w:spacing w:after="120"/>
        <w:ind w:left="992" w:hanging="567"/>
        <w:contextualSpacing w:val="0"/>
        <w:rPr>
          <w:rFonts w:ascii="Avenir Book" w:hAnsi="Avenir Book" w:cstheme="minorHAnsi"/>
          <w:sz w:val="22"/>
          <w:szCs w:val="22"/>
        </w:rPr>
      </w:pPr>
      <w:r w:rsidRPr="00E84BC7">
        <w:rPr>
          <w:rFonts w:ascii="Avenir Book" w:hAnsi="Avenir Book" w:cstheme="minorHAnsi"/>
          <w:sz w:val="22"/>
          <w:szCs w:val="22"/>
        </w:rPr>
        <w:t xml:space="preserve">A key aspect </w:t>
      </w:r>
      <w:r w:rsidR="009E1E7B" w:rsidRPr="00E84BC7">
        <w:rPr>
          <w:rFonts w:ascii="Avenir Book" w:hAnsi="Avenir Book" w:cstheme="minorHAnsi"/>
          <w:sz w:val="22"/>
          <w:szCs w:val="22"/>
        </w:rPr>
        <w:t>of this social transformation is building the confidence, knowledge and skills of people with disability</w:t>
      </w:r>
      <w:r w:rsidR="00847BCB" w:rsidRPr="00E84BC7">
        <w:rPr>
          <w:rFonts w:ascii="Avenir Book" w:hAnsi="Avenir Book" w:cstheme="minorHAnsi"/>
          <w:sz w:val="22"/>
          <w:szCs w:val="22"/>
        </w:rPr>
        <w:t>, including women and girls:</w:t>
      </w:r>
    </w:p>
    <w:p w14:paraId="43F51B4A" w14:textId="77777777" w:rsidR="00847BCB" w:rsidRPr="00E84BC7" w:rsidRDefault="009E1E7B" w:rsidP="00EF5411">
      <w:pPr>
        <w:pStyle w:val="ListParagraph"/>
        <w:numPr>
          <w:ilvl w:val="0"/>
          <w:numId w:val="7"/>
        </w:numPr>
        <w:snapToGrid w:val="0"/>
        <w:ind w:left="1418" w:hanging="425"/>
        <w:rPr>
          <w:rFonts w:ascii="Avenir Book" w:hAnsi="Avenir Book" w:cstheme="minorHAnsi"/>
          <w:sz w:val="22"/>
          <w:szCs w:val="22"/>
        </w:rPr>
      </w:pPr>
      <w:r w:rsidRPr="00E84BC7">
        <w:rPr>
          <w:rFonts w:ascii="Avenir Book" w:hAnsi="Avenir Book" w:cstheme="minorHAnsi"/>
          <w:sz w:val="22"/>
          <w:szCs w:val="22"/>
        </w:rPr>
        <w:t xml:space="preserve">to increase active </w:t>
      </w:r>
      <w:r w:rsidR="0090137E" w:rsidRPr="00E84BC7">
        <w:rPr>
          <w:rFonts w:ascii="Avenir Book" w:hAnsi="Avenir Book" w:cstheme="minorHAnsi"/>
          <w:sz w:val="22"/>
          <w:szCs w:val="22"/>
        </w:rPr>
        <w:t>and meaningful participation</w:t>
      </w:r>
      <w:r w:rsidRPr="00E84BC7">
        <w:rPr>
          <w:rFonts w:ascii="Avenir Book" w:hAnsi="Avenir Book" w:cstheme="minorHAnsi"/>
          <w:sz w:val="22"/>
          <w:szCs w:val="22"/>
        </w:rPr>
        <w:t xml:space="preserve"> in decision-making </w:t>
      </w:r>
      <w:r w:rsidR="00DB340C" w:rsidRPr="00E84BC7">
        <w:rPr>
          <w:rFonts w:ascii="Avenir Book" w:hAnsi="Avenir Book" w:cstheme="minorHAnsi"/>
          <w:sz w:val="22"/>
          <w:szCs w:val="22"/>
        </w:rPr>
        <w:t>in all aspects of their lives</w:t>
      </w:r>
      <w:r w:rsidR="00847BCB" w:rsidRPr="00E84BC7">
        <w:rPr>
          <w:rFonts w:ascii="Avenir Book" w:hAnsi="Avenir Book" w:cstheme="minorHAnsi"/>
          <w:sz w:val="22"/>
          <w:szCs w:val="22"/>
        </w:rPr>
        <w:t>;</w:t>
      </w:r>
      <w:r w:rsidR="00DB340C" w:rsidRPr="00E84BC7">
        <w:rPr>
          <w:rFonts w:ascii="Avenir Book" w:hAnsi="Avenir Book" w:cstheme="minorHAnsi"/>
          <w:sz w:val="22"/>
          <w:szCs w:val="22"/>
        </w:rPr>
        <w:t xml:space="preserve"> </w:t>
      </w:r>
      <w:r w:rsidRPr="00E84BC7">
        <w:rPr>
          <w:rFonts w:ascii="Avenir Book" w:hAnsi="Avenir Book" w:cstheme="minorHAnsi"/>
          <w:sz w:val="22"/>
          <w:szCs w:val="22"/>
        </w:rPr>
        <w:t xml:space="preserve">and </w:t>
      </w:r>
    </w:p>
    <w:p w14:paraId="45A8BE1D" w14:textId="306ECF81" w:rsidR="000275CB" w:rsidRPr="00E84BC7" w:rsidRDefault="009E1E7B" w:rsidP="00EF5411">
      <w:pPr>
        <w:pStyle w:val="ListParagraph"/>
        <w:numPr>
          <w:ilvl w:val="0"/>
          <w:numId w:val="7"/>
        </w:numPr>
        <w:snapToGrid w:val="0"/>
        <w:ind w:left="1418" w:hanging="425"/>
        <w:rPr>
          <w:rFonts w:ascii="Avenir Book" w:hAnsi="Avenir Book" w:cstheme="minorHAnsi"/>
          <w:sz w:val="22"/>
          <w:szCs w:val="22"/>
        </w:rPr>
      </w:pPr>
      <w:r w:rsidRPr="00E84BC7">
        <w:rPr>
          <w:rFonts w:ascii="Avenir Book" w:hAnsi="Avenir Book" w:cstheme="minorHAnsi"/>
          <w:sz w:val="22"/>
          <w:szCs w:val="22"/>
        </w:rPr>
        <w:t xml:space="preserve">in understanding </w:t>
      </w:r>
      <w:r w:rsidR="009B584C" w:rsidRPr="00E84BC7">
        <w:rPr>
          <w:rFonts w:ascii="Avenir Book" w:hAnsi="Avenir Book" w:cstheme="minorHAnsi"/>
          <w:sz w:val="22"/>
          <w:szCs w:val="22"/>
        </w:rPr>
        <w:t xml:space="preserve">the right to </w:t>
      </w:r>
      <w:r w:rsidRPr="00E84BC7">
        <w:rPr>
          <w:rFonts w:ascii="Avenir Book" w:hAnsi="Avenir Book" w:cstheme="minorHAnsi"/>
          <w:sz w:val="22"/>
          <w:szCs w:val="22"/>
        </w:rPr>
        <w:t>bodily integrity</w:t>
      </w:r>
      <w:r w:rsidR="00DB340C" w:rsidRPr="00E84BC7">
        <w:rPr>
          <w:rFonts w:ascii="Avenir Book" w:hAnsi="Avenir Book" w:cstheme="minorHAnsi"/>
          <w:sz w:val="22"/>
          <w:szCs w:val="22"/>
        </w:rPr>
        <w:t xml:space="preserve"> and </w:t>
      </w:r>
      <w:r w:rsidR="009B584C" w:rsidRPr="00E84BC7">
        <w:rPr>
          <w:rFonts w:ascii="Avenir Book" w:hAnsi="Avenir Book" w:cstheme="minorHAnsi"/>
          <w:sz w:val="22"/>
          <w:szCs w:val="22"/>
        </w:rPr>
        <w:t xml:space="preserve">to be free from </w:t>
      </w:r>
      <w:r w:rsidR="00DB340C" w:rsidRPr="00E84BC7">
        <w:rPr>
          <w:rFonts w:ascii="Avenir Book" w:hAnsi="Avenir Book" w:cstheme="minorHAnsi"/>
          <w:sz w:val="22"/>
          <w:szCs w:val="22"/>
        </w:rPr>
        <w:t>violence, abuse, neglect and exploitation</w:t>
      </w:r>
      <w:r w:rsidRPr="00E84BC7">
        <w:rPr>
          <w:rFonts w:ascii="Avenir Book" w:hAnsi="Avenir Book" w:cstheme="minorHAnsi"/>
          <w:sz w:val="22"/>
          <w:szCs w:val="22"/>
        </w:rPr>
        <w:t xml:space="preserve">. </w:t>
      </w:r>
    </w:p>
    <w:p w14:paraId="545C33A7" w14:textId="2774CE52" w:rsidR="002367F3" w:rsidRPr="00E84BC7" w:rsidRDefault="002367F3" w:rsidP="00263664">
      <w:pPr>
        <w:snapToGrid w:val="0"/>
        <w:ind w:left="567" w:hanging="567"/>
        <w:rPr>
          <w:rFonts w:ascii="Avenir Book" w:hAnsi="Avenir Book" w:cstheme="minorHAnsi"/>
          <w:sz w:val="22"/>
          <w:szCs w:val="22"/>
        </w:rPr>
      </w:pPr>
    </w:p>
    <w:p w14:paraId="3DFA33FA" w14:textId="1E6F7B22" w:rsidR="002E53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Many forms of violence, abuse, neglect and exploitation perpetrated against people with disability are the result of denial or limitations of legal capacity in contravention of article 12 of the CRPD.</w:t>
      </w:r>
      <w:r w:rsidR="00741557" w:rsidRPr="00E84BC7">
        <w:rPr>
          <w:rStyle w:val="FootnoteReference"/>
          <w:rFonts w:ascii="Avenir Book" w:hAnsi="Avenir Book" w:cstheme="minorHAnsi"/>
          <w:sz w:val="22"/>
          <w:szCs w:val="22"/>
        </w:rPr>
        <w:footnoteReference w:id="86"/>
      </w:r>
      <w:r w:rsidRPr="00E84BC7">
        <w:rPr>
          <w:rFonts w:ascii="Avenir Book" w:hAnsi="Avenir Book" w:cstheme="minorHAnsi"/>
          <w:sz w:val="22"/>
          <w:szCs w:val="22"/>
        </w:rPr>
        <w:t xml:space="preserve"> This is particularly the situation for women and girls with disability who </w:t>
      </w:r>
      <w:r w:rsidR="002E53F3" w:rsidRPr="00E84BC7">
        <w:rPr>
          <w:rFonts w:ascii="Avenir Book" w:hAnsi="Avenir Book" w:cstheme="minorHAnsi"/>
          <w:sz w:val="22"/>
          <w:szCs w:val="22"/>
        </w:rPr>
        <w:t xml:space="preserve">can more often experience denial of legal capacity and </w:t>
      </w:r>
      <w:r w:rsidRPr="00E84BC7">
        <w:rPr>
          <w:rFonts w:ascii="Avenir Book" w:hAnsi="Avenir Book" w:cstheme="minorHAnsi"/>
          <w:sz w:val="22"/>
          <w:szCs w:val="22"/>
        </w:rPr>
        <w:t>experience harmful practices</w:t>
      </w:r>
      <w:r w:rsidR="002E53F3" w:rsidRPr="00E84BC7">
        <w:rPr>
          <w:rFonts w:ascii="Avenir Book" w:hAnsi="Avenir Book" w:cstheme="minorHAnsi"/>
          <w:sz w:val="22"/>
          <w:szCs w:val="22"/>
        </w:rPr>
        <w:t xml:space="preserve"> as a result.</w:t>
      </w:r>
      <w:r w:rsidR="002E53F3" w:rsidRPr="00E84BC7">
        <w:rPr>
          <w:rStyle w:val="FootnoteReference"/>
          <w:rFonts w:ascii="Avenir Book" w:hAnsi="Avenir Book" w:cstheme="minorHAnsi"/>
          <w:sz w:val="22"/>
          <w:szCs w:val="22"/>
        </w:rPr>
        <w:footnoteReference w:id="87"/>
      </w:r>
    </w:p>
    <w:p w14:paraId="35D37702" w14:textId="77777777" w:rsidR="00867C3B" w:rsidRPr="00E84BC7" w:rsidRDefault="00867C3B" w:rsidP="00263664">
      <w:pPr>
        <w:pStyle w:val="ListParagraph"/>
        <w:snapToGrid w:val="0"/>
        <w:ind w:left="0"/>
        <w:rPr>
          <w:rFonts w:ascii="Avenir Book" w:hAnsi="Avenir Book" w:cstheme="minorHAnsi"/>
          <w:sz w:val="22"/>
          <w:szCs w:val="22"/>
        </w:rPr>
      </w:pPr>
    </w:p>
    <w:p w14:paraId="3394A457" w14:textId="77777777" w:rsidR="00867C3B"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Article 12 requires a shift from making decisions on behalf of people with disability </w:t>
      </w:r>
      <w:r w:rsidR="00DB340C" w:rsidRPr="00E84BC7">
        <w:rPr>
          <w:rFonts w:ascii="Avenir Book" w:hAnsi="Avenir Book" w:cstheme="minorHAnsi"/>
          <w:sz w:val="22"/>
          <w:szCs w:val="22"/>
        </w:rPr>
        <w:t xml:space="preserve">in their ‘best interests’ </w:t>
      </w:r>
      <w:r w:rsidRPr="00E84BC7">
        <w:rPr>
          <w:rFonts w:ascii="Avenir Book" w:hAnsi="Avenir Book" w:cstheme="minorHAnsi"/>
          <w:sz w:val="22"/>
          <w:szCs w:val="22"/>
        </w:rPr>
        <w:t xml:space="preserve">to providing support for people with disability to express their own </w:t>
      </w:r>
      <w:r w:rsidR="00DB340C" w:rsidRPr="00E84BC7">
        <w:rPr>
          <w:rFonts w:ascii="Avenir Book" w:hAnsi="Avenir Book" w:cstheme="minorHAnsi"/>
          <w:sz w:val="22"/>
          <w:szCs w:val="22"/>
        </w:rPr>
        <w:t>‘</w:t>
      </w:r>
      <w:r w:rsidRPr="00E84BC7">
        <w:rPr>
          <w:rFonts w:ascii="Avenir Book" w:hAnsi="Avenir Book" w:cstheme="minorHAnsi"/>
          <w:sz w:val="22"/>
          <w:szCs w:val="22"/>
        </w:rPr>
        <w:t>will and preference</w:t>
      </w:r>
      <w:r w:rsidR="00DB340C" w:rsidRPr="00E84BC7">
        <w:rPr>
          <w:rFonts w:ascii="Avenir Book" w:hAnsi="Avenir Book" w:cstheme="minorHAnsi"/>
          <w:sz w:val="22"/>
          <w:szCs w:val="22"/>
        </w:rPr>
        <w:t xml:space="preserve">’.  </w:t>
      </w:r>
      <w:r w:rsidRPr="00E84BC7">
        <w:rPr>
          <w:rFonts w:ascii="Avenir Book" w:hAnsi="Avenir Book" w:cstheme="minorHAnsi"/>
          <w:sz w:val="22"/>
          <w:szCs w:val="22"/>
        </w:rPr>
        <w:t>This shift from substitute decision-making to supported decision-making provides people with disability with “the ability to assert, exercise and enforce” their human rights as articulated in the CRPD.</w:t>
      </w:r>
      <w:r w:rsidR="00DB340C" w:rsidRPr="00E84BC7">
        <w:rPr>
          <w:rStyle w:val="FootnoteReference"/>
          <w:rFonts w:ascii="Avenir Book" w:hAnsi="Avenir Book" w:cstheme="minorHAnsi"/>
          <w:sz w:val="22"/>
          <w:szCs w:val="22"/>
        </w:rPr>
        <w:footnoteReference w:id="88"/>
      </w:r>
      <w:r w:rsidRPr="00E84BC7">
        <w:rPr>
          <w:rFonts w:ascii="Avenir Book" w:hAnsi="Avenir Book" w:cstheme="minorHAnsi"/>
          <w:sz w:val="22"/>
          <w:szCs w:val="22"/>
        </w:rPr>
        <w:t xml:space="preserve"> </w:t>
      </w:r>
    </w:p>
    <w:p w14:paraId="687164B6" w14:textId="77777777" w:rsidR="00867C3B" w:rsidRPr="00E84BC7" w:rsidRDefault="00867C3B" w:rsidP="00263664">
      <w:pPr>
        <w:pStyle w:val="ListParagraph"/>
        <w:ind w:left="0"/>
        <w:rPr>
          <w:rFonts w:ascii="Avenir Book" w:hAnsi="Avenir Book" w:cstheme="minorHAnsi"/>
          <w:sz w:val="22"/>
          <w:szCs w:val="22"/>
        </w:rPr>
      </w:pPr>
    </w:p>
    <w:p w14:paraId="7036707F" w14:textId="14AFD459"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 For children with disability, this requires recognising the</w:t>
      </w:r>
      <w:r w:rsidR="009B584C" w:rsidRPr="00E84BC7">
        <w:rPr>
          <w:rFonts w:ascii="Avenir Book" w:hAnsi="Avenir Book" w:cstheme="minorHAnsi"/>
          <w:sz w:val="22"/>
          <w:szCs w:val="22"/>
        </w:rPr>
        <w:t>ir</w:t>
      </w:r>
      <w:r w:rsidRPr="00E84BC7">
        <w:rPr>
          <w:rFonts w:ascii="Avenir Book" w:hAnsi="Avenir Book" w:cstheme="minorHAnsi"/>
          <w:sz w:val="22"/>
          <w:szCs w:val="22"/>
        </w:rPr>
        <w:t xml:space="preserve"> “evolving capacities”</w:t>
      </w:r>
      <w:r w:rsidR="009B584C" w:rsidRPr="00E84BC7">
        <w:rPr>
          <w:rFonts w:ascii="Avenir Book" w:hAnsi="Avenir Book" w:cstheme="minorHAnsi"/>
          <w:sz w:val="22"/>
          <w:szCs w:val="22"/>
        </w:rPr>
        <w:t>,</w:t>
      </w:r>
      <w:r w:rsidR="00DB340C" w:rsidRPr="00E84BC7">
        <w:rPr>
          <w:rStyle w:val="FootnoteReference"/>
          <w:rFonts w:ascii="Avenir Book" w:hAnsi="Avenir Book" w:cstheme="minorHAnsi"/>
          <w:sz w:val="22"/>
          <w:szCs w:val="22"/>
        </w:rPr>
        <w:footnoteReference w:id="89"/>
      </w:r>
      <w:r w:rsidRPr="00E84BC7">
        <w:rPr>
          <w:rFonts w:ascii="Avenir Book" w:hAnsi="Avenir Book" w:cstheme="minorHAnsi"/>
          <w:sz w:val="22"/>
          <w:szCs w:val="22"/>
        </w:rPr>
        <w:t xml:space="preserve"> providing opportunities </w:t>
      </w:r>
      <w:r w:rsidR="00DB340C" w:rsidRPr="00E84BC7">
        <w:rPr>
          <w:rFonts w:ascii="Avenir Book" w:hAnsi="Avenir Book" w:cstheme="minorHAnsi"/>
          <w:sz w:val="22"/>
          <w:szCs w:val="22"/>
        </w:rPr>
        <w:t>for</w:t>
      </w:r>
      <w:r w:rsidRPr="00E84BC7">
        <w:rPr>
          <w:rFonts w:ascii="Avenir Book" w:hAnsi="Avenir Book" w:cstheme="minorHAnsi"/>
          <w:sz w:val="22"/>
          <w:szCs w:val="22"/>
        </w:rPr>
        <w:t xml:space="preserve"> children with disability to express their views freely and for these views to be “given due weight in accordance with their age and maturity</w:t>
      </w:r>
      <w:r w:rsidR="00DB340C" w:rsidRPr="00E84BC7">
        <w:rPr>
          <w:rFonts w:ascii="Avenir Book" w:hAnsi="Avenir Book" w:cstheme="minorHAnsi"/>
          <w:sz w:val="22"/>
          <w:szCs w:val="22"/>
        </w:rPr>
        <w:t>.</w:t>
      </w:r>
      <w:r w:rsidRPr="00E84BC7">
        <w:rPr>
          <w:rFonts w:ascii="Avenir Book" w:hAnsi="Avenir Book" w:cstheme="minorHAnsi"/>
          <w:sz w:val="22"/>
          <w:szCs w:val="22"/>
        </w:rPr>
        <w:t>”</w:t>
      </w:r>
      <w:r w:rsidR="00DB340C" w:rsidRPr="00E84BC7">
        <w:rPr>
          <w:rStyle w:val="FootnoteReference"/>
          <w:rFonts w:ascii="Avenir Book" w:hAnsi="Avenir Book" w:cstheme="minorHAnsi"/>
          <w:sz w:val="22"/>
          <w:szCs w:val="22"/>
        </w:rPr>
        <w:footnoteReference w:id="90"/>
      </w:r>
    </w:p>
    <w:p w14:paraId="09076134" w14:textId="77777777" w:rsidR="00867C3B" w:rsidRPr="00E84BC7" w:rsidRDefault="00867C3B" w:rsidP="00263664">
      <w:pPr>
        <w:pStyle w:val="ListParagraph"/>
        <w:ind w:left="0"/>
        <w:rPr>
          <w:rFonts w:ascii="Avenir Book" w:hAnsi="Avenir Book" w:cstheme="minorHAnsi"/>
          <w:sz w:val="22"/>
          <w:szCs w:val="22"/>
        </w:rPr>
      </w:pPr>
    </w:p>
    <w:p w14:paraId="0FF66EFA" w14:textId="528AE18D"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Inclusive education is a powerful </w:t>
      </w:r>
      <w:r w:rsidR="00CF2EA7" w:rsidRPr="00E84BC7">
        <w:rPr>
          <w:rFonts w:ascii="Avenir Book" w:hAnsi="Avenir Book" w:cstheme="minorHAnsi"/>
          <w:sz w:val="22"/>
          <w:szCs w:val="22"/>
        </w:rPr>
        <w:t>facilitator</w:t>
      </w:r>
      <w:r w:rsidRPr="00E84BC7">
        <w:rPr>
          <w:rFonts w:ascii="Avenir Book" w:hAnsi="Avenir Book" w:cstheme="minorHAnsi"/>
          <w:sz w:val="22"/>
          <w:szCs w:val="22"/>
        </w:rPr>
        <w:t xml:space="preserve"> </w:t>
      </w:r>
      <w:r w:rsidR="00CF2EA7" w:rsidRPr="00E84BC7">
        <w:rPr>
          <w:rFonts w:ascii="Avenir Book" w:hAnsi="Avenir Book" w:cstheme="minorHAnsi"/>
          <w:sz w:val="22"/>
          <w:szCs w:val="22"/>
        </w:rPr>
        <w:t>in</w:t>
      </w:r>
      <w:r w:rsidRPr="00E84BC7">
        <w:rPr>
          <w:rFonts w:ascii="Avenir Book" w:hAnsi="Avenir Book" w:cstheme="minorHAnsi"/>
          <w:sz w:val="22"/>
          <w:szCs w:val="22"/>
        </w:rPr>
        <w:t xml:space="preserve"> provid</w:t>
      </w:r>
      <w:r w:rsidR="00CF2EA7" w:rsidRPr="00E84BC7">
        <w:rPr>
          <w:rFonts w:ascii="Avenir Book" w:hAnsi="Avenir Book" w:cstheme="minorHAnsi"/>
          <w:sz w:val="22"/>
          <w:szCs w:val="22"/>
        </w:rPr>
        <w:t>ing</w:t>
      </w:r>
      <w:r w:rsidRPr="00E84BC7">
        <w:rPr>
          <w:rFonts w:ascii="Avenir Book" w:hAnsi="Avenir Book" w:cstheme="minorHAnsi"/>
          <w:sz w:val="22"/>
          <w:szCs w:val="22"/>
        </w:rPr>
        <w:t xml:space="preserve"> opportunities for students with disability to express their will and preference, to build “confidence to exercise legal capacity, providing the necessary support at all educational levels, including to diminish future requirements for support”.</w:t>
      </w:r>
      <w:r w:rsidR="00CF2EA7" w:rsidRPr="00E84BC7">
        <w:rPr>
          <w:rStyle w:val="FootnoteReference"/>
          <w:rFonts w:ascii="Avenir Book" w:hAnsi="Avenir Book" w:cstheme="minorHAnsi"/>
          <w:sz w:val="22"/>
          <w:szCs w:val="22"/>
        </w:rPr>
        <w:footnoteReference w:id="91"/>
      </w:r>
      <w:r w:rsidRPr="00E84BC7">
        <w:rPr>
          <w:rFonts w:ascii="Avenir Book" w:hAnsi="Avenir Book" w:cstheme="minorHAnsi"/>
          <w:sz w:val="22"/>
          <w:szCs w:val="22"/>
        </w:rPr>
        <w:t xml:space="preserve"> </w:t>
      </w:r>
    </w:p>
    <w:p w14:paraId="36446155" w14:textId="77777777" w:rsidR="00867C3B" w:rsidRPr="00E84BC7" w:rsidRDefault="00867C3B" w:rsidP="00263664">
      <w:pPr>
        <w:pStyle w:val="ListParagraph"/>
        <w:ind w:left="0"/>
        <w:rPr>
          <w:rFonts w:ascii="Avenir Book" w:hAnsi="Avenir Book" w:cstheme="minorHAnsi"/>
          <w:sz w:val="22"/>
          <w:szCs w:val="22"/>
        </w:rPr>
      </w:pPr>
    </w:p>
    <w:p w14:paraId="7998C5C2" w14:textId="1B0B4E73"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Inclusive education </w:t>
      </w:r>
      <w:r w:rsidR="008C0734" w:rsidRPr="00E84BC7">
        <w:rPr>
          <w:rFonts w:ascii="Avenir Book" w:hAnsi="Avenir Book" w:cstheme="minorHAnsi"/>
          <w:sz w:val="22"/>
          <w:szCs w:val="22"/>
        </w:rPr>
        <w:t xml:space="preserve">could also actively involve </w:t>
      </w:r>
      <w:r w:rsidRPr="00E84BC7">
        <w:rPr>
          <w:rFonts w:ascii="Avenir Book" w:hAnsi="Avenir Book" w:cstheme="minorHAnsi"/>
          <w:sz w:val="22"/>
          <w:szCs w:val="22"/>
        </w:rPr>
        <w:t xml:space="preserve">students with disability in the development of policies, including </w:t>
      </w:r>
      <w:r w:rsidR="008C0734" w:rsidRPr="00E84BC7">
        <w:rPr>
          <w:rFonts w:ascii="Avenir Book" w:hAnsi="Avenir Book" w:cstheme="minorHAnsi"/>
          <w:sz w:val="22"/>
          <w:szCs w:val="22"/>
        </w:rPr>
        <w:t xml:space="preserve">gendered, </w:t>
      </w:r>
      <w:r w:rsidRPr="00E84BC7">
        <w:rPr>
          <w:rFonts w:ascii="Avenir Book" w:hAnsi="Avenir Book" w:cstheme="minorHAnsi"/>
          <w:sz w:val="22"/>
          <w:szCs w:val="22"/>
        </w:rPr>
        <w:t xml:space="preserve">accessible reporting and protection </w:t>
      </w:r>
      <w:r w:rsidRPr="00E84BC7">
        <w:rPr>
          <w:rFonts w:ascii="Avenir Book" w:hAnsi="Avenir Book" w:cstheme="minorHAnsi"/>
          <w:sz w:val="22"/>
          <w:szCs w:val="22"/>
        </w:rPr>
        <w:lastRenderedPageBreak/>
        <w:t>mechanisms, to address harmful disciplinary measures, bullying and harassment, including cyberbullying and gendered disability violence.</w:t>
      </w:r>
      <w:r w:rsidR="008C0734" w:rsidRPr="00E84BC7">
        <w:rPr>
          <w:rStyle w:val="FootnoteReference"/>
          <w:rFonts w:ascii="Avenir Book" w:hAnsi="Avenir Book" w:cstheme="minorHAnsi"/>
          <w:sz w:val="22"/>
          <w:szCs w:val="22"/>
        </w:rPr>
        <w:footnoteReference w:id="92"/>
      </w:r>
      <w:r w:rsidRPr="00E84BC7">
        <w:rPr>
          <w:rFonts w:ascii="Avenir Book" w:hAnsi="Avenir Book" w:cstheme="minorHAnsi"/>
          <w:sz w:val="22"/>
          <w:szCs w:val="22"/>
        </w:rPr>
        <w:t xml:space="preserve"> </w:t>
      </w:r>
    </w:p>
    <w:p w14:paraId="2EF7887E" w14:textId="77777777" w:rsidR="00867C3B" w:rsidRPr="00E84BC7" w:rsidRDefault="00867C3B" w:rsidP="00263664">
      <w:pPr>
        <w:pStyle w:val="ListParagraph"/>
        <w:ind w:left="0"/>
        <w:rPr>
          <w:rFonts w:ascii="Avenir Book" w:hAnsi="Avenir Book" w:cstheme="minorHAnsi"/>
          <w:sz w:val="22"/>
          <w:szCs w:val="22"/>
        </w:rPr>
      </w:pPr>
    </w:p>
    <w:p w14:paraId="7614953B" w14:textId="32041274"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There </w:t>
      </w:r>
      <w:r w:rsidR="00AF3C03" w:rsidRPr="00E84BC7">
        <w:rPr>
          <w:rFonts w:ascii="Avenir Book" w:hAnsi="Avenir Book" w:cstheme="minorHAnsi"/>
          <w:sz w:val="22"/>
          <w:szCs w:val="22"/>
        </w:rPr>
        <w:t>is</w:t>
      </w:r>
      <w:r w:rsidRPr="00E84BC7">
        <w:rPr>
          <w:rFonts w:ascii="Avenir Book" w:hAnsi="Avenir Book" w:cstheme="minorHAnsi"/>
          <w:sz w:val="22"/>
          <w:szCs w:val="22"/>
        </w:rPr>
        <w:t xml:space="preserve"> research, reports and </w:t>
      </w:r>
      <w:r w:rsidR="00FD18F6" w:rsidRPr="00E84BC7">
        <w:rPr>
          <w:rFonts w:ascii="Avenir Book" w:hAnsi="Avenir Book" w:cstheme="minorHAnsi"/>
          <w:sz w:val="22"/>
          <w:szCs w:val="22"/>
        </w:rPr>
        <w:t>resources</w:t>
      </w:r>
      <w:r w:rsidRPr="00E84BC7">
        <w:rPr>
          <w:rFonts w:ascii="Avenir Book" w:hAnsi="Avenir Book" w:cstheme="minorHAnsi"/>
          <w:sz w:val="22"/>
          <w:szCs w:val="22"/>
        </w:rPr>
        <w:t xml:space="preserve"> aimed at reducing gender biases in curricula and educational culture, as well as the roll-out of respectful relationship programs aimed at challenging the gender stereotypes and gender inequality that underpins violence against women and girls.</w:t>
      </w:r>
      <w:r w:rsidR="009749A0" w:rsidRPr="00E84BC7">
        <w:rPr>
          <w:rStyle w:val="FootnoteReference"/>
          <w:rFonts w:ascii="Avenir Book" w:hAnsi="Avenir Book" w:cstheme="minorHAnsi"/>
          <w:sz w:val="22"/>
          <w:szCs w:val="22"/>
        </w:rPr>
        <w:footnoteReference w:id="93"/>
      </w:r>
      <w:r w:rsidRPr="00E84BC7">
        <w:rPr>
          <w:rFonts w:ascii="Avenir Book" w:hAnsi="Avenir Book" w:cstheme="minorHAnsi"/>
          <w:sz w:val="22"/>
          <w:szCs w:val="22"/>
        </w:rPr>
        <w:t xml:space="preserve">  </w:t>
      </w:r>
    </w:p>
    <w:p w14:paraId="23866139" w14:textId="77777777" w:rsidR="00867C3B" w:rsidRPr="00E84BC7" w:rsidRDefault="00867C3B" w:rsidP="00263664">
      <w:pPr>
        <w:pStyle w:val="ListParagraph"/>
        <w:ind w:left="0"/>
        <w:rPr>
          <w:rFonts w:ascii="Avenir Book" w:hAnsi="Avenir Book" w:cstheme="minorHAnsi"/>
          <w:sz w:val="22"/>
          <w:szCs w:val="22"/>
        </w:rPr>
      </w:pPr>
    </w:p>
    <w:p w14:paraId="40C6F261" w14:textId="7079E427"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However, women and girls with disability are not explicitly included nor is intersectional discrimination and inequality necessarily acknowledged in these </w:t>
      </w:r>
      <w:r w:rsidR="00D254B6" w:rsidRPr="00E84BC7">
        <w:rPr>
          <w:rFonts w:ascii="Avenir Book" w:hAnsi="Avenir Book" w:cstheme="minorHAnsi"/>
          <w:sz w:val="22"/>
          <w:szCs w:val="22"/>
        </w:rPr>
        <w:t>reports and resources</w:t>
      </w:r>
      <w:r w:rsidRPr="00E84BC7">
        <w:rPr>
          <w:rFonts w:ascii="Avenir Book" w:hAnsi="Avenir Book" w:cstheme="minorHAnsi"/>
          <w:sz w:val="22"/>
          <w:szCs w:val="22"/>
        </w:rPr>
        <w:t>. Women and girls with disability do not have positive portrayals “in curricula, books, media, popular culture and so on”.</w:t>
      </w:r>
      <w:r w:rsidR="00D254B6" w:rsidRPr="00E84BC7">
        <w:rPr>
          <w:rStyle w:val="FootnoteReference"/>
          <w:rFonts w:ascii="Avenir Book" w:hAnsi="Avenir Book" w:cstheme="minorHAnsi"/>
          <w:sz w:val="22"/>
          <w:szCs w:val="22"/>
        </w:rPr>
        <w:footnoteReference w:id="94"/>
      </w:r>
      <w:r w:rsidRPr="00E84BC7">
        <w:rPr>
          <w:rFonts w:ascii="Avenir Book" w:hAnsi="Avenir Book" w:cstheme="minorHAnsi"/>
          <w:sz w:val="22"/>
          <w:szCs w:val="22"/>
        </w:rPr>
        <w:t xml:space="preserve">  They are likely to be excluded from sex education and respectful relationship programs and not develop a sense of their own bodily integrity, what constitutes respectful and equal relationships and what constitutes violence, abuse, neglect and exploitation in educational and other environments.  They remain stereotyped as burdens and recipients of care, as passive, genderless, asexual or over-sexed and child-like regardless of age.</w:t>
      </w:r>
      <w:r w:rsidR="00D254B6" w:rsidRPr="00E84BC7">
        <w:rPr>
          <w:rStyle w:val="FootnoteReference"/>
          <w:rFonts w:ascii="Avenir Book" w:hAnsi="Avenir Book" w:cstheme="minorHAnsi"/>
          <w:sz w:val="22"/>
          <w:szCs w:val="22"/>
        </w:rPr>
        <w:footnoteReference w:id="95"/>
      </w:r>
      <w:r w:rsidRPr="00E84BC7">
        <w:rPr>
          <w:rFonts w:ascii="Avenir Book" w:hAnsi="Avenir Book" w:cstheme="minorHAnsi"/>
          <w:sz w:val="22"/>
          <w:szCs w:val="22"/>
        </w:rPr>
        <w:t xml:space="preserve"> As a result, “[h]armful gender and disability stereotypes combine to fuel discriminatory attitudes, policies and practices…” against women and girls with disability,</w:t>
      </w:r>
      <w:r w:rsidR="00D254B6" w:rsidRPr="00E84BC7">
        <w:rPr>
          <w:rStyle w:val="FootnoteReference"/>
          <w:rFonts w:ascii="Avenir Book" w:hAnsi="Avenir Book" w:cstheme="minorHAnsi"/>
          <w:sz w:val="22"/>
          <w:szCs w:val="22"/>
        </w:rPr>
        <w:footnoteReference w:id="96"/>
      </w:r>
      <w:r w:rsidR="00D254B6" w:rsidRPr="00E84BC7">
        <w:rPr>
          <w:rFonts w:ascii="Avenir Book" w:hAnsi="Avenir Book" w:cstheme="minorHAnsi"/>
          <w:sz w:val="22"/>
          <w:szCs w:val="22"/>
        </w:rPr>
        <w:t xml:space="preserve"> </w:t>
      </w:r>
      <w:r w:rsidRPr="00E84BC7">
        <w:rPr>
          <w:rFonts w:ascii="Avenir Book" w:hAnsi="Avenir Book" w:cstheme="minorHAnsi"/>
          <w:sz w:val="22"/>
          <w:szCs w:val="22"/>
        </w:rPr>
        <w:t>which makes them extremely vulnerable to violence, abuse, neglect and exploitation.</w:t>
      </w:r>
    </w:p>
    <w:p w14:paraId="269B43CB" w14:textId="77777777" w:rsidR="00867C3B" w:rsidRPr="00E84BC7" w:rsidRDefault="00867C3B" w:rsidP="00263664">
      <w:pPr>
        <w:pStyle w:val="ListParagraph"/>
        <w:ind w:left="0"/>
        <w:rPr>
          <w:rFonts w:ascii="Avenir Book" w:hAnsi="Avenir Book" w:cstheme="minorHAnsi"/>
          <w:sz w:val="22"/>
          <w:szCs w:val="22"/>
        </w:rPr>
      </w:pPr>
    </w:p>
    <w:p w14:paraId="4F3F6DB0" w14:textId="6317A5AF"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 xml:space="preserve">The few respectful relationships programs aimed at women with disability </w:t>
      </w:r>
      <w:r w:rsidR="00DD3050" w:rsidRPr="00E84BC7">
        <w:rPr>
          <w:rFonts w:ascii="Avenir Book" w:hAnsi="Avenir Book" w:cstheme="minorHAnsi"/>
          <w:sz w:val="22"/>
          <w:szCs w:val="22"/>
        </w:rPr>
        <w:t xml:space="preserve">and delivered by women with disability </w:t>
      </w:r>
      <w:r w:rsidRPr="00E84BC7">
        <w:rPr>
          <w:rFonts w:ascii="Avenir Book" w:hAnsi="Avenir Book" w:cstheme="minorHAnsi"/>
          <w:sz w:val="22"/>
          <w:szCs w:val="22"/>
        </w:rPr>
        <w:t>are invaluable.</w:t>
      </w:r>
      <w:r w:rsidR="00D254B6" w:rsidRPr="00E84BC7">
        <w:rPr>
          <w:rStyle w:val="FootnoteReference"/>
          <w:rFonts w:ascii="Avenir Book" w:hAnsi="Avenir Book" w:cstheme="minorHAnsi"/>
          <w:sz w:val="22"/>
          <w:szCs w:val="22"/>
        </w:rPr>
        <w:footnoteReference w:id="97"/>
      </w:r>
      <w:r w:rsidR="00D254B6" w:rsidRPr="00E84BC7">
        <w:rPr>
          <w:rFonts w:ascii="Avenir Book" w:hAnsi="Avenir Book" w:cstheme="minorHAnsi"/>
          <w:sz w:val="22"/>
          <w:szCs w:val="22"/>
        </w:rPr>
        <w:t xml:space="preserve"> </w:t>
      </w:r>
      <w:r w:rsidRPr="00E84BC7">
        <w:rPr>
          <w:rFonts w:ascii="Avenir Book" w:hAnsi="Avenir Book" w:cstheme="minorHAnsi"/>
          <w:sz w:val="22"/>
          <w:szCs w:val="22"/>
        </w:rPr>
        <w:t>However, these programs are usually focused on women rather than girls, they are specific to women with intellectual disability, and they focus on recognising and responding to domestic and family violence. They are often project based so not sustainable once funding runs out, and they are only available in limited locations. There are no comprehensive educational programs aimed at addressing both harmful gender and disability stereotypes for all women and girls with disability that cover the life span beginning from early childhood education, through primary and secondary schooling, in tertiary education and other learning environments.</w:t>
      </w:r>
    </w:p>
    <w:p w14:paraId="3C910B8D" w14:textId="77777777" w:rsidR="00867C3B" w:rsidRPr="00E84BC7" w:rsidRDefault="00867C3B" w:rsidP="00263664">
      <w:pPr>
        <w:pStyle w:val="ListParagraph"/>
        <w:ind w:left="0"/>
        <w:rPr>
          <w:rFonts w:ascii="Avenir Book" w:hAnsi="Avenir Book" w:cstheme="minorHAnsi"/>
          <w:sz w:val="22"/>
          <w:szCs w:val="22"/>
        </w:rPr>
      </w:pPr>
    </w:p>
    <w:p w14:paraId="2ABE471D" w14:textId="195EFD79" w:rsidR="002367F3" w:rsidRPr="00E84BC7" w:rsidRDefault="002367F3" w:rsidP="00EF5411">
      <w:pPr>
        <w:pStyle w:val="ListParagraph"/>
        <w:numPr>
          <w:ilvl w:val="1"/>
          <w:numId w:val="28"/>
        </w:numPr>
        <w:snapToGrid w:val="0"/>
        <w:ind w:left="993" w:hanging="567"/>
        <w:rPr>
          <w:rFonts w:ascii="Avenir Book" w:hAnsi="Avenir Book" w:cstheme="minorHAnsi"/>
          <w:sz w:val="22"/>
          <w:szCs w:val="22"/>
        </w:rPr>
      </w:pPr>
      <w:r w:rsidRPr="00E84BC7">
        <w:rPr>
          <w:rFonts w:ascii="Avenir Book" w:hAnsi="Avenir Book" w:cstheme="minorHAnsi"/>
          <w:sz w:val="22"/>
          <w:szCs w:val="22"/>
        </w:rPr>
        <w:t>A core feature of inclusive education is respect for and valuing of diversity.</w:t>
      </w:r>
      <w:r w:rsidR="00DD3050" w:rsidRPr="00E84BC7">
        <w:rPr>
          <w:rStyle w:val="FootnoteReference"/>
          <w:rFonts w:ascii="Avenir Book" w:hAnsi="Avenir Book" w:cstheme="minorHAnsi"/>
          <w:sz w:val="22"/>
          <w:szCs w:val="22"/>
        </w:rPr>
        <w:footnoteReference w:id="98"/>
      </w:r>
      <w:r w:rsidRPr="00E84BC7">
        <w:rPr>
          <w:rFonts w:ascii="Avenir Book" w:hAnsi="Avenir Book" w:cstheme="minorHAnsi"/>
          <w:sz w:val="22"/>
          <w:szCs w:val="22"/>
        </w:rPr>
        <w:t xml:space="preserve"> Programs to challenge the drivers of violence, abuse, neglect and exploitation – ableism, sexism, racism, </w:t>
      </w:r>
      <w:r w:rsidR="007B1830" w:rsidRPr="00E84BC7">
        <w:rPr>
          <w:rFonts w:ascii="Avenir Book" w:hAnsi="Avenir Book" w:cstheme="minorHAnsi"/>
          <w:sz w:val="22"/>
          <w:szCs w:val="22"/>
        </w:rPr>
        <w:t>homophobia</w:t>
      </w:r>
      <w:r w:rsidRPr="00E84BC7">
        <w:rPr>
          <w:rFonts w:ascii="Avenir Book" w:hAnsi="Avenir Book" w:cstheme="minorHAnsi"/>
          <w:sz w:val="22"/>
          <w:szCs w:val="22"/>
        </w:rPr>
        <w:t xml:space="preserve"> etc; disability and gender inequality and intersectional </w:t>
      </w:r>
      <w:r w:rsidRPr="00E84BC7">
        <w:rPr>
          <w:rFonts w:ascii="Avenir Book" w:hAnsi="Avenir Book" w:cstheme="minorHAnsi"/>
          <w:sz w:val="22"/>
          <w:szCs w:val="22"/>
        </w:rPr>
        <w:lastRenderedPageBreak/>
        <w:t xml:space="preserve">discrimination - should be central aspects of an inclusive education throughout the life span.   </w:t>
      </w:r>
    </w:p>
    <w:p w14:paraId="60BAE253" w14:textId="77777777" w:rsidR="002367F3" w:rsidRPr="00E84BC7" w:rsidRDefault="002367F3" w:rsidP="00263664">
      <w:pPr>
        <w:pStyle w:val="ListParagraph"/>
        <w:ind w:left="0"/>
        <w:rPr>
          <w:rFonts w:ascii="Avenir Book" w:hAnsi="Avenir Book" w:cstheme="minorHAnsi"/>
          <w:sz w:val="22"/>
          <w:szCs w:val="22"/>
        </w:rPr>
      </w:pPr>
    </w:p>
    <w:p w14:paraId="0CD19F68" w14:textId="77777777" w:rsidR="0005254A" w:rsidRPr="00E84BC7" w:rsidRDefault="0005254A" w:rsidP="0005254A">
      <w:pPr>
        <w:rPr>
          <w:rFonts w:ascii="Avenir Book" w:hAnsi="Avenir Book" w:cstheme="minorHAnsi"/>
          <w:b/>
          <w:color w:val="AC1F79"/>
        </w:rPr>
      </w:pPr>
      <w:r w:rsidRPr="00E84BC7">
        <w:rPr>
          <w:rFonts w:ascii="Avenir Book" w:hAnsi="Avenir Book" w:cstheme="minorHAnsi"/>
          <w:b/>
          <w:color w:val="AC1F79"/>
        </w:rPr>
        <w:t>Recommendations</w:t>
      </w:r>
    </w:p>
    <w:p w14:paraId="3E643B29" w14:textId="60DD1193" w:rsidR="00B45430" w:rsidRPr="00E84BC7" w:rsidRDefault="00B45430">
      <w:pPr>
        <w:rPr>
          <w:rFonts w:ascii="Avenir Book" w:hAnsi="Avenir Book" w:cs="Calibri"/>
          <w:color w:val="7030A0"/>
          <w:sz w:val="22"/>
          <w:szCs w:val="22"/>
        </w:rPr>
      </w:pPr>
    </w:p>
    <w:p w14:paraId="221F79C5" w14:textId="66EFA24D" w:rsidR="00E40E64" w:rsidRPr="00E84BC7" w:rsidRDefault="00BE053D" w:rsidP="00EF5411">
      <w:pPr>
        <w:pStyle w:val="ListParagraph"/>
        <w:numPr>
          <w:ilvl w:val="0"/>
          <w:numId w:val="20"/>
        </w:numPr>
        <w:snapToGrid w:val="0"/>
        <w:ind w:left="426" w:hanging="426"/>
        <w:rPr>
          <w:rFonts w:ascii="Avenir Book" w:hAnsi="Avenir Book" w:cs="Calibri"/>
          <w:color w:val="000000" w:themeColor="text1"/>
          <w:sz w:val="22"/>
          <w:szCs w:val="22"/>
        </w:rPr>
      </w:pPr>
      <w:r w:rsidRPr="00E84BC7">
        <w:rPr>
          <w:rFonts w:ascii="Avenir Book" w:hAnsi="Avenir Book" w:cs="Calibri"/>
          <w:color w:val="000000" w:themeColor="text1"/>
          <w:sz w:val="22"/>
          <w:szCs w:val="22"/>
        </w:rPr>
        <w:t>Australian governments should f</w:t>
      </w:r>
      <w:r w:rsidR="00E40E64" w:rsidRPr="00E84BC7">
        <w:rPr>
          <w:rFonts w:ascii="Avenir Book" w:hAnsi="Avenir Book" w:cs="Calibri"/>
          <w:color w:val="000000" w:themeColor="text1"/>
          <w:sz w:val="22"/>
          <w:szCs w:val="22"/>
        </w:rPr>
        <w:t xml:space="preserve">oster inclusive education policies and practices that actively allow children with disability, including girls with disability to express their will and preference and to participate in the development of educational policies. </w:t>
      </w:r>
    </w:p>
    <w:p w14:paraId="04FC1E5B" w14:textId="77777777" w:rsidR="00950EB8" w:rsidRPr="00E84BC7" w:rsidRDefault="00950EB8" w:rsidP="00263664">
      <w:pPr>
        <w:pStyle w:val="ListParagraph"/>
        <w:snapToGrid w:val="0"/>
        <w:ind w:left="0"/>
        <w:rPr>
          <w:rFonts w:ascii="Avenir Book" w:hAnsi="Avenir Book" w:cs="Calibri"/>
          <w:color w:val="000000" w:themeColor="text1"/>
          <w:sz w:val="22"/>
          <w:szCs w:val="22"/>
        </w:rPr>
      </w:pPr>
    </w:p>
    <w:p w14:paraId="78496434" w14:textId="2536D220" w:rsidR="00E40E64" w:rsidRPr="00E84BC7" w:rsidRDefault="00CD6641" w:rsidP="00EF5411">
      <w:pPr>
        <w:pStyle w:val="ListParagraph"/>
        <w:numPr>
          <w:ilvl w:val="0"/>
          <w:numId w:val="20"/>
        </w:numPr>
        <w:snapToGrid w:val="0"/>
        <w:spacing w:after="120"/>
        <w:ind w:left="425" w:hanging="425"/>
        <w:contextualSpacing w:val="0"/>
        <w:rPr>
          <w:rFonts w:ascii="Avenir Book" w:hAnsi="Avenir Book" w:cs="Calibri"/>
          <w:color w:val="000000" w:themeColor="text1"/>
          <w:sz w:val="22"/>
          <w:szCs w:val="22"/>
        </w:rPr>
      </w:pPr>
      <w:r w:rsidRPr="00E84BC7">
        <w:rPr>
          <w:rFonts w:ascii="Avenir Book" w:hAnsi="Avenir Book" w:cs="Calibri"/>
          <w:color w:val="000000" w:themeColor="text1"/>
          <w:sz w:val="22"/>
          <w:szCs w:val="22"/>
        </w:rPr>
        <w:t xml:space="preserve">As part of educational curricula, a comprehensive suite of educational programs should be developed </w:t>
      </w:r>
      <w:r w:rsidR="00BE053D" w:rsidRPr="00E84BC7">
        <w:rPr>
          <w:rFonts w:ascii="Avenir Book" w:hAnsi="Avenir Book" w:cs="Calibri"/>
          <w:color w:val="000000" w:themeColor="text1"/>
          <w:sz w:val="22"/>
          <w:szCs w:val="22"/>
        </w:rPr>
        <w:t xml:space="preserve">by Australian governments </w:t>
      </w:r>
      <w:r w:rsidRPr="00E84BC7">
        <w:rPr>
          <w:rFonts w:ascii="Avenir Book" w:hAnsi="Avenir Book" w:cs="Calibri"/>
          <w:color w:val="000000" w:themeColor="text1"/>
          <w:sz w:val="22"/>
          <w:szCs w:val="22"/>
        </w:rPr>
        <w:t>and delivered across the life span</w:t>
      </w:r>
      <w:r w:rsidR="00E40E64" w:rsidRPr="00E84BC7">
        <w:rPr>
          <w:rFonts w:ascii="Avenir Book" w:hAnsi="Avenir Book" w:cs="Calibri"/>
          <w:color w:val="000000" w:themeColor="text1"/>
          <w:sz w:val="22"/>
          <w:szCs w:val="22"/>
        </w:rPr>
        <w:t>, with the aim of:</w:t>
      </w:r>
    </w:p>
    <w:p w14:paraId="091149F0" w14:textId="77777777" w:rsidR="00E40E64" w:rsidRPr="00E84BC7" w:rsidRDefault="00E40E64" w:rsidP="00EF5411">
      <w:pPr>
        <w:pStyle w:val="ListParagraph"/>
        <w:numPr>
          <w:ilvl w:val="0"/>
          <w:numId w:val="21"/>
        </w:numPr>
        <w:ind w:left="993" w:hanging="567"/>
        <w:rPr>
          <w:rFonts w:ascii="Avenir Book" w:hAnsi="Avenir Book" w:cs="Calibri"/>
          <w:color w:val="000000" w:themeColor="text1"/>
          <w:sz w:val="22"/>
          <w:szCs w:val="22"/>
        </w:rPr>
      </w:pPr>
      <w:r w:rsidRPr="00E84BC7">
        <w:rPr>
          <w:rFonts w:ascii="Avenir Book" w:hAnsi="Avenir Book" w:cs="Calibri"/>
          <w:color w:val="000000" w:themeColor="text1"/>
          <w:sz w:val="22"/>
          <w:szCs w:val="22"/>
        </w:rPr>
        <w:t>Fostering and valuing diversity and inclusion;</w:t>
      </w:r>
    </w:p>
    <w:p w14:paraId="24148B3A" w14:textId="77777777" w:rsidR="00E40E64" w:rsidRPr="00E84BC7" w:rsidRDefault="00E40E64" w:rsidP="00EF5411">
      <w:pPr>
        <w:pStyle w:val="ListParagraph"/>
        <w:numPr>
          <w:ilvl w:val="0"/>
          <w:numId w:val="21"/>
        </w:numPr>
        <w:ind w:left="993" w:hanging="567"/>
        <w:rPr>
          <w:rFonts w:ascii="Avenir Book" w:hAnsi="Avenir Book" w:cs="Calibri"/>
          <w:color w:val="000000" w:themeColor="text1"/>
          <w:sz w:val="22"/>
          <w:szCs w:val="22"/>
        </w:rPr>
      </w:pPr>
      <w:r w:rsidRPr="00E84BC7">
        <w:rPr>
          <w:rFonts w:ascii="Avenir Book" w:hAnsi="Avenir Book" w:cs="Calibri"/>
          <w:color w:val="000000" w:themeColor="text1"/>
          <w:sz w:val="22"/>
          <w:szCs w:val="22"/>
        </w:rPr>
        <w:t>Challenging ableism and intersecting forms of inequality and discrimination, including for women and girls with disability;</w:t>
      </w:r>
    </w:p>
    <w:p w14:paraId="01691DA4" w14:textId="38A2D680" w:rsidR="00E40E64" w:rsidRPr="00E84BC7" w:rsidRDefault="00E40E64" w:rsidP="00EF5411">
      <w:pPr>
        <w:pStyle w:val="ListParagraph"/>
        <w:numPr>
          <w:ilvl w:val="0"/>
          <w:numId w:val="21"/>
        </w:numPr>
        <w:ind w:left="993" w:hanging="567"/>
        <w:rPr>
          <w:rFonts w:ascii="Avenir Book" w:hAnsi="Avenir Book" w:cs="Calibri"/>
          <w:color w:val="000000" w:themeColor="text1"/>
          <w:sz w:val="22"/>
          <w:szCs w:val="22"/>
        </w:rPr>
      </w:pPr>
      <w:r w:rsidRPr="00E84BC7">
        <w:rPr>
          <w:rFonts w:ascii="Avenir Book" w:hAnsi="Avenir Book" w:cs="Calibri"/>
          <w:color w:val="000000" w:themeColor="text1"/>
          <w:sz w:val="22"/>
          <w:szCs w:val="22"/>
        </w:rPr>
        <w:t>Building knowledge, skills and strengths in recognising rights to bodily integrity and to be free from violence, abuse, neglect and exploitation;</w:t>
      </w:r>
    </w:p>
    <w:p w14:paraId="5A0BAFA3" w14:textId="025FF1C0" w:rsidR="00E40E64" w:rsidRPr="00E84BC7" w:rsidRDefault="00E40E64" w:rsidP="00EF5411">
      <w:pPr>
        <w:pStyle w:val="ListParagraph"/>
        <w:numPr>
          <w:ilvl w:val="0"/>
          <w:numId w:val="21"/>
        </w:numPr>
        <w:ind w:left="993" w:hanging="567"/>
        <w:rPr>
          <w:rFonts w:ascii="Avenir Book" w:hAnsi="Avenir Book" w:cs="Calibri"/>
          <w:color w:val="000000" w:themeColor="text1"/>
          <w:sz w:val="22"/>
          <w:szCs w:val="22"/>
        </w:rPr>
      </w:pPr>
      <w:r w:rsidRPr="00E84BC7">
        <w:rPr>
          <w:rFonts w:ascii="Avenir Book" w:hAnsi="Avenir Book" w:cs="Calibri"/>
          <w:color w:val="000000" w:themeColor="text1"/>
          <w:sz w:val="22"/>
          <w:szCs w:val="22"/>
        </w:rPr>
        <w:t>Increasing opportunities and participation in decision-making and in speaking up about rights.</w:t>
      </w:r>
    </w:p>
    <w:p w14:paraId="23E82733" w14:textId="77777777" w:rsidR="00BE053D" w:rsidRPr="00E84BC7" w:rsidRDefault="00BE053D" w:rsidP="00BE053D">
      <w:pPr>
        <w:rPr>
          <w:rFonts w:ascii="Avenir Book" w:hAnsi="Avenir Book" w:cs="Calibri"/>
          <w:color w:val="000000" w:themeColor="text1"/>
          <w:sz w:val="22"/>
          <w:szCs w:val="22"/>
        </w:rPr>
      </w:pPr>
    </w:p>
    <w:p w14:paraId="22E4831B" w14:textId="77777777" w:rsidR="00E40E64" w:rsidRPr="00E84BC7" w:rsidRDefault="00E40E64" w:rsidP="00E40E64">
      <w:pPr>
        <w:rPr>
          <w:rFonts w:ascii="Avenir Book" w:hAnsi="Avenir Book" w:cs="Calibri"/>
          <w:color w:val="000000" w:themeColor="text1"/>
          <w:sz w:val="22"/>
          <w:szCs w:val="22"/>
        </w:rPr>
      </w:pPr>
    </w:p>
    <w:p w14:paraId="30D91846" w14:textId="00D2F6A5" w:rsidR="00D55076" w:rsidRPr="000367C6" w:rsidRDefault="004E26B9" w:rsidP="000367C6">
      <w:pPr>
        <w:rPr>
          <w:rFonts w:ascii="Calibri" w:eastAsiaTheme="minorHAnsi" w:hAnsi="Calibri" w:cs="Calibri"/>
          <w:b/>
          <w:color w:val="7030A0"/>
          <w:sz w:val="28"/>
        </w:rPr>
      </w:pPr>
      <w:r>
        <w:rPr>
          <w:rFonts w:ascii="Calibri" w:hAnsi="Calibri" w:cs="Calibri"/>
          <w:color w:val="7030A0"/>
        </w:rPr>
        <w:br w:type="page"/>
      </w:r>
    </w:p>
    <w:p w14:paraId="68C99FA8" w14:textId="4A2B901A" w:rsidR="002C05C3" w:rsidRPr="000840B9" w:rsidRDefault="002C05C3" w:rsidP="00EF5411">
      <w:pPr>
        <w:pStyle w:val="Heading2"/>
        <w:numPr>
          <w:ilvl w:val="0"/>
          <w:numId w:val="13"/>
        </w:numPr>
        <w:ind w:left="426" w:hanging="426"/>
        <w:jc w:val="left"/>
        <w:rPr>
          <w:rFonts w:ascii="Avenir Book" w:hAnsi="Avenir Book" w:cs="Calibri"/>
          <w:color w:val="AC1F79"/>
          <w:sz w:val="22"/>
        </w:rPr>
      </w:pPr>
      <w:bookmarkStart w:id="88" w:name="_Toc32759994"/>
      <w:r w:rsidRPr="000840B9">
        <w:rPr>
          <w:rFonts w:ascii="Avenir Book" w:hAnsi="Avenir Book" w:cs="Calibri"/>
          <w:color w:val="AC1F79"/>
        </w:rPr>
        <w:lastRenderedPageBreak/>
        <w:t>Appendix – Concluding comments from UN treaty bodies</w:t>
      </w:r>
      <w:bookmarkEnd w:id="88"/>
    </w:p>
    <w:p w14:paraId="7B939BB6" w14:textId="4EB0742D" w:rsidR="002C05C3" w:rsidRDefault="002C05C3" w:rsidP="00D55076">
      <w:pPr>
        <w:snapToGrid w:val="0"/>
        <w:rPr>
          <w:rFonts w:ascii="Avenir Book" w:hAnsi="Avenir Book" w:cstheme="minorHAnsi"/>
          <w:sz w:val="22"/>
          <w:szCs w:val="22"/>
        </w:rPr>
      </w:pPr>
    </w:p>
    <w:p w14:paraId="6265C3D4" w14:textId="36B87179" w:rsidR="00ED2AF6" w:rsidRDefault="00ED2AF6" w:rsidP="00D55076">
      <w:pPr>
        <w:snapToGrid w:val="0"/>
        <w:rPr>
          <w:rFonts w:ascii="Avenir Book" w:hAnsi="Avenir Book" w:cstheme="minorHAnsi"/>
          <w:sz w:val="22"/>
          <w:szCs w:val="22"/>
        </w:rPr>
      </w:pPr>
      <w:r>
        <w:rPr>
          <w:rFonts w:ascii="Avenir Book" w:hAnsi="Avenir Book" w:cstheme="minorHAnsi"/>
          <w:sz w:val="22"/>
          <w:szCs w:val="22"/>
        </w:rPr>
        <w:t xml:space="preserve">This section of the Submission is taken from the 2019 publication: </w:t>
      </w:r>
      <w:r w:rsidRPr="00ED2AF6">
        <w:rPr>
          <w:rFonts w:ascii="Avenir Book" w:hAnsi="Avenir Book" w:cstheme="minorHAnsi"/>
          <w:i/>
          <w:iCs/>
          <w:sz w:val="22"/>
          <w:szCs w:val="22"/>
        </w:rPr>
        <w:t>‘Disabled People’s Organisations Australia and the National Women’s Alliances, The Status of Women and Girls with Disability in Australia, Position Statement to the Commission on the Status of Women (CSW) Twenty-Fifth Anniversary of the Fourth World Conference on Women and the Beijing Declaration and Platform for Action 1995.’</w:t>
      </w:r>
      <w:r w:rsidRPr="00ED2AF6">
        <w:rPr>
          <w:rFonts w:ascii="Avenir Book" w:hAnsi="Avenir Book" w:cstheme="minorHAnsi"/>
          <w:sz w:val="22"/>
          <w:szCs w:val="22"/>
        </w:rPr>
        <w:t xml:space="preserve"> Women With Disabilities Australia, 2019. </w:t>
      </w:r>
      <w:r>
        <w:rPr>
          <w:rFonts w:ascii="Avenir Book" w:hAnsi="Avenir Book" w:cstheme="minorHAnsi"/>
          <w:sz w:val="22"/>
          <w:szCs w:val="22"/>
        </w:rPr>
        <w:t xml:space="preserve">Written by Carolyn Frohmader for and on behalf of WWDA and DPO Australia. </w:t>
      </w:r>
      <w:r w:rsidRPr="00ED2AF6">
        <w:rPr>
          <w:rFonts w:ascii="Avenir Book" w:hAnsi="Avenir Book" w:cstheme="minorHAnsi"/>
          <w:sz w:val="22"/>
          <w:szCs w:val="22"/>
        </w:rPr>
        <w:t xml:space="preserve">Available at: </w:t>
      </w:r>
      <w:hyperlink r:id="rId15" w:history="1">
        <w:r w:rsidRPr="00A832F1">
          <w:rPr>
            <w:rStyle w:val="Hyperlink"/>
            <w:rFonts w:ascii="Avenir Book" w:hAnsi="Avenir Book" w:cstheme="minorHAnsi"/>
            <w:sz w:val="22"/>
            <w:szCs w:val="22"/>
          </w:rPr>
          <w:t>http://wwda.org.au/wp-content/uploads/2019/12/The-Status-of-Women-and-Girls-with-Disability-Asutralia.pdf</w:t>
        </w:r>
      </w:hyperlink>
      <w:r>
        <w:rPr>
          <w:rFonts w:ascii="Avenir Book" w:hAnsi="Avenir Book" w:cstheme="minorHAnsi"/>
          <w:sz w:val="22"/>
          <w:szCs w:val="22"/>
        </w:rPr>
        <w:t xml:space="preserve"> </w:t>
      </w:r>
    </w:p>
    <w:p w14:paraId="7B82EF68" w14:textId="77777777" w:rsidR="00ED2AF6" w:rsidRPr="000840B9" w:rsidRDefault="00ED2AF6" w:rsidP="00D55076">
      <w:pPr>
        <w:snapToGrid w:val="0"/>
        <w:rPr>
          <w:rFonts w:ascii="Avenir Book" w:hAnsi="Avenir Book" w:cstheme="minorHAnsi"/>
          <w:sz w:val="22"/>
          <w:szCs w:val="22"/>
        </w:rPr>
      </w:pPr>
    </w:p>
    <w:p w14:paraId="138515DE" w14:textId="6543B301" w:rsidR="00D55076" w:rsidRPr="000840B9" w:rsidRDefault="00501882" w:rsidP="00EF5411">
      <w:pPr>
        <w:pStyle w:val="ListParagraph"/>
        <w:numPr>
          <w:ilvl w:val="1"/>
          <w:numId w:val="29"/>
        </w:numPr>
        <w:snapToGrid w:val="0"/>
        <w:ind w:left="709" w:hanging="709"/>
        <w:rPr>
          <w:rFonts w:ascii="Avenir Book" w:hAnsi="Avenir Book" w:cstheme="minorHAnsi"/>
          <w:sz w:val="22"/>
          <w:szCs w:val="22"/>
        </w:rPr>
      </w:pPr>
      <w:r w:rsidRPr="000840B9">
        <w:rPr>
          <w:rFonts w:ascii="Avenir Book" w:hAnsi="Avenir Book" w:cstheme="minorHAnsi"/>
          <w:sz w:val="22"/>
          <w:szCs w:val="22"/>
        </w:rPr>
        <w:t xml:space="preserve">The </w:t>
      </w:r>
      <w:r w:rsidR="00C65693" w:rsidRPr="000840B9">
        <w:rPr>
          <w:rFonts w:ascii="Avenir Book" w:hAnsi="Avenir Book" w:cstheme="minorHAnsi"/>
          <w:sz w:val="22"/>
          <w:szCs w:val="22"/>
        </w:rPr>
        <w:t xml:space="preserve">UN has made numerous recommendations, called concluding comments or concluding observations following periodic reviews of Australia under different treaty bodies.  The following provides a summary of the most recent </w:t>
      </w:r>
      <w:r w:rsidR="007022C5" w:rsidRPr="000840B9">
        <w:rPr>
          <w:rFonts w:ascii="Avenir Book" w:hAnsi="Avenir Book" w:cstheme="minorHAnsi"/>
          <w:sz w:val="22"/>
          <w:szCs w:val="22"/>
        </w:rPr>
        <w:t xml:space="preserve">key </w:t>
      </w:r>
      <w:r w:rsidR="00C65693" w:rsidRPr="000840B9">
        <w:rPr>
          <w:rFonts w:ascii="Avenir Book" w:hAnsi="Avenir Book" w:cstheme="minorHAnsi"/>
          <w:sz w:val="22"/>
          <w:szCs w:val="22"/>
        </w:rPr>
        <w:t>recommendations</w:t>
      </w:r>
      <w:r w:rsidR="002F2ECC" w:rsidRPr="000840B9">
        <w:rPr>
          <w:rFonts w:ascii="Avenir Book" w:hAnsi="Avenir Book" w:cstheme="minorHAnsi"/>
          <w:sz w:val="22"/>
          <w:szCs w:val="22"/>
        </w:rPr>
        <w:t xml:space="preserve"> from these treaty bodies</w:t>
      </w:r>
      <w:r w:rsidR="00E9283F" w:rsidRPr="000840B9">
        <w:rPr>
          <w:rFonts w:ascii="Avenir Book" w:hAnsi="Avenir Book" w:cstheme="minorHAnsi"/>
          <w:sz w:val="22"/>
          <w:szCs w:val="22"/>
        </w:rPr>
        <w:t xml:space="preserve"> </w:t>
      </w:r>
      <w:r w:rsidR="007022C5" w:rsidRPr="000840B9">
        <w:rPr>
          <w:rFonts w:ascii="Avenir Book" w:hAnsi="Avenir Book" w:cstheme="minorHAnsi"/>
          <w:sz w:val="22"/>
          <w:szCs w:val="22"/>
        </w:rPr>
        <w:t>in relation to education and learning and violence, abuse, neglect and exploitation</w:t>
      </w:r>
      <w:r w:rsidR="00C65693" w:rsidRPr="000840B9">
        <w:rPr>
          <w:rFonts w:ascii="Avenir Book" w:hAnsi="Avenir Book" w:cstheme="minorHAnsi"/>
          <w:sz w:val="22"/>
          <w:szCs w:val="22"/>
        </w:rPr>
        <w:t xml:space="preserve">.  </w:t>
      </w:r>
    </w:p>
    <w:p w14:paraId="71372BEA" w14:textId="77777777" w:rsidR="00E9283F" w:rsidRPr="000840B9" w:rsidRDefault="00E9283F" w:rsidP="00066509">
      <w:pPr>
        <w:pStyle w:val="ListParagraph"/>
        <w:snapToGrid w:val="0"/>
        <w:ind w:left="0"/>
        <w:rPr>
          <w:rFonts w:ascii="Avenir Book" w:hAnsi="Avenir Book" w:cstheme="minorHAnsi"/>
          <w:sz w:val="22"/>
          <w:szCs w:val="22"/>
        </w:rPr>
      </w:pPr>
    </w:p>
    <w:p w14:paraId="7E1F2954" w14:textId="161B5F68" w:rsidR="00F57741" w:rsidRPr="00CB6643" w:rsidRDefault="00655DD7" w:rsidP="00EF5411">
      <w:pPr>
        <w:pStyle w:val="ListParagraph"/>
        <w:numPr>
          <w:ilvl w:val="1"/>
          <w:numId w:val="29"/>
        </w:numPr>
        <w:snapToGrid w:val="0"/>
        <w:spacing w:after="120"/>
        <w:ind w:left="709" w:hanging="709"/>
        <w:contextualSpacing w:val="0"/>
        <w:rPr>
          <w:rFonts w:ascii="Avenir Book" w:hAnsi="Avenir Book" w:cstheme="minorHAnsi"/>
          <w:b/>
          <w:color w:val="AC1F79"/>
        </w:rPr>
      </w:pPr>
      <w:r w:rsidRPr="00CB6643">
        <w:rPr>
          <w:rFonts w:ascii="Avenir Book" w:hAnsi="Avenir Book" w:cstheme="minorHAnsi"/>
          <w:b/>
          <w:color w:val="AC1F79"/>
        </w:rPr>
        <w:t xml:space="preserve">Right to Inclusive </w:t>
      </w:r>
      <w:r w:rsidR="00C65693" w:rsidRPr="00CB6643">
        <w:rPr>
          <w:rFonts w:ascii="Avenir Book" w:hAnsi="Avenir Book" w:cstheme="minorHAnsi"/>
          <w:b/>
          <w:color w:val="AC1F79"/>
        </w:rPr>
        <w:t>Education</w:t>
      </w:r>
      <w:r w:rsidR="00023850" w:rsidRPr="00CB6643">
        <w:rPr>
          <w:rFonts w:ascii="Avenir Book" w:hAnsi="Avenir Book" w:cstheme="minorHAnsi"/>
          <w:b/>
          <w:color w:val="AC1F79"/>
        </w:rPr>
        <w:t>:</w:t>
      </w:r>
    </w:p>
    <w:p w14:paraId="491EA6F6" w14:textId="2963E97A" w:rsidR="00036CC7" w:rsidRPr="000840B9" w:rsidRDefault="00036CC7" w:rsidP="00EF5411">
      <w:pPr>
        <w:pStyle w:val="ListParagraph"/>
        <w:numPr>
          <w:ilvl w:val="2"/>
          <w:numId w:val="29"/>
        </w:numPr>
        <w:tabs>
          <w:tab w:val="left" w:pos="0"/>
        </w:tabs>
        <w:ind w:left="709" w:hanging="709"/>
        <w:rPr>
          <w:rFonts w:ascii="Avenir Book" w:eastAsia="Calibri" w:hAnsi="Avenir Book" w:cstheme="minorHAnsi"/>
          <w:sz w:val="22"/>
          <w:szCs w:val="22"/>
        </w:rPr>
      </w:pPr>
      <w:r w:rsidRPr="000840B9">
        <w:rPr>
          <w:rFonts w:ascii="Avenir Book" w:eastAsia="Calibri" w:hAnsi="Avenir Book" w:cstheme="minorHAnsi"/>
          <w:sz w:val="22"/>
          <w:szCs w:val="22"/>
        </w:rPr>
        <w:t xml:space="preserve">In September 2019, the </w:t>
      </w:r>
      <w:r w:rsidR="00023850" w:rsidRPr="000840B9">
        <w:rPr>
          <w:rFonts w:ascii="Avenir Book" w:eastAsia="Calibri" w:hAnsi="Avenir Book" w:cstheme="minorHAnsi"/>
          <w:sz w:val="22"/>
          <w:szCs w:val="22"/>
        </w:rPr>
        <w:t xml:space="preserve">CRPD Committee </w:t>
      </w:r>
      <w:r w:rsidRPr="000840B9">
        <w:rPr>
          <w:rFonts w:ascii="Avenir Book" w:eastAsia="Calibri" w:hAnsi="Avenir Book" w:cstheme="minorHAnsi"/>
          <w:sz w:val="22"/>
          <w:szCs w:val="22"/>
        </w:rPr>
        <w:t xml:space="preserve">adopted its Concluding Observations following its review of Australia’s compliance with the </w:t>
      </w:r>
      <w:r w:rsidR="00023850" w:rsidRPr="000840B9">
        <w:rPr>
          <w:rFonts w:ascii="Avenir Book" w:eastAsia="Calibri" w:hAnsi="Avenir Book" w:cstheme="minorHAnsi"/>
          <w:sz w:val="22"/>
          <w:szCs w:val="22"/>
        </w:rPr>
        <w:t>CRPD</w:t>
      </w:r>
      <w:r w:rsidRPr="000840B9">
        <w:rPr>
          <w:rFonts w:ascii="Avenir Book" w:eastAsia="Calibri" w:hAnsi="Avenir Book" w:cstheme="minorHAnsi"/>
          <w:sz w:val="22"/>
          <w:szCs w:val="22"/>
        </w:rPr>
        <w:t>.</w:t>
      </w:r>
      <w:r w:rsidR="00023850" w:rsidRPr="000840B9">
        <w:rPr>
          <w:rStyle w:val="FootnoteReference"/>
          <w:rFonts w:ascii="Avenir Book" w:eastAsia="Calibri" w:hAnsi="Avenir Book" w:cstheme="minorHAnsi"/>
          <w:sz w:val="22"/>
          <w:szCs w:val="22"/>
        </w:rPr>
        <w:footnoteReference w:id="99"/>
      </w:r>
      <w:r w:rsidRPr="000840B9">
        <w:rPr>
          <w:rFonts w:ascii="Avenir Book" w:eastAsia="Calibri" w:hAnsi="Avenir Book" w:cstheme="minorHAnsi"/>
          <w:sz w:val="22"/>
          <w:szCs w:val="22"/>
        </w:rPr>
        <w:t xml:space="preserve"> The Committee expressed its concern about the lack of implementation of recommendations of the 2015 review of the Disability Standards for Education, the significant increase in students with disability experiencing segregated education, seclusion and isolation, insufficient funding for inclusive education in mainstream schools, and the lack of national disaggregated data on students with disability, including on the use of restrictive practices and cases of bullying. The </w:t>
      </w:r>
      <w:r w:rsidR="00023850" w:rsidRPr="000840B9">
        <w:rPr>
          <w:rFonts w:ascii="Avenir Book" w:eastAsia="Calibri" w:hAnsi="Avenir Book" w:cstheme="minorHAnsi"/>
          <w:sz w:val="22"/>
          <w:szCs w:val="22"/>
        </w:rPr>
        <w:t xml:space="preserve">CRPD </w:t>
      </w:r>
      <w:r w:rsidRPr="000840B9">
        <w:rPr>
          <w:rFonts w:ascii="Avenir Book" w:eastAsia="Calibri" w:hAnsi="Avenir Book" w:cstheme="minorHAnsi"/>
          <w:sz w:val="22"/>
          <w:szCs w:val="22"/>
        </w:rPr>
        <w:t xml:space="preserve">Committee reiterated previous observations from its 2013 initial review of Australia and recommended that a robust review of the Disability Standards for Education be undertaken with implementation of recommendations, that a national action plan for inclusive education be developed, that the increasing rate of segregation, seclusion and isolation be addressed particularly for Indigenous students with disability, and that adequate resources be redirected to a nationwide inclusive education system for all students. The Committee further recommended the expansion of data collection on the number of students with disability who do not qualify for adjustments, who are unable to enrol in local mainstream schools, and on educational attainment, suspension and expulsion rates, and on the use of restrictive practices and on cases of bullying.  </w:t>
      </w:r>
    </w:p>
    <w:p w14:paraId="7900C967" w14:textId="77777777" w:rsidR="00655DD7" w:rsidRPr="000840B9" w:rsidRDefault="00655DD7" w:rsidP="00066509">
      <w:pPr>
        <w:pStyle w:val="ListParagraph"/>
        <w:ind w:left="0"/>
        <w:rPr>
          <w:rFonts w:ascii="Avenir Book" w:eastAsia="Calibri" w:hAnsi="Avenir Book" w:cstheme="minorHAnsi"/>
          <w:sz w:val="22"/>
          <w:szCs w:val="22"/>
        </w:rPr>
      </w:pPr>
    </w:p>
    <w:p w14:paraId="4308FB9D" w14:textId="29BB0D45" w:rsidR="00036CC7" w:rsidRPr="000840B9" w:rsidRDefault="00036CC7"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hAnsi="Avenir Book" w:cstheme="minorHAnsi"/>
          <w:sz w:val="22"/>
          <w:szCs w:val="22"/>
        </w:rPr>
        <w:t xml:space="preserve">The </w:t>
      </w:r>
      <w:r w:rsidRPr="000840B9">
        <w:rPr>
          <w:rFonts w:ascii="Avenir Book" w:hAnsi="Avenir Book" w:cstheme="minorHAnsi"/>
          <w:bCs/>
          <w:sz w:val="22"/>
          <w:szCs w:val="22"/>
        </w:rPr>
        <w:t>C</w:t>
      </w:r>
      <w:r w:rsidR="001E1573" w:rsidRPr="000840B9">
        <w:rPr>
          <w:rFonts w:ascii="Avenir Book" w:hAnsi="Avenir Book" w:cstheme="minorHAnsi"/>
          <w:bCs/>
          <w:sz w:val="22"/>
          <w:szCs w:val="22"/>
        </w:rPr>
        <w:t xml:space="preserve">ommittee on the </w:t>
      </w:r>
      <w:r w:rsidRPr="000840B9">
        <w:rPr>
          <w:rFonts w:ascii="Avenir Book" w:hAnsi="Avenir Book" w:cstheme="minorHAnsi"/>
          <w:bCs/>
          <w:sz w:val="22"/>
          <w:szCs w:val="22"/>
        </w:rPr>
        <w:t>E</w:t>
      </w:r>
      <w:r w:rsidR="001E1573" w:rsidRPr="000840B9">
        <w:rPr>
          <w:rFonts w:ascii="Avenir Book" w:hAnsi="Avenir Book" w:cstheme="minorHAnsi"/>
          <w:bCs/>
          <w:sz w:val="22"/>
          <w:szCs w:val="22"/>
        </w:rPr>
        <w:t xml:space="preserve">limination of </w:t>
      </w:r>
      <w:r w:rsidRPr="000840B9">
        <w:rPr>
          <w:rFonts w:ascii="Avenir Book" w:hAnsi="Avenir Book" w:cstheme="minorHAnsi"/>
          <w:bCs/>
          <w:sz w:val="22"/>
          <w:szCs w:val="22"/>
        </w:rPr>
        <w:t>D</w:t>
      </w:r>
      <w:r w:rsidR="001E1573" w:rsidRPr="000840B9">
        <w:rPr>
          <w:rFonts w:ascii="Avenir Book" w:hAnsi="Avenir Book" w:cstheme="minorHAnsi"/>
          <w:bCs/>
          <w:sz w:val="22"/>
          <w:szCs w:val="22"/>
        </w:rPr>
        <w:t xml:space="preserve">iscrimination </w:t>
      </w:r>
      <w:r w:rsidRPr="000840B9">
        <w:rPr>
          <w:rFonts w:ascii="Avenir Book" w:hAnsi="Avenir Book" w:cstheme="minorHAnsi"/>
          <w:bCs/>
          <w:sz w:val="22"/>
          <w:szCs w:val="22"/>
        </w:rPr>
        <w:t>A</w:t>
      </w:r>
      <w:r w:rsidR="00B057A4" w:rsidRPr="000840B9">
        <w:rPr>
          <w:rFonts w:ascii="Avenir Book" w:hAnsi="Avenir Book" w:cstheme="minorHAnsi"/>
          <w:bCs/>
          <w:sz w:val="22"/>
          <w:szCs w:val="22"/>
        </w:rPr>
        <w:t xml:space="preserve">gainst </w:t>
      </w:r>
      <w:r w:rsidRPr="000840B9">
        <w:rPr>
          <w:rFonts w:ascii="Avenir Book" w:hAnsi="Avenir Book" w:cstheme="minorHAnsi"/>
          <w:bCs/>
          <w:sz w:val="22"/>
          <w:szCs w:val="22"/>
        </w:rPr>
        <w:t>W</w:t>
      </w:r>
      <w:r w:rsidR="00B057A4" w:rsidRPr="000840B9">
        <w:rPr>
          <w:rFonts w:ascii="Avenir Book" w:hAnsi="Avenir Book" w:cstheme="minorHAnsi"/>
          <w:bCs/>
          <w:sz w:val="22"/>
          <w:szCs w:val="22"/>
        </w:rPr>
        <w:t>omen</w:t>
      </w:r>
      <w:r w:rsidRPr="000840B9">
        <w:rPr>
          <w:rFonts w:ascii="Avenir Book" w:hAnsi="Avenir Book" w:cstheme="minorHAnsi"/>
          <w:b/>
          <w:bCs/>
          <w:sz w:val="22"/>
          <w:szCs w:val="22"/>
        </w:rPr>
        <w:t xml:space="preserve"> </w:t>
      </w:r>
      <w:r w:rsidR="00624C5C" w:rsidRPr="000840B9">
        <w:rPr>
          <w:rFonts w:ascii="Avenir Book" w:hAnsi="Avenir Book" w:cstheme="minorHAnsi"/>
          <w:sz w:val="22"/>
          <w:szCs w:val="22"/>
        </w:rPr>
        <w:t xml:space="preserve">(CEDAW Committee) </w:t>
      </w:r>
      <w:r w:rsidRPr="000840B9">
        <w:rPr>
          <w:rFonts w:ascii="Avenir Book" w:hAnsi="Avenir Book" w:cstheme="minorHAnsi"/>
          <w:sz w:val="22"/>
          <w:szCs w:val="22"/>
        </w:rPr>
        <w:t>made a series of recommendations regarding education in its 2018 Concluding Observations of Australia.</w:t>
      </w:r>
      <w:r w:rsidR="00531053" w:rsidRPr="000840B9">
        <w:rPr>
          <w:rStyle w:val="FootnoteReference"/>
          <w:rFonts w:ascii="Avenir Book" w:hAnsi="Avenir Book" w:cstheme="minorHAnsi"/>
          <w:sz w:val="22"/>
          <w:szCs w:val="22"/>
        </w:rPr>
        <w:footnoteReference w:id="100"/>
      </w:r>
      <w:r w:rsidRPr="000840B9">
        <w:rPr>
          <w:rFonts w:ascii="Avenir Book" w:hAnsi="Avenir Book" w:cstheme="minorHAnsi"/>
          <w:sz w:val="22"/>
          <w:szCs w:val="22"/>
        </w:rPr>
        <w:t xml:space="preserve"> The Committee expressed its concern at the </w:t>
      </w:r>
      <w:r w:rsidRPr="000840B9">
        <w:rPr>
          <w:rFonts w:ascii="Avenir Book" w:hAnsi="Avenir Book" w:cstheme="minorHAnsi"/>
          <w:sz w:val="22"/>
          <w:szCs w:val="22"/>
          <w:lang w:eastAsia="en-GB"/>
        </w:rPr>
        <w:t xml:space="preserve">inconsistent data collection on educational enrolment, achievement and attrition rates with regard to women and girls with disability, women and girls belonging to Indigenous communities, and migrant women and their daughters. It also expressed its concern at the impact of harassment and bullying in school environments on women and girls who are exposed to </w:t>
      </w:r>
      <w:r w:rsidRPr="000840B9">
        <w:rPr>
          <w:rFonts w:ascii="Avenir Book" w:hAnsi="Avenir Book" w:cstheme="minorHAnsi"/>
          <w:sz w:val="22"/>
          <w:szCs w:val="22"/>
          <w:lang w:eastAsia="en-GB"/>
        </w:rPr>
        <w:lastRenderedPageBreak/>
        <w:t>intersecting forms of discrimination. The Committee recommended, amongst other things, that Australia improve its data on the educational enrolment and attainment of girls and women at all levels of education, disaggregated by age, ethnicity, disability and migration status; and, build the capacities of educational staff to create safer and more inclusive learning environments, including for Indigenous women and girls, women and girls with disability, migrant women and their daughters, lesbian, bisexual and transgender women and intersex persons.</w:t>
      </w:r>
    </w:p>
    <w:p w14:paraId="07F8DEA1" w14:textId="77777777" w:rsidR="00655DD7" w:rsidRPr="000840B9" w:rsidRDefault="00655DD7" w:rsidP="00066509">
      <w:pPr>
        <w:pStyle w:val="ListParagraph"/>
        <w:ind w:left="0"/>
        <w:rPr>
          <w:rFonts w:ascii="Avenir Book" w:eastAsia="Calibri" w:hAnsi="Avenir Book" w:cstheme="minorHAnsi"/>
          <w:sz w:val="22"/>
          <w:szCs w:val="22"/>
        </w:rPr>
      </w:pPr>
    </w:p>
    <w:p w14:paraId="64D0A3C1" w14:textId="7F27320A" w:rsidR="00036CC7" w:rsidRPr="000840B9" w:rsidRDefault="00036CC7"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hAnsi="Avenir Book" w:cstheme="minorHAnsi"/>
          <w:sz w:val="22"/>
          <w:szCs w:val="22"/>
        </w:rPr>
        <w:t>In its 2019 Concluding Observations</w:t>
      </w:r>
      <w:r w:rsidR="00C13387" w:rsidRPr="000840B9">
        <w:rPr>
          <w:rStyle w:val="FootnoteReference"/>
          <w:rFonts w:ascii="Avenir Book" w:hAnsi="Avenir Book" w:cstheme="minorHAnsi"/>
          <w:sz w:val="22"/>
          <w:szCs w:val="22"/>
        </w:rPr>
        <w:footnoteReference w:id="101"/>
      </w:r>
      <w:r w:rsidRPr="000840B9">
        <w:rPr>
          <w:rFonts w:ascii="Avenir Book" w:hAnsi="Avenir Book" w:cstheme="minorHAnsi"/>
          <w:sz w:val="22"/>
          <w:szCs w:val="22"/>
        </w:rPr>
        <w:t xml:space="preserve"> of Australia, the </w:t>
      </w:r>
      <w:r w:rsidRPr="000840B9">
        <w:rPr>
          <w:rFonts w:ascii="Avenir Book" w:hAnsi="Avenir Book" w:cstheme="minorHAnsi"/>
          <w:bCs/>
          <w:sz w:val="22"/>
          <w:szCs w:val="22"/>
        </w:rPr>
        <w:t>Committee on the Rights of the Child</w:t>
      </w:r>
      <w:r w:rsidR="00C13387" w:rsidRPr="000840B9">
        <w:rPr>
          <w:rFonts w:ascii="Avenir Book" w:hAnsi="Avenir Book" w:cstheme="minorHAnsi"/>
          <w:b/>
          <w:bCs/>
          <w:sz w:val="22"/>
          <w:szCs w:val="22"/>
        </w:rPr>
        <w:t xml:space="preserve"> </w:t>
      </w:r>
      <w:r w:rsidR="00C13387" w:rsidRPr="000840B9">
        <w:rPr>
          <w:rFonts w:ascii="Avenir Book" w:hAnsi="Avenir Book" w:cstheme="minorHAnsi"/>
          <w:bCs/>
          <w:sz w:val="22"/>
          <w:szCs w:val="22"/>
        </w:rPr>
        <w:t xml:space="preserve">(CRC Committee) </w:t>
      </w:r>
      <w:r w:rsidRPr="000840B9">
        <w:rPr>
          <w:rFonts w:ascii="Avenir Book" w:hAnsi="Avenir Book" w:cstheme="minorHAnsi"/>
          <w:bCs/>
          <w:sz w:val="22"/>
          <w:szCs w:val="22"/>
        </w:rPr>
        <w:t xml:space="preserve">recommended that more investment was needed to improve education at the early childhood, primary and secondary levels, particularly for children with disability, Indigenous children, children living in remote areas, children in marginalised and disadvantaged situations, children in alternative care and children from refugee and migrant backgrounds.  The Committee further recommended that Australia ensure that all children with disability have access to inclusive education in mainstream schools and that they are provided with the support they need, including supports to end the use of restraints and seclusion. </w:t>
      </w:r>
    </w:p>
    <w:p w14:paraId="2C2BCF59" w14:textId="77777777" w:rsidR="00655DD7" w:rsidRPr="000840B9" w:rsidRDefault="00655DD7" w:rsidP="00E9283F">
      <w:pPr>
        <w:pStyle w:val="ListParagraph"/>
        <w:ind w:left="709" w:hanging="709"/>
        <w:rPr>
          <w:rFonts w:ascii="Avenir Book" w:eastAsia="Calibri" w:hAnsi="Avenir Book" w:cstheme="minorHAnsi"/>
          <w:sz w:val="22"/>
          <w:szCs w:val="22"/>
        </w:rPr>
      </w:pPr>
    </w:p>
    <w:p w14:paraId="7BEAD57B" w14:textId="742EAE55" w:rsidR="00036CC7" w:rsidRPr="000840B9" w:rsidRDefault="00036CC7"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hAnsi="Avenir Book" w:cstheme="minorHAnsi"/>
          <w:sz w:val="22"/>
          <w:szCs w:val="22"/>
        </w:rPr>
        <w:t>In its 2017 Concluding observations</w:t>
      </w:r>
      <w:r w:rsidR="00C13387" w:rsidRPr="000840B9">
        <w:rPr>
          <w:rStyle w:val="FootnoteReference"/>
          <w:rFonts w:ascii="Avenir Book" w:hAnsi="Avenir Book" w:cstheme="minorHAnsi"/>
          <w:sz w:val="22"/>
          <w:szCs w:val="22"/>
        </w:rPr>
        <w:footnoteReference w:id="102"/>
      </w:r>
      <w:r w:rsidRPr="000840B9">
        <w:rPr>
          <w:rFonts w:ascii="Avenir Book" w:hAnsi="Avenir Book" w:cstheme="minorHAnsi"/>
          <w:sz w:val="22"/>
          <w:szCs w:val="22"/>
        </w:rPr>
        <w:t xml:space="preserve"> on the fifth periodic report of Australia,</w:t>
      </w:r>
      <w:r w:rsidR="00C13387" w:rsidRPr="000840B9">
        <w:rPr>
          <w:rFonts w:ascii="Avenir Book" w:hAnsi="Avenir Book" w:cstheme="minorHAnsi"/>
          <w:sz w:val="22"/>
          <w:szCs w:val="22"/>
        </w:rPr>
        <w:t xml:space="preserve"> </w:t>
      </w:r>
      <w:r w:rsidRPr="000840B9">
        <w:rPr>
          <w:rFonts w:ascii="Avenir Book" w:hAnsi="Avenir Book" w:cstheme="minorHAnsi"/>
          <w:sz w:val="22"/>
          <w:szCs w:val="22"/>
        </w:rPr>
        <w:t xml:space="preserve">the </w:t>
      </w:r>
      <w:r w:rsidRPr="000840B9">
        <w:rPr>
          <w:rFonts w:ascii="Avenir Book" w:hAnsi="Avenir Book" w:cstheme="minorHAnsi"/>
          <w:bCs/>
          <w:sz w:val="22"/>
          <w:szCs w:val="22"/>
        </w:rPr>
        <w:t>Committee on Economic, Social and Cultural Rights</w:t>
      </w:r>
      <w:r w:rsidRPr="000840B9">
        <w:rPr>
          <w:rFonts w:ascii="Avenir Book" w:hAnsi="Avenir Book" w:cstheme="minorHAnsi"/>
          <w:sz w:val="22"/>
          <w:szCs w:val="22"/>
        </w:rPr>
        <w:t xml:space="preserve"> </w:t>
      </w:r>
      <w:r w:rsidR="00C13387" w:rsidRPr="000840B9">
        <w:rPr>
          <w:rFonts w:ascii="Avenir Book" w:hAnsi="Avenir Book" w:cstheme="minorHAnsi"/>
          <w:sz w:val="22"/>
          <w:szCs w:val="22"/>
        </w:rPr>
        <w:t xml:space="preserve">(ESCR Committee) </w:t>
      </w:r>
      <w:r w:rsidRPr="000840B9">
        <w:rPr>
          <w:rFonts w:ascii="Avenir Book" w:hAnsi="Avenir Book" w:cstheme="minorHAnsi"/>
          <w:sz w:val="22"/>
          <w:szCs w:val="22"/>
        </w:rPr>
        <w:t xml:space="preserve">expressed its concern at the segregation of students with disability into special schools. It recommended that Australia </w:t>
      </w:r>
      <w:r w:rsidRPr="000840B9">
        <w:rPr>
          <w:rFonts w:ascii="Avenir Book" w:hAnsi="Avenir Book" w:cstheme="minorHAnsi"/>
          <w:sz w:val="22"/>
          <w:szCs w:val="22"/>
          <w:lang w:eastAsia="en-GB"/>
        </w:rPr>
        <w:t xml:space="preserve">take effective steps to ensure that children with disability, including those with cognitive impairments, can access inclusive education. </w:t>
      </w:r>
    </w:p>
    <w:p w14:paraId="7B0CB775" w14:textId="77777777" w:rsidR="00036CC7" w:rsidRPr="000840B9" w:rsidRDefault="00036CC7" w:rsidP="00036CC7">
      <w:pPr>
        <w:spacing w:line="276" w:lineRule="auto"/>
        <w:jc w:val="both"/>
        <w:rPr>
          <w:rFonts w:ascii="Avenir Book" w:hAnsi="Avenir Book" w:cstheme="minorHAnsi"/>
          <w:sz w:val="22"/>
          <w:szCs w:val="22"/>
        </w:rPr>
      </w:pPr>
    </w:p>
    <w:p w14:paraId="575AC313" w14:textId="692D0EA0" w:rsidR="00F57741" w:rsidRPr="00CB6643" w:rsidRDefault="008552FD" w:rsidP="00EF5411">
      <w:pPr>
        <w:pStyle w:val="ListParagraph"/>
        <w:numPr>
          <w:ilvl w:val="1"/>
          <w:numId w:val="29"/>
        </w:numPr>
        <w:snapToGrid w:val="0"/>
        <w:spacing w:after="120"/>
        <w:ind w:left="709" w:hanging="709"/>
        <w:contextualSpacing w:val="0"/>
        <w:rPr>
          <w:rFonts w:ascii="Avenir Book" w:hAnsi="Avenir Book" w:cstheme="minorHAnsi"/>
          <w:b/>
          <w:color w:val="AC1F79"/>
        </w:rPr>
      </w:pPr>
      <w:r w:rsidRPr="00CB6643">
        <w:rPr>
          <w:rFonts w:ascii="Avenir Book" w:hAnsi="Avenir Book" w:cstheme="minorHAnsi"/>
          <w:b/>
          <w:color w:val="AC1F79"/>
        </w:rPr>
        <w:t>Right to freedom from v</w:t>
      </w:r>
      <w:r w:rsidR="00F57741" w:rsidRPr="00CB6643">
        <w:rPr>
          <w:rFonts w:ascii="Avenir Book" w:hAnsi="Avenir Book" w:cstheme="minorHAnsi"/>
          <w:b/>
          <w:color w:val="AC1F79"/>
        </w:rPr>
        <w:t>iolence, abuse, neglect and exploitation</w:t>
      </w:r>
      <w:r w:rsidR="001B7338" w:rsidRPr="00CB6643">
        <w:rPr>
          <w:rFonts w:ascii="Avenir Book" w:hAnsi="Avenir Book" w:cstheme="minorHAnsi"/>
          <w:b/>
          <w:color w:val="AC1F79"/>
        </w:rPr>
        <w:t>:</w:t>
      </w:r>
    </w:p>
    <w:p w14:paraId="5AB67C9A" w14:textId="7AFBAD05" w:rsidR="00F850F4" w:rsidRPr="000840B9" w:rsidRDefault="000B33F6"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hAnsi="Avenir Book" w:cstheme="minorHAnsi"/>
          <w:sz w:val="22"/>
          <w:szCs w:val="22"/>
        </w:rPr>
        <w:t>In t</w:t>
      </w:r>
      <w:r w:rsidR="00F57741" w:rsidRPr="000840B9">
        <w:rPr>
          <w:rFonts w:ascii="Avenir Book" w:eastAsia="Calibri" w:hAnsi="Avenir Book" w:cstheme="minorHAnsi"/>
          <w:sz w:val="22"/>
          <w:szCs w:val="22"/>
        </w:rPr>
        <w:t xml:space="preserve">he </w:t>
      </w:r>
      <w:r w:rsidR="00F850F4" w:rsidRPr="000840B9">
        <w:rPr>
          <w:rFonts w:ascii="Avenir Book" w:eastAsia="Calibri" w:hAnsi="Avenir Book" w:cstheme="minorHAnsi"/>
          <w:sz w:val="22"/>
          <w:szCs w:val="22"/>
        </w:rPr>
        <w:t>September 2019</w:t>
      </w:r>
      <w:r w:rsidRPr="000840B9">
        <w:rPr>
          <w:rFonts w:ascii="Avenir Book" w:eastAsia="Calibri" w:hAnsi="Avenir Book" w:cstheme="minorHAnsi"/>
          <w:sz w:val="22"/>
          <w:szCs w:val="22"/>
        </w:rPr>
        <w:t xml:space="preserve"> Concluding Observations, the </w:t>
      </w:r>
      <w:r w:rsidR="00F57741" w:rsidRPr="000840B9">
        <w:rPr>
          <w:rFonts w:ascii="Avenir Book" w:eastAsia="Calibri" w:hAnsi="Avenir Book" w:cstheme="minorHAnsi"/>
          <w:sz w:val="22"/>
          <w:szCs w:val="22"/>
        </w:rPr>
        <w:t xml:space="preserve">CRPD </w:t>
      </w:r>
      <w:r w:rsidR="00F850F4" w:rsidRPr="000840B9">
        <w:rPr>
          <w:rFonts w:ascii="Avenir Book" w:eastAsia="Calibri" w:hAnsi="Avenir Book" w:cstheme="minorHAnsi"/>
          <w:bCs/>
          <w:sz w:val="22"/>
          <w:szCs w:val="22"/>
        </w:rPr>
        <w:t>Committee</w:t>
      </w:r>
      <w:r w:rsidRPr="000840B9">
        <w:rPr>
          <w:rFonts w:ascii="Avenir Book" w:eastAsia="Calibri" w:hAnsi="Avenir Book" w:cstheme="minorHAnsi"/>
          <w:b/>
          <w:bCs/>
          <w:sz w:val="22"/>
          <w:szCs w:val="22"/>
        </w:rPr>
        <w:t xml:space="preserve"> </w:t>
      </w:r>
      <w:r w:rsidR="00F850F4" w:rsidRPr="000840B9">
        <w:rPr>
          <w:rFonts w:ascii="Avenir Book" w:eastAsia="Calibri" w:hAnsi="Avenir Book" w:cstheme="minorHAnsi"/>
          <w:sz w:val="22"/>
          <w:szCs w:val="22"/>
        </w:rPr>
        <w:t xml:space="preserve">expressed concern about: the lack of oversight, complaint and redress mechanisms for people who are not eligible for the NDIS and who experience violence, particularly women with disability; the lack of resources and redress mechanisms available for people with disability to participate in the Royal Commission; the non-implementation of recommendations in the report from the Australian Human Rights Commission (AHRC), “A Future without Violence”; the lack of explicit reference to women and girls with disability in the National Plan to Reduce Violence against Women and their Children 2010-2020; the insufficient expertise and structural barriers within services dealing with domestic violence, sexual assault and related crises to adequately support women and girls with disability; and the limited number and scope of instruments to collect data on violence against women and girls with disability.  The Committee recommended that Australia: establish a national accessible oversight, complaint and redress mechanism for all people with disability in all settings, particularly older women with disability; ensure adequate resources and a redress mechanism for the Royal Commission; implement the recommendations contained in the AHRC report; ensure inclusion of women and girls with disability in the National Plan; ensure accessible gender and age sensitive services that are inclusive of women and girls </w:t>
      </w:r>
      <w:r w:rsidR="00F850F4" w:rsidRPr="000840B9">
        <w:rPr>
          <w:rFonts w:ascii="Avenir Book" w:eastAsia="Calibri" w:hAnsi="Avenir Book" w:cstheme="minorHAnsi"/>
          <w:sz w:val="22"/>
          <w:szCs w:val="22"/>
        </w:rPr>
        <w:lastRenderedPageBreak/>
        <w:t xml:space="preserve">with disability; and address the methodological restrictions in data collection instruments used to capture data on violence against women and girls with disability. </w:t>
      </w:r>
    </w:p>
    <w:p w14:paraId="2429937A" w14:textId="77777777" w:rsidR="0091389D" w:rsidRPr="000840B9" w:rsidRDefault="0091389D" w:rsidP="00066509">
      <w:pPr>
        <w:pStyle w:val="ListParagraph"/>
        <w:ind w:left="0"/>
        <w:rPr>
          <w:rFonts w:ascii="Avenir Book" w:eastAsia="Calibri" w:hAnsi="Avenir Book" w:cstheme="minorHAnsi"/>
          <w:sz w:val="22"/>
          <w:szCs w:val="22"/>
        </w:rPr>
      </w:pPr>
    </w:p>
    <w:p w14:paraId="46895F8A" w14:textId="68EA5799" w:rsidR="00F850F4" w:rsidRPr="000840B9" w:rsidRDefault="00F850F4"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eastAsiaTheme="minorEastAsia" w:hAnsi="Avenir Book" w:cstheme="minorHAnsi"/>
          <w:color w:val="000000" w:themeColor="text1"/>
          <w:sz w:val="22"/>
          <w:szCs w:val="22"/>
          <w:shd w:val="clear" w:color="auto" w:fill="FFFFFF"/>
          <w:lang w:eastAsia="en-AU"/>
        </w:rPr>
        <w:t>In its 2018 review</w:t>
      </w:r>
      <w:r w:rsidRPr="000840B9">
        <w:rPr>
          <w:rFonts w:ascii="Avenir Book" w:hAnsi="Avenir Book" w:cstheme="minorHAnsi"/>
          <w:sz w:val="22"/>
          <w:szCs w:val="22"/>
        </w:rPr>
        <w:t xml:space="preserve"> the CEDAW Committee expressed its concern at the lack of national legislation prohibiting all forms of gender-based violence against women. The CEDAW Committee recommended that the Australian Government adopt commonwealth legislation that is in line with the Convention and prohibits all forms of gender-based violence against women and girls. The Committee also recommended that Australia should expedite the establishment of the national data collection framework and guarantee that data on femicide and violence against women with disability is systematically collected under the framework.</w:t>
      </w:r>
    </w:p>
    <w:p w14:paraId="17B657A9" w14:textId="77777777" w:rsidR="0091389D" w:rsidRPr="000840B9" w:rsidRDefault="0091389D" w:rsidP="00E9283F">
      <w:pPr>
        <w:pStyle w:val="ListParagraph"/>
        <w:ind w:left="709" w:hanging="709"/>
        <w:rPr>
          <w:rFonts w:ascii="Avenir Book" w:eastAsia="Calibri" w:hAnsi="Avenir Book" w:cstheme="minorHAnsi"/>
          <w:sz w:val="22"/>
          <w:szCs w:val="22"/>
        </w:rPr>
      </w:pPr>
    </w:p>
    <w:p w14:paraId="20209058" w14:textId="6DE54B4A" w:rsidR="00F850F4" w:rsidRPr="000840B9" w:rsidRDefault="00F850F4"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hAnsi="Avenir Book" w:cstheme="minorHAnsi"/>
          <w:sz w:val="22"/>
          <w:szCs w:val="22"/>
        </w:rPr>
        <w:t>In its 2019 Concluding Observations</w:t>
      </w:r>
      <w:r w:rsidR="00E35892" w:rsidRPr="000840B9">
        <w:rPr>
          <w:rFonts w:ascii="Avenir Book" w:hAnsi="Avenir Book" w:cstheme="minorHAnsi"/>
          <w:sz w:val="22"/>
          <w:szCs w:val="22"/>
        </w:rPr>
        <w:t xml:space="preserve"> </w:t>
      </w:r>
      <w:r w:rsidRPr="000840B9">
        <w:rPr>
          <w:rFonts w:ascii="Avenir Book" w:hAnsi="Avenir Book" w:cstheme="minorHAnsi"/>
          <w:sz w:val="22"/>
          <w:szCs w:val="22"/>
        </w:rPr>
        <w:t xml:space="preserve">the </w:t>
      </w:r>
      <w:r w:rsidR="00E35892" w:rsidRPr="000840B9">
        <w:rPr>
          <w:rFonts w:ascii="Avenir Book" w:hAnsi="Avenir Book" w:cstheme="minorHAnsi"/>
          <w:sz w:val="22"/>
          <w:szCs w:val="22"/>
        </w:rPr>
        <w:t xml:space="preserve">CRC </w:t>
      </w:r>
      <w:r w:rsidRPr="000840B9">
        <w:rPr>
          <w:rFonts w:ascii="Avenir Book" w:hAnsi="Avenir Book" w:cstheme="minorHAnsi"/>
          <w:bCs/>
          <w:sz w:val="22"/>
          <w:szCs w:val="22"/>
        </w:rPr>
        <w:t>Committee</w:t>
      </w:r>
      <w:r w:rsidRPr="000840B9">
        <w:rPr>
          <w:rFonts w:ascii="Avenir Book" w:hAnsi="Avenir Book" w:cstheme="minorHAnsi"/>
          <w:b/>
          <w:bCs/>
          <w:sz w:val="22"/>
          <w:szCs w:val="22"/>
        </w:rPr>
        <w:t xml:space="preserve"> </w:t>
      </w:r>
      <w:r w:rsidRPr="000840B9">
        <w:rPr>
          <w:rFonts w:ascii="Avenir Book" w:hAnsi="Avenir Book" w:cstheme="minorHAnsi"/>
          <w:bCs/>
          <w:sz w:val="22"/>
          <w:szCs w:val="22"/>
        </w:rPr>
        <w:t>expressed its serious concerns about the high rates of violence against children in the home, that girls between the ages of 10-19 years suffer the highest rate of sexual abuse, that Indigenous children continue to be disproportionally affected by family and domestic violence, including sexual violence, that children with disability are more vulnerable to violence, neglect and abuse, including sexual abuse, and that girls with disability are forced to undergo sterilisation procedures.  The Committee recommended that Australia: prioritise implementation of violence prevention and response measures for children, particularly girls, of all ages within the National Framework for Protecting Australia’s Children 2009-2020 (National Framework) and the National Plan to Reduce Violence against Women and their Children 2010–2022 (National Plan); ensure that the National Centre for the Prevention of Child Sexual Abuse establishes a comprehensive standard with regard to intervention in cases of child sexual abuse to avoid the re</w:t>
      </w:r>
      <w:r w:rsidR="00066509">
        <w:rPr>
          <w:rFonts w:ascii="Avenir Book" w:hAnsi="Avenir Book" w:cstheme="minorHAnsi"/>
          <w:bCs/>
          <w:sz w:val="22"/>
          <w:szCs w:val="22"/>
        </w:rPr>
        <w:t>-</w:t>
      </w:r>
      <w:r w:rsidRPr="000840B9">
        <w:rPr>
          <w:rFonts w:ascii="Avenir Book" w:hAnsi="Avenir Book" w:cstheme="minorHAnsi"/>
          <w:bCs/>
          <w:sz w:val="22"/>
          <w:szCs w:val="22"/>
        </w:rPr>
        <w:t xml:space="preserve">traumatisation of child victims; provide child-specific therapeutic interventions and counselling to child victims of violence, in addition to the support provided to families; substantially increase family violence prevention and responses related to Indigenous children; review the National Framework and the National Plan to ensure they adequately prevent violence against children with disability and prohibit by law forced or coerced sterilisation of girls with disability; and enact legislation to prohibit unnecessary medical or surgical treatment on intersex children and provide support and counselling to families of intersex children. </w:t>
      </w:r>
    </w:p>
    <w:p w14:paraId="41213A82" w14:textId="77777777" w:rsidR="0091389D" w:rsidRPr="000840B9" w:rsidRDefault="0091389D" w:rsidP="00066509">
      <w:pPr>
        <w:pStyle w:val="ListParagraph"/>
        <w:ind w:left="0"/>
        <w:rPr>
          <w:rFonts w:ascii="Avenir Book" w:eastAsia="Calibri" w:hAnsi="Avenir Book" w:cstheme="minorHAnsi"/>
          <w:sz w:val="22"/>
          <w:szCs w:val="22"/>
        </w:rPr>
      </w:pPr>
    </w:p>
    <w:p w14:paraId="0245E97E" w14:textId="054F861C" w:rsidR="00F850F4" w:rsidRPr="000840B9" w:rsidRDefault="00F850F4" w:rsidP="00EF5411">
      <w:pPr>
        <w:pStyle w:val="ListParagraph"/>
        <w:numPr>
          <w:ilvl w:val="2"/>
          <w:numId w:val="29"/>
        </w:numPr>
        <w:ind w:left="709" w:hanging="709"/>
        <w:rPr>
          <w:rFonts w:ascii="Avenir Book" w:eastAsia="Calibri" w:hAnsi="Avenir Book" w:cstheme="minorHAnsi"/>
          <w:sz w:val="22"/>
          <w:szCs w:val="22"/>
        </w:rPr>
      </w:pPr>
      <w:r w:rsidRPr="000840B9">
        <w:rPr>
          <w:rFonts w:ascii="Avenir Book" w:hAnsi="Avenir Book" w:cstheme="minorHAnsi"/>
          <w:sz w:val="22"/>
          <w:szCs w:val="22"/>
        </w:rPr>
        <w:t>In its 2017 Concluding observations</w:t>
      </w:r>
      <w:r w:rsidR="00E35892" w:rsidRPr="000840B9">
        <w:rPr>
          <w:rFonts w:ascii="Avenir Book" w:hAnsi="Avenir Book" w:cstheme="minorHAnsi"/>
          <w:sz w:val="22"/>
          <w:szCs w:val="22"/>
        </w:rPr>
        <w:t xml:space="preserve">, </w:t>
      </w:r>
      <w:r w:rsidRPr="000840B9">
        <w:rPr>
          <w:rFonts w:ascii="Avenir Book" w:hAnsi="Avenir Book" w:cstheme="minorHAnsi"/>
          <w:sz w:val="22"/>
          <w:szCs w:val="22"/>
        </w:rPr>
        <w:t xml:space="preserve">the </w:t>
      </w:r>
      <w:r w:rsidR="00E35892" w:rsidRPr="000840B9">
        <w:rPr>
          <w:rFonts w:ascii="Avenir Book" w:hAnsi="Avenir Book" w:cstheme="minorHAnsi"/>
          <w:sz w:val="22"/>
          <w:szCs w:val="22"/>
        </w:rPr>
        <w:t xml:space="preserve">ESCR </w:t>
      </w:r>
      <w:r w:rsidRPr="000840B9">
        <w:rPr>
          <w:rFonts w:ascii="Avenir Book" w:hAnsi="Avenir Book" w:cstheme="minorHAnsi"/>
          <w:bCs/>
          <w:sz w:val="22"/>
          <w:szCs w:val="22"/>
        </w:rPr>
        <w:t>Committee</w:t>
      </w:r>
      <w:r w:rsidRPr="000840B9">
        <w:rPr>
          <w:rFonts w:ascii="Avenir Book" w:hAnsi="Avenir Book" w:cstheme="minorHAnsi"/>
          <w:b/>
          <w:bCs/>
          <w:sz w:val="22"/>
          <w:szCs w:val="22"/>
        </w:rPr>
        <w:t xml:space="preserve"> </w:t>
      </w:r>
      <w:r w:rsidRPr="000840B9">
        <w:rPr>
          <w:rFonts w:ascii="Avenir Book" w:hAnsi="Avenir Book" w:cstheme="minorHAnsi"/>
          <w:sz w:val="22"/>
          <w:szCs w:val="22"/>
        </w:rPr>
        <w:t xml:space="preserve">expressed its concern </w:t>
      </w:r>
      <w:r w:rsidRPr="000840B9">
        <w:rPr>
          <w:rFonts w:ascii="Avenir Book" w:hAnsi="Avenir Book" w:cstheme="minorHAnsi"/>
          <w:sz w:val="22"/>
          <w:szCs w:val="22"/>
          <w:lang w:eastAsia="en-GB"/>
        </w:rPr>
        <w:t>about the high levels of violence and abuse against persons with disability, especially those with intellectual disability and women with disability, placed in institutions or residences. The Committee also articulated its concern at the lack of effectiveness of oversight and complaint mechanisms in alternative care settings. The Committee recommended amongst other things, that Australia redouble its efforts to combat domestic violence against women and children, including among indigenous peoples; increase accommodation and support services, especially in rural and remote areas; fully implement the recommendations in the inquiry report by the Senate Community Affairs References Committee into violence, abuse and neglect against people with disability in institutional and residential settings (2015); and pay particular attention to ensure that women with disability who are victims of domestic violence can claim their rights.</w:t>
      </w:r>
    </w:p>
    <w:p w14:paraId="4AEA9867" w14:textId="77777777" w:rsidR="0091389D" w:rsidRPr="000840B9" w:rsidRDefault="0091389D" w:rsidP="00066509">
      <w:pPr>
        <w:pStyle w:val="ListParagraph"/>
        <w:ind w:left="0"/>
        <w:rPr>
          <w:rFonts w:ascii="Avenir Book" w:eastAsia="Calibri" w:hAnsi="Avenir Book" w:cstheme="minorHAnsi"/>
          <w:sz w:val="22"/>
          <w:szCs w:val="22"/>
        </w:rPr>
      </w:pPr>
    </w:p>
    <w:p w14:paraId="6037F636" w14:textId="00FFE0A0" w:rsidR="00F850F4" w:rsidRPr="000840B9" w:rsidRDefault="00F850F4" w:rsidP="00EF5411">
      <w:pPr>
        <w:pStyle w:val="ListParagraph"/>
        <w:numPr>
          <w:ilvl w:val="2"/>
          <w:numId w:val="29"/>
        </w:numPr>
        <w:tabs>
          <w:tab w:val="left" w:pos="0"/>
        </w:tabs>
        <w:ind w:left="709" w:hanging="709"/>
        <w:rPr>
          <w:rFonts w:ascii="Avenir Book" w:eastAsia="Calibri" w:hAnsi="Avenir Book" w:cstheme="minorHAnsi"/>
          <w:sz w:val="22"/>
          <w:szCs w:val="22"/>
        </w:rPr>
      </w:pPr>
      <w:r w:rsidRPr="000840B9">
        <w:rPr>
          <w:rFonts w:ascii="Avenir Book" w:hAnsi="Avenir Book" w:cstheme="minorHAnsi"/>
          <w:sz w:val="22"/>
          <w:szCs w:val="22"/>
        </w:rPr>
        <w:lastRenderedPageBreak/>
        <w:t>In 2017, the Human Rights Committee released its Concluding Observations</w:t>
      </w:r>
      <w:r w:rsidR="00CF430C" w:rsidRPr="000840B9">
        <w:rPr>
          <w:rStyle w:val="FootnoteReference"/>
          <w:rFonts w:ascii="Avenir Book" w:hAnsi="Avenir Book" w:cstheme="minorHAnsi"/>
          <w:sz w:val="22"/>
          <w:szCs w:val="22"/>
        </w:rPr>
        <w:footnoteReference w:id="103"/>
      </w:r>
      <w:r w:rsidR="00CF430C" w:rsidRPr="000840B9">
        <w:rPr>
          <w:rFonts w:ascii="Avenir Book" w:hAnsi="Avenir Book" w:cstheme="minorHAnsi"/>
          <w:sz w:val="22"/>
          <w:szCs w:val="22"/>
        </w:rPr>
        <w:t xml:space="preserve"> </w:t>
      </w:r>
      <w:r w:rsidRPr="000840B9">
        <w:rPr>
          <w:rFonts w:ascii="Avenir Book" w:hAnsi="Avenir Book" w:cstheme="minorHAnsi"/>
          <w:sz w:val="22"/>
          <w:szCs w:val="22"/>
        </w:rPr>
        <w:t xml:space="preserve">on the sixth periodic report of Australia under the </w:t>
      </w:r>
      <w:r w:rsidRPr="000840B9">
        <w:rPr>
          <w:rFonts w:ascii="Avenir Book" w:hAnsi="Avenir Book" w:cstheme="minorHAnsi"/>
          <w:bCs/>
          <w:sz w:val="22"/>
          <w:szCs w:val="22"/>
        </w:rPr>
        <w:t>International Covenant on Civil and Political Rights</w:t>
      </w:r>
      <w:r w:rsidRPr="000840B9">
        <w:rPr>
          <w:rFonts w:ascii="Avenir Book" w:hAnsi="Avenir Book" w:cstheme="minorHAnsi"/>
          <w:sz w:val="22"/>
          <w:szCs w:val="22"/>
        </w:rPr>
        <w:t xml:space="preserve">. While welcoming the various measures taken to address violence against women, the Committee specifically noted its concern that violence against women in Australia continues to have a disproportionate effect on women with disability and Indigenous women. </w:t>
      </w:r>
      <w:r w:rsidR="00CF430C" w:rsidRPr="000840B9">
        <w:rPr>
          <w:rFonts w:ascii="Avenir Book" w:hAnsi="Avenir Book" w:cstheme="minorHAnsi"/>
          <w:sz w:val="22"/>
          <w:szCs w:val="22"/>
        </w:rPr>
        <w:t>T</w:t>
      </w:r>
      <w:r w:rsidRPr="000840B9">
        <w:rPr>
          <w:rFonts w:ascii="Avenir Book" w:hAnsi="Avenir Book" w:cstheme="minorHAnsi"/>
          <w:sz w:val="22"/>
          <w:szCs w:val="22"/>
        </w:rPr>
        <w:t>he Committee recommended that Australia improve support services to women with disability who are victims of domestic violence, including through the implementation of the relevant recommendations from the Stop the Violence Project. The Committee also recommended that all allegations of sexual abuse, regardless of the time of their commission, are promptly, impartially, thoroughly and effectively investigated and perpetrators are brought to justice and, if found responsible, are punished in accordance with the gravity of their acts.</w:t>
      </w:r>
    </w:p>
    <w:p w14:paraId="3C03CC41" w14:textId="77777777" w:rsidR="0091389D" w:rsidRPr="000840B9" w:rsidRDefault="0091389D" w:rsidP="00E9283F">
      <w:pPr>
        <w:pStyle w:val="ListParagraph"/>
        <w:tabs>
          <w:tab w:val="left" w:pos="0"/>
        </w:tabs>
        <w:ind w:left="709" w:hanging="709"/>
        <w:rPr>
          <w:rFonts w:ascii="Avenir Book" w:eastAsia="Calibri" w:hAnsi="Avenir Book" w:cstheme="minorHAnsi"/>
          <w:sz w:val="22"/>
          <w:szCs w:val="22"/>
        </w:rPr>
      </w:pPr>
    </w:p>
    <w:p w14:paraId="7583BC5C" w14:textId="1C02DB43" w:rsidR="00F850F4" w:rsidRPr="000840B9" w:rsidRDefault="00F850F4" w:rsidP="00EF5411">
      <w:pPr>
        <w:pStyle w:val="ListParagraph"/>
        <w:numPr>
          <w:ilvl w:val="2"/>
          <w:numId w:val="29"/>
        </w:numPr>
        <w:tabs>
          <w:tab w:val="left" w:pos="0"/>
        </w:tabs>
        <w:ind w:left="709" w:hanging="709"/>
        <w:rPr>
          <w:rFonts w:ascii="Avenir Book" w:eastAsia="Calibri" w:hAnsi="Avenir Book" w:cstheme="minorHAnsi"/>
          <w:sz w:val="22"/>
          <w:szCs w:val="22"/>
        </w:rPr>
      </w:pPr>
      <w:r w:rsidRPr="000840B9">
        <w:rPr>
          <w:rFonts w:ascii="Avenir Book" w:hAnsi="Avenir Book" w:cstheme="minorHAnsi"/>
          <w:sz w:val="22"/>
          <w:szCs w:val="22"/>
        </w:rPr>
        <w:t xml:space="preserve">The </w:t>
      </w:r>
      <w:r w:rsidRPr="000840B9">
        <w:rPr>
          <w:rFonts w:ascii="Avenir Book" w:hAnsi="Avenir Book" w:cstheme="minorHAnsi"/>
          <w:bCs/>
          <w:sz w:val="22"/>
          <w:szCs w:val="22"/>
        </w:rPr>
        <w:t>Committee against Torture</w:t>
      </w:r>
      <w:r w:rsidRPr="000840B9">
        <w:rPr>
          <w:rFonts w:ascii="Avenir Book" w:hAnsi="Avenir Book" w:cstheme="minorHAnsi"/>
          <w:sz w:val="22"/>
          <w:szCs w:val="22"/>
        </w:rPr>
        <w:t xml:space="preserve"> </w:t>
      </w:r>
      <w:r w:rsidR="00CF430C" w:rsidRPr="000840B9">
        <w:rPr>
          <w:rFonts w:ascii="Avenir Book" w:hAnsi="Avenir Book" w:cstheme="minorHAnsi"/>
          <w:sz w:val="22"/>
          <w:szCs w:val="22"/>
        </w:rPr>
        <w:t xml:space="preserve">(CAT Committee) </w:t>
      </w:r>
      <w:r w:rsidRPr="000840B9">
        <w:rPr>
          <w:rFonts w:ascii="Avenir Book" w:hAnsi="Avenir Book" w:cstheme="minorHAnsi"/>
          <w:sz w:val="22"/>
          <w:szCs w:val="22"/>
        </w:rPr>
        <w:t>reviewed the combined fourth and fifth periodic reports of Australia in 2014. The Concluding Observations</w:t>
      </w:r>
      <w:r w:rsidR="00CF430C" w:rsidRPr="000840B9">
        <w:rPr>
          <w:rStyle w:val="FootnoteReference"/>
          <w:rFonts w:ascii="Avenir Book" w:hAnsi="Avenir Book" w:cstheme="minorHAnsi"/>
          <w:sz w:val="22"/>
          <w:szCs w:val="22"/>
        </w:rPr>
        <w:footnoteReference w:id="104"/>
      </w:r>
      <w:r w:rsidR="00CF430C" w:rsidRPr="000840B9">
        <w:rPr>
          <w:rFonts w:ascii="Avenir Book" w:hAnsi="Avenir Book" w:cstheme="minorHAnsi"/>
          <w:sz w:val="22"/>
          <w:szCs w:val="22"/>
        </w:rPr>
        <w:t xml:space="preserve"> </w:t>
      </w:r>
      <w:r w:rsidRPr="000840B9">
        <w:rPr>
          <w:rFonts w:ascii="Avenir Book" w:hAnsi="Avenir Book" w:cstheme="minorHAnsi"/>
          <w:sz w:val="22"/>
          <w:szCs w:val="22"/>
        </w:rPr>
        <w:t xml:space="preserve">from the review noted the Committee’s concern that violence against women in Australia disproportionately affects women with disability and Indigenous women. The Committee recommended amongst other things that Australia redouble its efforts to prevent and combat all forms of violence against women and increase its efforts to address violence against women with disability and Indigenous women. </w:t>
      </w:r>
    </w:p>
    <w:p w14:paraId="59DE1686" w14:textId="77777777" w:rsidR="00F850F4" w:rsidRPr="000840B9" w:rsidRDefault="00F850F4" w:rsidP="00F850F4">
      <w:pPr>
        <w:spacing w:line="276" w:lineRule="auto"/>
        <w:jc w:val="both"/>
        <w:rPr>
          <w:rFonts w:ascii="Avenir Book" w:hAnsi="Avenir Book" w:cstheme="minorHAnsi"/>
          <w:sz w:val="22"/>
          <w:szCs w:val="22"/>
        </w:rPr>
      </w:pPr>
    </w:p>
    <w:p w14:paraId="0B42E16E" w14:textId="00970099" w:rsidR="00D55076" w:rsidRPr="00CB6643" w:rsidRDefault="007022C5" w:rsidP="00E9283F">
      <w:pPr>
        <w:snapToGrid w:val="0"/>
        <w:spacing w:after="120"/>
        <w:ind w:left="709" w:hanging="709"/>
        <w:rPr>
          <w:rFonts w:ascii="Avenir Book" w:hAnsi="Avenir Book" w:cstheme="minorHAnsi"/>
          <w:b/>
          <w:color w:val="AC1F79"/>
        </w:rPr>
      </w:pPr>
      <w:r w:rsidRPr="00CB6643">
        <w:rPr>
          <w:rFonts w:ascii="Avenir Book" w:hAnsi="Avenir Book" w:cstheme="minorHAnsi"/>
          <w:b/>
          <w:color w:val="AC1F79"/>
        </w:rPr>
        <w:t xml:space="preserve">10.4  </w:t>
      </w:r>
      <w:r w:rsidRPr="00CB6643">
        <w:rPr>
          <w:rFonts w:ascii="Avenir Book" w:hAnsi="Avenir Book" w:cstheme="minorHAnsi"/>
          <w:b/>
          <w:color w:val="AC1F79"/>
        </w:rPr>
        <w:tab/>
        <w:t>Rights of the Child</w:t>
      </w:r>
      <w:r w:rsidR="001B7338" w:rsidRPr="00CB6643">
        <w:rPr>
          <w:rFonts w:ascii="Avenir Book" w:hAnsi="Avenir Book" w:cstheme="minorHAnsi"/>
          <w:b/>
          <w:color w:val="AC1F79"/>
        </w:rPr>
        <w:t>:</w:t>
      </w:r>
    </w:p>
    <w:p w14:paraId="78AFF745" w14:textId="406112F5" w:rsidR="0063051A" w:rsidRPr="000840B9" w:rsidRDefault="004F3C12" w:rsidP="00E9283F">
      <w:pPr>
        <w:ind w:left="709" w:hanging="709"/>
        <w:rPr>
          <w:rFonts w:ascii="Avenir Book" w:eastAsia="Calibri" w:hAnsi="Avenir Book" w:cstheme="minorHAnsi"/>
          <w:sz w:val="22"/>
          <w:szCs w:val="22"/>
        </w:rPr>
      </w:pPr>
      <w:r w:rsidRPr="000840B9">
        <w:rPr>
          <w:rFonts w:ascii="Avenir Book" w:hAnsi="Avenir Book" w:cstheme="minorHAnsi"/>
          <w:sz w:val="22"/>
          <w:szCs w:val="22"/>
        </w:rPr>
        <w:t>10.4.1</w:t>
      </w:r>
      <w:r w:rsidRPr="000840B9">
        <w:rPr>
          <w:rFonts w:ascii="Avenir Book" w:hAnsi="Avenir Book" w:cstheme="minorHAnsi"/>
          <w:sz w:val="22"/>
          <w:szCs w:val="22"/>
        </w:rPr>
        <w:tab/>
      </w:r>
      <w:r w:rsidR="00F850F4" w:rsidRPr="000840B9">
        <w:rPr>
          <w:rFonts w:ascii="Avenir Book" w:eastAsia="Calibri" w:hAnsi="Avenir Book" w:cstheme="minorHAnsi"/>
          <w:sz w:val="22"/>
          <w:szCs w:val="22"/>
        </w:rPr>
        <w:t xml:space="preserve">In its 2019 Concluding Observations the </w:t>
      </w:r>
      <w:r w:rsidR="00B7091B" w:rsidRPr="000840B9">
        <w:rPr>
          <w:rFonts w:ascii="Avenir Book" w:eastAsia="Calibri" w:hAnsi="Avenir Book" w:cstheme="minorHAnsi"/>
          <w:sz w:val="22"/>
          <w:szCs w:val="22"/>
        </w:rPr>
        <w:t xml:space="preserve">CRPD </w:t>
      </w:r>
      <w:r w:rsidR="00F850F4" w:rsidRPr="000840B9">
        <w:rPr>
          <w:rFonts w:ascii="Avenir Book" w:eastAsia="Calibri" w:hAnsi="Avenir Book" w:cstheme="minorHAnsi"/>
          <w:bCs/>
          <w:sz w:val="22"/>
          <w:szCs w:val="22"/>
        </w:rPr>
        <w:t>Committee</w:t>
      </w:r>
      <w:r w:rsidR="00F850F4" w:rsidRPr="000840B9">
        <w:rPr>
          <w:rFonts w:ascii="Avenir Book" w:eastAsia="Calibri" w:hAnsi="Avenir Book" w:cstheme="minorHAnsi"/>
          <w:b/>
          <w:bCs/>
          <w:sz w:val="22"/>
          <w:szCs w:val="22"/>
        </w:rPr>
        <w:t xml:space="preserve"> </w:t>
      </w:r>
      <w:r w:rsidR="00F850F4" w:rsidRPr="000840B9">
        <w:rPr>
          <w:rFonts w:ascii="Avenir Book" w:eastAsia="Calibri" w:hAnsi="Avenir Book" w:cstheme="minorHAnsi"/>
          <w:sz w:val="22"/>
          <w:szCs w:val="22"/>
        </w:rPr>
        <w:t xml:space="preserve">recommended that Australia: </w:t>
      </w:r>
      <w:r w:rsidR="00F850F4" w:rsidRPr="000840B9">
        <w:rPr>
          <w:rFonts w:ascii="Avenir Book" w:hAnsi="Avenir Book" w:cstheme="minorHAnsi"/>
          <w:bCs/>
          <w:sz w:val="22"/>
          <w:szCs w:val="22"/>
          <w:lang w:val="en-GB"/>
        </w:rPr>
        <w:t xml:space="preserve">amend legislation to guarantee that children with disability are provided with age-appropriate support and accommodations to express their views in all matters that affect their rights or interests; include a focus on the rights of children with disability in national plans of action for the realisation of the rights of the child; facilitate access to services under the National Disability Insurance Scheme for women and girls with disability, particularly Indigenous women and girls with disability; strengthen measures to address multiple and intersectional forms of discrimination against women and girls with disability; end the practice of detaining and restraining children with disability in any setting; </w:t>
      </w:r>
      <w:r w:rsidR="00F850F4" w:rsidRPr="000840B9">
        <w:rPr>
          <w:rFonts w:ascii="Avenir Book" w:eastAsia="Calibri" w:hAnsi="Avenir Book" w:cstheme="minorHAnsi"/>
          <w:sz w:val="22"/>
          <w:szCs w:val="22"/>
        </w:rPr>
        <w:t>ensure inclusion of women and girls with disability in the National Plan to Reduce Violence Against Women and their Children; ensure accessible gender and age sensitive domestic violence, sexual assault and related violence services that are inclusive of women and girls with disability; and address the methodological restrictions in data collection instruments used to capture data on violence against women and girls with disability.</w:t>
      </w:r>
    </w:p>
    <w:p w14:paraId="5E58CEE1" w14:textId="77777777" w:rsidR="0063051A" w:rsidRPr="000840B9" w:rsidRDefault="0063051A" w:rsidP="00066509">
      <w:pPr>
        <w:rPr>
          <w:rFonts w:ascii="Avenir Book" w:eastAsia="Calibri" w:hAnsi="Avenir Book" w:cstheme="minorHAnsi"/>
          <w:sz w:val="22"/>
          <w:szCs w:val="22"/>
        </w:rPr>
      </w:pPr>
    </w:p>
    <w:p w14:paraId="4FB7967D" w14:textId="6EC8F2A4" w:rsidR="00F850F4" w:rsidRPr="000840B9" w:rsidRDefault="0063051A" w:rsidP="00E9283F">
      <w:pPr>
        <w:ind w:left="709" w:hanging="709"/>
        <w:rPr>
          <w:rFonts w:ascii="Avenir Book" w:hAnsi="Avenir Book" w:cstheme="minorHAnsi"/>
          <w:sz w:val="22"/>
          <w:szCs w:val="22"/>
        </w:rPr>
      </w:pPr>
      <w:r w:rsidRPr="000840B9">
        <w:rPr>
          <w:rFonts w:ascii="Avenir Book" w:eastAsia="Calibri" w:hAnsi="Avenir Book" w:cstheme="minorHAnsi"/>
          <w:sz w:val="22"/>
          <w:szCs w:val="22"/>
        </w:rPr>
        <w:t>10.4.2</w:t>
      </w:r>
      <w:r w:rsidRPr="000840B9">
        <w:rPr>
          <w:rFonts w:ascii="Avenir Book" w:eastAsia="Calibri" w:hAnsi="Avenir Book" w:cstheme="minorHAnsi"/>
          <w:sz w:val="22"/>
          <w:szCs w:val="22"/>
        </w:rPr>
        <w:tab/>
      </w:r>
      <w:r w:rsidR="00F850F4" w:rsidRPr="000840B9">
        <w:rPr>
          <w:rFonts w:ascii="Avenir Book" w:eastAsiaTheme="minorEastAsia" w:hAnsi="Avenir Book" w:cstheme="minorHAnsi"/>
          <w:color w:val="000000" w:themeColor="text1"/>
          <w:sz w:val="22"/>
          <w:szCs w:val="22"/>
          <w:shd w:val="clear" w:color="auto" w:fill="FFFFFF"/>
          <w:lang w:eastAsia="en-AU"/>
        </w:rPr>
        <w:t>In 2018</w:t>
      </w:r>
      <w:r w:rsidR="00B7091B" w:rsidRPr="000840B9">
        <w:rPr>
          <w:rFonts w:ascii="Avenir Book" w:eastAsiaTheme="minorEastAsia" w:hAnsi="Avenir Book" w:cstheme="minorHAnsi"/>
          <w:color w:val="000000" w:themeColor="text1"/>
          <w:sz w:val="22"/>
          <w:szCs w:val="22"/>
          <w:shd w:val="clear" w:color="auto" w:fill="FFFFFF"/>
          <w:lang w:eastAsia="en-AU"/>
        </w:rPr>
        <w:t xml:space="preserve">, </w:t>
      </w:r>
      <w:r w:rsidR="00F850F4" w:rsidRPr="000840B9">
        <w:rPr>
          <w:rFonts w:ascii="Avenir Book" w:eastAsiaTheme="minorEastAsia" w:hAnsi="Avenir Book" w:cstheme="minorHAnsi"/>
          <w:color w:val="000000" w:themeColor="text1"/>
          <w:sz w:val="22"/>
          <w:szCs w:val="22"/>
          <w:shd w:val="clear" w:color="auto" w:fill="FFFFFF"/>
          <w:lang w:eastAsia="en-AU"/>
        </w:rPr>
        <w:t xml:space="preserve">the </w:t>
      </w:r>
      <w:r w:rsidR="00B7091B" w:rsidRPr="000840B9">
        <w:rPr>
          <w:rFonts w:ascii="Avenir Book" w:eastAsiaTheme="minorEastAsia" w:hAnsi="Avenir Book" w:cstheme="minorHAnsi"/>
          <w:color w:val="000000" w:themeColor="text1"/>
          <w:sz w:val="22"/>
          <w:szCs w:val="22"/>
          <w:shd w:val="clear" w:color="auto" w:fill="FFFFFF"/>
          <w:lang w:eastAsia="en-AU"/>
        </w:rPr>
        <w:t>CEDAW</w:t>
      </w:r>
      <w:r w:rsidR="00F850F4" w:rsidRPr="000840B9">
        <w:rPr>
          <w:rFonts w:ascii="Avenir Book" w:hAnsi="Avenir Book" w:cstheme="minorHAnsi"/>
          <w:sz w:val="22"/>
          <w:szCs w:val="22"/>
        </w:rPr>
        <w:t xml:space="preserve"> Committee recommended that Australia abolish the practices of the non-consensual administration of contraceptives to, the performance of abortion on and the sterilisation of women and girls with </w:t>
      </w:r>
      <w:r w:rsidR="00066509" w:rsidRPr="000840B9">
        <w:rPr>
          <w:rFonts w:ascii="Avenir Book" w:hAnsi="Avenir Book" w:cstheme="minorHAnsi"/>
          <w:sz w:val="22"/>
          <w:szCs w:val="22"/>
        </w:rPr>
        <w:t>disabilities and</w:t>
      </w:r>
      <w:r w:rsidR="00F850F4" w:rsidRPr="000840B9">
        <w:rPr>
          <w:rFonts w:ascii="Avenir Book" w:hAnsi="Avenir Book" w:cstheme="minorHAnsi"/>
          <w:sz w:val="22"/>
          <w:szCs w:val="22"/>
        </w:rPr>
        <w:t xml:space="preserve"> develop and enforce strict guidelines on the sexual and reproductive health rights of women and girls with disability. </w:t>
      </w:r>
    </w:p>
    <w:p w14:paraId="48F40B23" w14:textId="555C0F63" w:rsidR="0063051A" w:rsidRPr="000840B9" w:rsidRDefault="0063051A" w:rsidP="00066509">
      <w:pPr>
        <w:rPr>
          <w:rFonts w:ascii="Avenir Book" w:eastAsia="Calibri" w:hAnsi="Avenir Book" w:cstheme="minorHAnsi"/>
          <w:sz w:val="22"/>
          <w:szCs w:val="22"/>
        </w:rPr>
      </w:pPr>
    </w:p>
    <w:p w14:paraId="01746314" w14:textId="2D748844" w:rsidR="00F850F4" w:rsidRPr="000840B9" w:rsidRDefault="0063051A" w:rsidP="00E9283F">
      <w:pPr>
        <w:ind w:left="851" w:hanging="851"/>
        <w:rPr>
          <w:rFonts w:ascii="Avenir Book" w:eastAsia="Calibri" w:hAnsi="Avenir Book" w:cstheme="minorHAnsi"/>
          <w:sz w:val="22"/>
          <w:szCs w:val="22"/>
        </w:rPr>
      </w:pPr>
      <w:r w:rsidRPr="000840B9">
        <w:rPr>
          <w:rFonts w:ascii="Avenir Book" w:eastAsia="Calibri" w:hAnsi="Avenir Book" w:cstheme="minorHAnsi"/>
          <w:sz w:val="22"/>
          <w:szCs w:val="22"/>
        </w:rPr>
        <w:lastRenderedPageBreak/>
        <w:t>10.4.</w:t>
      </w:r>
      <w:r w:rsidR="00B7091B" w:rsidRPr="000840B9">
        <w:rPr>
          <w:rFonts w:ascii="Avenir Book" w:eastAsia="Calibri" w:hAnsi="Avenir Book" w:cstheme="minorHAnsi"/>
          <w:sz w:val="22"/>
          <w:szCs w:val="22"/>
        </w:rPr>
        <w:t>3</w:t>
      </w:r>
      <w:r w:rsidRPr="000840B9">
        <w:rPr>
          <w:rFonts w:ascii="Avenir Book" w:eastAsia="Calibri" w:hAnsi="Avenir Book" w:cstheme="minorHAnsi"/>
          <w:sz w:val="22"/>
          <w:szCs w:val="22"/>
        </w:rPr>
        <w:tab/>
      </w:r>
      <w:r w:rsidR="00F850F4" w:rsidRPr="000840B9">
        <w:rPr>
          <w:rFonts w:ascii="Avenir Book" w:hAnsi="Avenir Book" w:cstheme="minorHAnsi"/>
          <w:sz w:val="22"/>
          <w:szCs w:val="22"/>
        </w:rPr>
        <w:t xml:space="preserve">In 2019, the </w:t>
      </w:r>
      <w:r w:rsidR="00B7091B" w:rsidRPr="000840B9">
        <w:rPr>
          <w:rFonts w:ascii="Avenir Book" w:hAnsi="Avenir Book" w:cstheme="minorHAnsi"/>
          <w:sz w:val="22"/>
          <w:szCs w:val="22"/>
        </w:rPr>
        <w:t xml:space="preserve">CRC </w:t>
      </w:r>
      <w:r w:rsidR="00F850F4" w:rsidRPr="000840B9">
        <w:rPr>
          <w:rFonts w:ascii="Avenir Book" w:hAnsi="Avenir Book" w:cstheme="minorHAnsi"/>
          <w:bCs/>
          <w:sz w:val="22"/>
          <w:szCs w:val="22"/>
        </w:rPr>
        <w:t>Committee</w:t>
      </w:r>
      <w:r w:rsidR="00F850F4" w:rsidRPr="000840B9">
        <w:rPr>
          <w:rFonts w:ascii="Avenir Book" w:hAnsi="Avenir Book" w:cstheme="minorHAnsi"/>
          <w:b/>
          <w:bCs/>
          <w:sz w:val="22"/>
          <w:szCs w:val="22"/>
        </w:rPr>
        <w:t xml:space="preserve"> </w:t>
      </w:r>
      <w:r w:rsidR="00F850F4" w:rsidRPr="000840B9">
        <w:rPr>
          <w:rFonts w:ascii="Avenir Book" w:hAnsi="Avenir Book" w:cstheme="minorHAnsi"/>
          <w:sz w:val="22"/>
          <w:szCs w:val="22"/>
        </w:rPr>
        <w:t xml:space="preserve">recommended that Australia: enact </w:t>
      </w:r>
      <w:r w:rsidR="00F850F4" w:rsidRPr="000840B9">
        <w:rPr>
          <w:rFonts w:ascii="Avenir Book" w:hAnsi="Avenir Book" w:cstheme="minorHAnsi"/>
          <w:bCs/>
          <w:sz w:val="22"/>
          <w:szCs w:val="22"/>
          <w:lang w:val="en-GB"/>
        </w:rPr>
        <w:t>legislation explicitly prohibiting forced or coerced sterilisation of girls with disability, or unnecessary medical or surgical treatment, guaranteeing the bodily integrity and autonomy of intersex children and providing adequate support and counselling to families of intersex children. The Committee also recommended strengthening measures to provide children with education on sexual and reproductive health as part of the mandatory school curriculum</w:t>
      </w:r>
      <w:r w:rsidR="007022C5" w:rsidRPr="000840B9">
        <w:rPr>
          <w:rFonts w:ascii="Avenir Book" w:hAnsi="Avenir Book" w:cstheme="minorHAnsi"/>
          <w:bCs/>
          <w:sz w:val="22"/>
          <w:szCs w:val="22"/>
          <w:lang w:val="en-GB"/>
        </w:rPr>
        <w:t>.</w:t>
      </w:r>
      <w:r w:rsidR="00F850F4" w:rsidRPr="000840B9">
        <w:rPr>
          <w:rFonts w:ascii="Avenir Book" w:hAnsi="Avenir Book" w:cstheme="minorHAnsi"/>
          <w:bCs/>
          <w:sz w:val="22"/>
          <w:szCs w:val="22"/>
          <w:lang w:val="en-GB"/>
        </w:rPr>
        <w:t xml:space="preserve"> The Committee further recommended that the action plans under the National Framework for Protecting Australia’s Children 2009–2020 and the National Plan to Reduce Violence against Women and their Children 2010–2022 be reviewed to prioritise the implementation of key violence prevention and response measures for children of all ages, in particular against girls. The Committee also recommended to strengthen its measures to enhance children’s meaningful and empowered participation in the family, in the community and in schools, paying particular attention to girls, children with disability and Indigenous children.</w:t>
      </w:r>
    </w:p>
    <w:p w14:paraId="2FB6B2BF" w14:textId="77777777" w:rsidR="00F850F4" w:rsidRPr="000840B9" w:rsidRDefault="00F850F4" w:rsidP="00E9283F">
      <w:pPr>
        <w:spacing w:line="276" w:lineRule="auto"/>
        <w:ind w:left="851" w:hanging="851"/>
        <w:rPr>
          <w:rFonts w:ascii="Avenir Book" w:hAnsi="Avenir Book" w:cstheme="minorHAnsi"/>
          <w:sz w:val="22"/>
          <w:szCs w:val="22"/>
        </w:rPr>
      </w:pPr>
    </w:p>
    <w:p w14:paraId="54FF9FF0" w14:textId="3397B8E2" w:rsidR="00311DC1" w:rsidRPr="00CB6643" w:rsidRDefault="00311DC1" w:rsidP="00E9283F">
      <w:pPr>
        <w:snapToGrid w:val="0"/>
        <w:spacing w:after="120"/>
        <w:ind w:left="851" w:hanging="851"/>
        <w:rPr>
          <w:rFonts w:ascii="Avenir Book" w:hAnsi="Avenir Book" w:cstheme="minorHAnsi"/>
          <w:b/>
          <w:color w:val="AC1F79"/>
        </w:rPr>
      </w:pPr>
      <w:r w:rsidRPr="00CB6643">
        <w:rPr>
          <w:rFonts w:ascii="Avenir Book" w:hAnsi="Avenir Book" w:cstheme="minorHAnsi"/>
          <w:b/>
          <w:color w:val="AC1F79"/>
        </w:rPr>
        <w:t>10.</w:t>
      </w:r>
      <w:r w:rsidR="00B7091B" w:rsidRPr="00CB6643">
        <w:rPr>
          <w:rFonts w:ascii="Avenir Book" w:hAnsi="Avenir Book" w:cstheme="minorHAnsi"/>
          <w:b/>
          <w:color w:val="AC1F79"/>
        </w:rPr>
        <w:t>5</w:t>
      </w:r>
      <w:r w:rsidRPr="00CB6643">
        <w:rPr>
          <w:rFonts w:ascii="Avenir Book" w:hAnsi="Avenir Book" w:cstheme="minorHAnsi"/>
          <w:b/>
          <w:color w:val="AC1F79"/>
        </w:rPr>
        <w:tab/>
        <w:t>Right</w:t>
      </w:r>
      <w:r w:rsidR="007A053E" w:rsidRPr="00CB6643">
        <w:rPr>
          <w:rFonts w:ascii="Avenir Book" w:hAnsi="Avenir Book" w:cstheme="minorHAnsi"/>
          <w:b/>
          <w:color w:val="AC1F79"/>
        </w:rPr>
        <w:t>s</w:t>
      </w:r>
      <w:r w:rsidR="00B7091B" w:rsidRPr="00CB6643">
        <w:rPr>
          <w:rFonts w:ascii="Avenir Book" w:hAnsi="Avenir Book" w:cstheme="minorHAnsi"/>
          <w:b/>
          <w:color w:val="AC1F79"/>
        </w:rPr>
        <w:t xml:space="preserve"> to </w:t>
      </w:r>
      <w:r w:rsidR="007A053E" w:rsidRPr="00CB6643">
        <w:rPr>
          <w:rFonts w:ascii="Avenir Book" w:hAnsi="Avenir Book" w:cstheme="minorHAnsi"/>
          <w:b/>
          <w:color w:val="AC1F79"/>
        </w:rPr>
        <w:t xml:space="preserve">equality, </w:t>
      </w:r>
      <w:r w:rsidR="00B7091B" w:rsidRPr="00CB6643">
        <w:rPr>
          <w:rFonts w:ascii="Avenir Book" w:hAnsi="Avenir Book" w:cstheme="minorHAnsi"/>
          <w:b/>
          <w:color w:val="AC1F79"/>
        </w:rPr>
        <w:t>non-discrimination and participation</w:t>
      </w:r>
      <w:r w:rsidRPr="00CB6643">
        <w:rPr>
          <w:rFonts w:ascii="Avenir Book" w:hAnsi="Avenir Book" w:cstheme="minorHAnsi"/>
          <w:b/>
          <w:color w:val="AC1F79"/>
        </w:rPr>
        <w:t>:</w:t>
      </w:r>
    </w:p>
    <w:p w14:paraId="69C046A6" w14:textId="4872866A" w:rsidR="00B54E85" w:rsidRPr="000840B9" w:rsidRDefault="00B7091B" w:rsidP="00E9283F">
      <w:pPr>
        <w:snapToGrid w:val="0"/>
        <w:ind w:left="851" w:hanging="851"/>
        <w:rPr>
          <w:rFonts w:ascii="Avenir Book" w:hAnsi="Avenir Book" w:cstheme="minorHAnsi"/>
          <w:bCs/>
          <w:sz w:val="22"/>
          <w:szCs w:val="22"/>
        </w:rPr>
      </w:pPr>
      <w:r w:rsidRPr="000840B9">
        <w:rPr>
          <w:rFonts w:ascii="Avenir Book" w:hAnsi="Avenir Book" w:cstheme="minorHAnsi"/>
          <w:sz w:val="22"/>
          <w:szCs w:val="22"/>
        </w:rPr>
        <w:t>10.5.1</w:t>
      </w:r>
      <w:r w:rsidRPr="000840B9">
        <w:rPr>
          <w:rFonts w:ascii="Avenir Book" w:hAnsi="Avenir Book" w:cstheme="minorHAnsi"/>
          <w:sz w:val="22"/>
          <w:szCs w:val="22"/>
        </w:rPr>
        <w:tab/>
      </w:r>
      <w:r w:rsidR="00B54E85" w:rsidRPr="000840B9">
        <w:rPr>
          <w:rFonts w:ascii="Avenir Book" w:eastAsia="Calibri" w:hAnsi="Avenir Book" w:cstheme="minorHAnsi"/>
          <w:sz w:val="22"/>
          <w:szCs w:val="22"/>
        </w:rPr>
        <w:t>In its 2019 Concluding Observations</w:t>
      </w:r>
      <w:r w:rsidRPr="000840B9">
        <w:rPr>
          <w:rFonts w:ascii="Avenir Book" w:eastAsia="Calibri" w:hAnsi="Avenir Book" w:cstheme="minorHAnsi"/>
          <w:sz w:val="22"/>
          <w:szCs w:val="22"/>
        </w:rPr>
        <w:t xml:space="preserve">, the CRPD Committee </w:t>
      </w:r>
      <w:r w:rsidR="00B54E85" w:rsidRPr="000840B9">
        <w:rPr>
          <w:rFonts w:ascii="Avenir Book" w:eastAsia="Calibri" w:hAnsi="Avenir Book" w:cstheme="minorHAnsi"/>
          <w:sz w:val="22"/>
          <w:szCs w:val="22"/>
        </w:rPr>
        <w:t xml:space="preserve">expressed and reiterated a number of concerns from its 2013 initial review of Australia: the lack of an effective </w:t>
      </w:r>
      <w:r w:rsidR="00B54E85" w:rsidRPr="000840B9">
        <w:rPr>
          <w:rFonts w:ascii="Avenir Book" w:hAnsi="Avenir Book" w:cstheme="minorHAnsi"/>
          <w:sz w:val="22"/>
          <w:szCs w:val="22"/>
        </w:rPr>
        <w:t xml:space="preserve">legislative framework to protect people with disability from systemic, intersectional and multiple forms of discrimination; a lack of an effective monitoring mechanism and insufficient resources to effectively implement the National Disability Strategy; limited opportunities for women and girls with disability to participate in the development of policies regarding the rights of women and gender equality; and the lack of nationally consistent measures for the collection and public reporting of disaggregated data on the full range of obligations contained in the Convention.  The Committee recommended that Australia: enact a comprehensive national human rights law; strengthen anti-discrimination laws to </w:t>
      </w:r>
      <w:r w:rsidR="00B54E85" w:rsidRPr="000840B9">
        <w:rPr>
          <w:rFonts w:ascii="Avenir Book" w:hAnsi="Avenir Book" w:cstheme="minorHAnsi"/>
          <w:bCs/>
          <w:sz w:val="22"/>
          <w:szCs w:val="22"/>
        </w:rPr>
        <w:t>address and prohibit systemic, intersectional and multiple forms of discrimination; provide sufficient resources and establish a formal monitoring mechanism for the National Disability Strategy; and develop a national disability data framework to ensure nationally consistent measures for the collection and public reporting of disaggregated data on the full range of obligations contained in the Convention, especially with regard to women, children and Indigenous persons with disabilities. The Committee further recommended that Australia strengthen measures to address multiple and intersectional forms of discrimination against women and girls with disability and, in particular, adequately support organisations and networks of women and girls with disability, particularly those representing Indigenous women and girls with disability, to engage in all initiatives to promote gender equality and ensure their effective participation in the development of policies for gender equality and the advancement of women and girls.</w:t>
      </w:r>
    </w:p>
    <w:p w14:paraId="6C9B60D4" w14:textId="1FDE9A6E" w:rsidR="00B7091B" w:rsidRPr="000840B9" w:rsidRDefault="00B7091B" w:rsidP="003F0223">
      <w:pPr>
        <w:snapToGrid w:val="0"/>
        <w:ind w:left="851" w:hanging="851"/>
        <w:rPr>
          <w:rFonts w:ascii="Avenir Book" w:hAnsi="Avenir Book" w:cstheme="minorHAnsi"/>
          <w:sz w:val="22"/>
          <w:szCs w:val="22"/>
        </w:rPr>
      </w:pPr>
    </w:p>
    <w:p w14:paraId="49BF85D1" w14:textId="325EE0C7" w:rsidR="00B54E85" w:rsidRPr="000840B9" w:rsidRDefault="00B7091B" w:rsidP="00E9283F">
      <w:pPr>
        <w:snapToGrid w:val="0"/>
        <w:ind w:left="851" w:hanging="851"/>
        <w:rPr>
          <w:rFonts w:ascii="Avenir Book" w:hAnsi="Avenir Book" w:cstheme="minorHAnsi"/>
          <w:sz w:val="22"/>
          <w:szCs w:val="22"/>
        </w:rPr>
      </w:pPr>
      <w:r w:rsidRPr="000840B9">
        <w:rPr>
          <w:rFonts w:ascii="Avenir Book" w:hAnsi="Avenir Book" w:cstheme="minorHAnsi"/>
          <w:sz w:val="22"/>
          <w:szCs w:val="22"/>
        </w:rPr>
        <w:t>10.5.2</w:t>
      </w:r>
      <w:r w:rsidRPr="000840B9">
        <w:rPr>
          <w:rFonts w:ascii="Avenir Book" w:hAnsi="Avenir Book" w:cstheme="minorHAnsi"/>
          <w:sz w:val="22"/>
          <w:szCs w:val="22"/>
        </w:rPr>
        <w:tab/>
      </w:r>
      <w:r w:rsidR="00B54E85" w:rsidRPr="000840B9">
        <w:rPr>
          <w:rFonts w:ascii="Avenir Book" w:hAnsi="Avenir Book" w:cstheme="minorHAnsi"/>
          <w:sz w:val="22"/>
          <w:szCs w:val="22"/>
        </w:rPr>
        <w:t>The</w:t>
      </w:r>
      <w:r w:rsidRPr="000840B9">
        <w:rPr>
          <w:rFonts w:ascii="Avenir Book" w:hAnsi="Avenir Book" w:cstheme="minorHAnsi"/>
          <w:sz w:val="22"/>
          <w:szCs w:val="22"/>
        </w:rPr>
        <w:t xml:space="preserve"> CEDAW Committee </w:t>
      </w:r>
      <w:r w:rsidR="00B54E85" w:rsidRPr="000840B9">
        <w:rPr>
          <w:rFonts w:ascii="Avenir Book" w:hAnsi="Avenir Book" w:cstheme="minorHAnsi"/>
          <w:sz w:val="22"/>
          <w:szCs w:val="22"/>
        </w:rPr>
        <w:t xml:space="preserve">expressed its concern at the lack of harmonisation of anti-discrimination legislation, and the absence of a Charter of Human Rights that guarantees equality between women and men or a general prohibition of discrimination against women. Amongst other things, the Committee recommended that Australia harmonise federal, state and territory legislation against discrimination in line with the Convention; and, fully incorporate the Convention into national law by adopting a Charter of Human Rights that includes a guarantee of equality between women and </w:t>
      </w:r>
      <w:r w:rsidR="003F0223" w:rsidRPr="000840B9">
        <w:rPr>
          <w:rFonts w:ascii="Avenir Book" w:hAnsi="Avenir Book" w:cstheme="minorHAnsi"/>
          <w:sz w:val="22"/>
          <w:szCs w:val="22"/>
        </w:rPr>
        <w:t>men and</w:t>
      </w:r>
      <w:r w:rsidR="00B54E85" w:rsidRPr="000840B9">
        <w:rPr>
          <w:rFonts w:ascii="Avenir Book" w:hAnsi="Avenir Book" w:cstheme="minorHAnsi"/>
          <w:sz w:val="22"/>
          <w:szCs w:val="22"/>
        </w:rPr>
        <w:t xml:space="preserve"> prohibits </w:t>
      </w:r>
      <w:r w:rsidR="00B54E85" w:rsidRPr="000840B9">
        <w:rPr>
          <w:rFonts w:ascii="Avenir Book" w:hAnsi="Avenir Book" w:cstheme="minorHAnsi"/>
          <w:sz w:val="22"/>
          <w:szCs w:val="22"/>
        </w:rPr>
        <w:lastRenderedPageBreak/>
        <w:t xml:space="preserve">discrimination against women. The Committee further recommended that Australia adopt a comprehensive national gender equality policy with performance </w:t>
      </w:r>
      <w:r w:rsidR="003F0223" w:rsidRPr="000840B9">
        <w:rPr>
          <w:rFonts w:ascii="Avenir Book" w:hAnsi="Avenir Book" w:cstheme="minorHAnsi"/>
          <w:sz w:val="22"/>
          <w:szCs w:val="22"/>
        </w:rPr>
        <w:t>indicators and</w:t>
      </w:r>
      <w:r w:rsidR="00B54E85" w:rsidRPr="000840B9">
        <w:rPr>
          <w:rFonts w:ascii="Avenir Book" w:hAnsi="Avenir Book" w:cstheme="minorHAnsi"/>
          <w:sz w:val="22"/>
          <w:szCs w:val="22"/>
        </w:rPr>
        <w:t xml:space="preserve"> ensure sufficient human and financial resources to coordinate and monitor the implementation of that policy.</w:t>
      </w:r>
    </w:p>
    <w:p w14:paraId="5DE6B972" w14:textId="776541EC" w:rsidR="00B7091B" w:rsidRPr="000840B9" w:rsidRDefault="00B7091B" w:rsidP="00E9283F">
      <w:pPr>
        <w:snapToGrid w:val="0"/>
        <w:ind w:left="851" w:hanging="851"/>
        <w:rPr>
          <w:rFonts w:ascii="Avenir Book" w:hAnsi="Avenir Book" w:cstheme="minorHAnsi"/>
          <w:sz w:val="22"/>
          <w:szCs w:val="22"/>
        </w:rPr>
      </w:pPr>
    </w:p>
    <w:p w14:paraId="101CBD65" w14:textId="1EE0E17F" w:rsidR="00B54E85" w:rsidRPr="000840B9" w:rsidRDefault="00B7091B" w:rsidP="00E9283F">
      <w:pPr>
        <w:snapToGrid w:val="0"/>
        <w:ind w:left="851" w:hanging="851"/>
        <w:rPr>
          <w:rFonts w:ascii="Avenir Book" w:hAnsi="Avenir Book" w:cstheme="minorHAnsi"/>
          <w:sz w:val="22"/>
          <w:szCs w:val="22"/>
        </w:rPr>
      </w:pPr>
      <w:r w:rsidRPr="000840B9">
        <w:rPr>
          <w:rFonts w:ascii="Avenir Book" w:hAnsi="Avenir Book" w:cstheme="minorHAnsi"/>
          <w:sz w:val="22"/>
          <w:szCs w:val="22"/>
        </w:rPr>
        <w:t>10.5.3</w:t>
      </w:r>
      <w:r w:rsidR="00CF2AB6" w:rsidRPr="000840B9">
        <w:rPr>
          <w:rFonts w:ascii="Avenir Book" w:hAnsi="Avenir Book" w:cstheme="minorHAnsi"/>
          <w:sz w:val="22"/>
          <w:szCs w:val="22"/>
        </w:rPr>
        <w:tab/>
      </w:r>
      <w:r w:rsidR="00B54E85" w:rsidRPr="000840B9">
        <w:rPr>
          <w:rFonts w:ascii="Avenir Book" w:hAnsi="Avenir Book" w:cstheme="minorHAnsi"/>
          <w:sz w:val="22"/>
          <w:szCs w:val="22"/>
        </w:rPr>
        <w:t xml:space="preserve">In 2019, the </w:t>
      </w:r>
      <w:r w:rsidR="00CF2AB6" w:rsidRPr="000840B9">
        <w:rPr>
          <w:rFonts w:ascii="Avenir Book" w:hAnsi="Avenir Book" w:cstheme="minorHAnsi"/>
          <w:bCs/>
          <w:sz w:val="22"/>
          <w:szCs w:val="22"/>
        </w:rPr>
        <w:t>CRC</w:t>
      </w:r>
      <w:r w:rsidR="00CF2AB6" w:rsidRPr="000840B9">
        <w:rPr>
          <w:rFonts w:ascii="Avenir Book" w:hAnsi="Avenir Book" w:cstheme="minorHAnsi"/>
          <w:b/>
          <w:bCs/>
          <w:sz w:val="22"/>
          <w:szCs w:val="22"/>
        </w:rPr>
        <w:t xml:space="preserve"> </w:t>
      </w:r>
      <w:r w:rsidR="00B54E85" w:rsidRPr="000840B9">
        <w:rPr>
          <w:rFonts w:ascii="Avenir Book" w:hAnsi="Avenir Book" w:cstheme="minorHAnsi"/>
          <w:sz w:val="22"/>
          <w:szCs w:val="22"/>
        </w:rPr>
        <w:t xml:space="preserve">Committee </w:t>
      </w:r>
      <w:r w:rsidR="00B54E85" w:rsidRPr="000840B9">
        <w:rPr>
          <w:rFonts w:ascii="Avenir Book" w:hAnsi="Avenir Book" w:cstheme="minorHAnsi"/>
          <w:bCs/>
          <w:sz w:val="22"/>
          <w:szCs w:val="22"/>
        </w:rPr>
        <w:t xml:space="preserve">recommended that Australia: enact comprehensive national child rights legislation fully incorporating the Convention and providing clear guidelines for its consistent and direct application throughout Australia; ensure adequate resources for </w:t>
      </w:r>
      <w:r w:rsidR="00B54E85" w:rsidRPr="000840B9">
        <w:rPr>
          <w:rFonts w:ascii="Avenir Book" w:hAnsi="Avenir Book" w:cstheme="minorHAnsi"/>
          <w:bCs/>
          <w:sz w:val="22"/>
          <w:szCs w:val="22"/>
          <w:lang w:val="en-GB"/>
        </w:rPr>
        <w:t xml:space="preserve">the Parliamentary Joint Committee on Human Rights to effectively examine all proposed legislation and its impact on children’s rights; </w:t>
      </w:r>
      <w:r w:rsidR="00B54E85" w:rsidRPr="000840B9">
        <w:rPr>
          <w:rFonts w:ascii="Avenir Book" w:hAnsi="Avenir Book" w:cstheme="minorHAnsi"/>
          <w:bCs/>
          <w:sz w:val="22"/>
          <w:szCs w:val="22"/>
        </w:rPr>
        <w:t>e</w:t>
      </w:r>
      <w:proofErr w:type="spellStart"/>
      <w:r w:rsidR="00B54E85" w:rsidRPr="000840B9">
        <w:rPr>
          <w:rFonts w:ascii="Avenir Book" w:hAnsi="Avenir Book" w:cstheme="minorHAnsi"/>
          <w:bCs/>
          <w:sz w:val="22"/>
          <w:szCs w:val="22"/>
          <w:lang w:val="en-GB"/>
        </w:rPr>
        <w:t>nsure</w:t>
      </w:r>
      <w:proofErr w:type="spellEnd"/>
      <w:r w:rsidR="00B54E85" w:rsidRPr="000840B9">
        <w:rPr>
          <w:rFonts w:ascii="Avenir Book" w:hAnsi="Avenir Book" w:cstheme="minorHAnsi"/>
          <w:bCs/>
          <w:sz w:val="22"/>
          <w:szCs w:val="22"/>
          <w:lang w:val="en-GB"/>
        </w:rPr>
        <w:t xml:space="preserve"> that the National Children’s Commissioner has adequate and sufficient human, technical and financial resources to implement and monitor the application of the Convention; and establish by law mandatory consultations between the National Children’s Commissioner and children on issues that affect them and ensure that the results of those consultations and any other recommendations made by the Commissioner are taken into consideration in law and policymaking. The Committee also recommended that Australia adopt a national comprehensive policy and strategy on children that encompasses all areas of the Convention, with sufficient human, technical and financial resources for its implementation; establish appropriate mechanisms and inclusive processes so that civil society, the community and children specifically may participate in all stages of the budget process, including formulation, implementation and evaluation;  and ensure that data collected on children’s rights cover all areas of the Convention, in particular those relating to violence, alternative care, natural disasters and children in conflict with the law, that they are disaggregated by age, sex, disability, geographic location, ethnic origin, national origin and socioeconomic background, and that they identify children in situations of vulnerability, such as Indigenous children, children with disability and asylum-seeking, refugee and migrant children.</w:t>
      </w:r>
    </w:p>
    <w:p w14:paraId="399A8F34" w14:textId="77777777" w:rsidR="00B54E85" w:rsidRPr="000840B9" w:rsidRDefault="00B54E85" w:rsidP="00B7091B">
      <w:pPr>
        <w:spacing w:line="276" w:lineRule="auto"/>
        <w:rPr>
          <w:rFonts w:ascii="Avenir Book" w:hAnsi="Avenir Book" w:cs="Calibri Light"/>
          <w:sz w:val="22"/>
          <w:szCs w:val="22"/>
        </w:rPr>
      </w:pPr>
    </w:p>
    <w:p w14:paraId="79748A9D" w14:textId="6FA1CD29" w:rsidR="00B54E85" w:rsidRPr="000840B9" w:rsidRDefault="007A053E" w:rsidP="00E9283F">
      <w:pPr>
        <w:ind w:left="851" w:hanging="851"/>
        <w:rPr>
          <w:rFonts w:ascii="Avenir Book" w:hAnsi="Avenir Book" w:cstheme="minorHAnsi"/>
          <w:sz w:val="22"/>
          <w:szCs w:val="22"/>
        </w:rPr>
      </w:pPr>
      <w:r w:rsidRPr="000840B9">
        <w:rPr>
          <w:rFonts w:ascii="Avenir Book" w:hAnsi="Avenir Book" w:cstheme="minorHAnsi"/>
          <w:sz w:val="22"/>
          <w:szCs w:val="22"/>
        </w:rPr>
        <w:t>10.5.4</w:t>
      </w:r>
      <w:r w:rsidRPr="000840B9">
        <w:rPr>
          <w:rFonts w:ascii="Avenir Book" w:hAnsi="Avenir Book" w:cstheme="minorHAnsi"/>
          <w:sz w:val="22"/>
          <w:szCs w:val="22"/>
        </w:rPr>
        <w:tab/>
      </w:r>
      <w:r w:rsidR="00B54E85" w:rsidRPr="000840B9">
        <w:rPr>
          <w:rFonts w:ascii="Avenir Book" w:hAnsi="Avenir Book" w:cstheme="minorHAnsi"/>
          <w:sz w:val="22"/>
          <w:szCs w:val="22"/>
        </w:rPr>
        <w:t>In 2017</w:t>
      </w:r>
      <w:r w:rsidRPr="000840B9">
        <w:rPr>
          <w:rFonts w:ascii="Avenir Book" w:hAnsi="Avenir Book" w:cstheme="minorHAnsi"/>
          <w:sz w:val="22"/>
          <w:szCs w:val="22"/>
        </w:rPr>
        <w:t xml:space="preserve">, the ESCR Committee </w:t>
      </w:r>
      <w:r w:rsidR="00B54E85" w:rsidRPr="000840B9">
        <w:rPr>
          <w:rFonts w:ascii="Avenir Book" w:hAnsi="Avenir Book" w:cstheme="minorHAnsi"/>
          <w:sz w:val="22"/>
          <w:szCs w:val="22"/>
        </w:rPr>
        <w:t xml:space="preserve">expressed its concern that women continue to experience disadvantages across key areas (including work, health, education, and housing) and recommended that Australia intensify its efforts to address the obstacles to achieving substantive equality between men and women, including through the strengthening of temporary special measures. The Committee also recommended that Australia consider introducing a federal Charter of Rights that guarantees the full range of economic, social and cultural rights. In relation to the </w:t>
      </w:r>
      <w:r w:rsidR="00B54E85" w:rsidRPr="000840B9">
        <w:rPr>
          <w:rFonts w:ascii="Avenir Book" w:hAnsi="Avenir Book" w:cstheme="minorHAnsi"/>
          <w:i/>
          <w:iCs/>
          <w:sz w:val="22"/>
          <w:szCs w:val="22"/>
        </w:rPr>
        <w:t>National Disability Strategy 2010-2020</w:t>
      </w:r>
      <w:r w:rsidR="00B54E85" w:rsidRPr="000840B9">
        <w:rPr>
          <w:rFonts w:ascii="Avenir Book" w:hAnsi="Avenir Book" w:cstheme="minorHAnsi"/>
          <w:sz w:val="22"/>
          <w:szCs w:val="22"/>
        </w:rPr>
        <w:t xml:space="preserve">, the Committee expressed its concern at the slow progress in its implementation and its weak accountability and implementation mechanisms. The Committee recommended that Australia ensure full implementation of the National Disability Strategy by focusing on all the six areas covered and allocating the necessary resources. The Committee further recommended that Australia strengthen accountability mechanisms to ensure that people with disability fully enjoy their economic, social and cultural rights. </w:t>
      </w:r>
    </w:p>
    <w:p w14:paraId="2D48A1EB" w14:textId="5678904F" w:rsidR="007A053E" w:rsidRPr="000840B9" w:rsidRDefault="007A053E" w:rsidP="003F0223">
      <w:pPr>
        <w:rPr>
          <w:rFonts w:ascii="Avenir Book" w:hAnsi="Avenir Book" w:cstheme="minorHAnsi"/>
          <w:sz w:val="22"/>
          <w:szCs w:val="22"/>
        </w:rPr>
      </w:pPr>
    </w:p>
    <w:p w14:paraId="6402619B" w14:textId="15A96DCB" w:rsidR="000840B9" w:rsidRPr="00D47ABE" w:rsidRDefault="007A053E" w:rsidP="00D47ABE">
      <w:pPr>
        <w:ind w:left="851" w:hanging="851"/>
        <w:rPr>
          <w:rFonts w:ascii="Avenir Book" w:hAnsi="Avenir Book" w:cstheme="minorHAnsi"/>
          <w:sz w:val="22"/>
          <w:szCs w:val="22"/>
        </w:rPr>
      </w:pPr>
      <w:r w:rsidRPr="000840B9">
        <w:rPr>
          <w:rFonts w:ascii="Avenir Book" w:hAnsi="Avenir Book" w:cstheme="minorHAnsi"/>
          <w:sz w:val="22"/>
          <w:szCs w:val="22"/>
        </w:rPr>
        <w:t>10.5.5</w:t>
      </w:r>
      <w:r w:rsidRPr="000840B9">
        <w:rPr>
          <w:rFonts w:ascii="Avenir Book" w:hAnsi="Avenir Book" w:cstheme="minorHAnsi"/>
          <w:sz w:val="22"/>
          <w:szCs w:val="22"/>
        </w:rPr>
        <w:tab/>
      </w:r>
      <w:r w:rsidR="00B54E85" w:rsidRPr="000840B9">
        <w:rPr>
          <w:rFonts w:ascii="Avenir Book" w:hAnsi="Avenir Book" w:cstheme="minorHAnsi"/>
          <w:sz w:val="22"/>
          <w:szCs w:val="22"/>
        </w:rPr>
        <w:t>In 2017</w:t>
      </w:r>
      <w:r w:rsidRPr="000840B9">
        <w:rPr>
          <w:rFonts w:ascii="Avenir Book" w:hAnsi="Avenir Book" w:cstheme="minorHAnsi"/>
          <w:sz w:val="22"/>
          <w:szCs w:val="22"/>
        </w:rPr>
        <w:t xml:space="preserve">, </w:t>
      </w:r>
      <w:r w:rsidR="00B54E85" w:rsidRPr="000840B9">
        <w:rPr>
          <w:rFonts w:ascii="Avenir Book" w:hAnsi="Avenir Book" w:cstheme="minorHAnsi"/>
          <w:sz w:val="22"/>
          <w:szCs w:val="22"/>
        </w:rPr>
        <w:t>the Human Rights Committee recommended that Australia take measures, including considering consolidating existing non-discrimination provisions in a comprehensive federal law, in order to ensure adequate and effective substantive and procedural protection against all forms of discrimination on all the prohibited grounds, including intersectional discrimination, as well as access to effective and appropriate remedies for all victims of discrimination.</w:t>
      </w:r>
    </w:p>
    <w:sectPr w:rsidR="000840B9" w:rsidRPr="00D47ABE" w:rsidSect="00BE3470">
      <w:footerReference w:type="even" r:id="rId16"/>
      <w:footerReference w:type="default" r:id="rId17"/>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8458" w14:textId="77777777" w:rsidR="00A35DAA" w:rsidRDefault="00A35DAA" w:rsidP="006811B8">
      <w:r>
        <w:separator/>
      </w:r>
    </w:p>
    <w:p w14:paraId="5ED7FC9B" w14:textId="77777777" w:rsidR="00A35DAA" w:rsidRDefault="00A35DAA"/>
  </w:endnote>
  <w:endnote w:type="continuationSeparator" w:id="0">
    <w:p w14:paraId="47D70927" w14:textId="77777777" w:rsidR="00A35DAA" w:rsidRDefault="00A35DAA" w:rsidP="006811B8">
      <w:r>
        <w:continuationSeparator/>
      </w:r>
    </w:p>
    <w:p w14:paraId="1F86E567" w14:textId="77777777" w:rsidR="00A35DAA" w:rsidRDefault="00A3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b/>
        <w:color w:val="17365D"/>
        <w:sz w:val="18"/>
        <w:szCs w:val="18"/>
      </w:rPr>
      <w:id w:val="-104576745"/>
      <w:docPartObj>
        <w:docPartGallery w:val="Page Numbers (Bottom of Page)"/>
        <w:docPartUnique/>
      </w:docPartObj>
    </w:sdtPr>
    <w:sdtEndPr>
      <w:rPr>
        <w:rStyle w:val="PageNumber"/>
      </w:rPr>
    </w:sdtEndPr>
    <w:sdtContent>
      <w:p w14:paraId="0FAA34AE" w14:textId="7B672234" w:rsidR="00640BE6" w:rsidRPr="00A16838" w:rsidRDefault="00640BE6"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3F7CDC1D" w14:textId="77777777" w:rsidR="00640BE6" w:rsidRPr="00E475FD" w:rsidRDefault="00640BE6">
    <w:pPr>
      <w:rPr>
        <w:rFonts w:ascii="Avenir Book" w:hAnsi="Avenir Book"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b/>
        <w:color w:val="17365D"/>
        <w:sz w:val="18"/>
        <w:szCs w:val="18"/>
      </w:rPr>
      <w:id w:val="1371108195"/>
      <w:docPartObj>
        <w:docPartGallery w:val="Page Numbers (Bottom of Page)"/>
        <w:docPartUnique/>
      </w:docPartObj>
    </w:sdtPr>
    <w:sdtEndPr>
      <w:rPr>
        <w:rStyle w:val="PageNumber"/>
      </w:rPr>
    </w:sdtEndPr>
    <w:sdtContent>
      <w:p w14:paraId="70F88CB6" w14:textId="77777777" w:rsidR="00640BE6" w:rsidRPr="00A16838" w:rsidRDefault="00640BE6"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4F7943DC" w14:textId="77777777" w:rsidR="00640BE6" w:rsidRPr="005E0673" w:rsidRDefault="00640BE6">
    <w:pPr>
      <w:rPr>
        <w:rFonts w:ascii="Avenir Book" w:hAnsi="Avenir Book"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D910" w14:textId="77777777" w:rsidR="00A35DAA" w:rsidRDefault="00A35DAA" w:rsidP="006811B8">
      <w:r>
        <w:separator/>
      </w:r>
    </w:p>
    <w:p w14:paraId="0C1EF5A2" w14:textId="77777777" w:rsidR="00A35DAA" w:rsidRDefault="00A35DAA"/>
  </w:footnote>
  <w:footnote w:type="continuationSeparator" w:id="0">
    <w:p w14:paraId="2234D043" w14:textId="77777777" w:rsidR="00A35DAA" w:rsidRDefault="00A35DAA" w:rsidP="006811B8">
      <w:r>
        <w:continuationSeparator/>
      </w:r>
    </w:p>
    <w:p w14:paraId="5F2666EA" w14:textId="77777777" w:rsidR="00A35DAA" w:rsidRDefault="00A35DAA"/>
  </w:footnote>
  <w:footnote w:id="1">
    <w:p w14:paraId="2FF3BDBE" w14:textId="5CE5B3DD"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See e.g., ‘Ending Violence’ page on Disabled People’s Organisations Australia (DPO Australia) website at </w:t>
      </w:r>
      <w:hyperlink r:id="rId1" w:history="1">
        <w:r w:rsidRPr="0053227A">
          <w:rPr>
            <w:rStyle w:val="Hyperlink"/>
            <w:rFonts w:ascii="Avenir Book" w:hAnsi="Avenir Book"/>
            <w:sz w:val="16"/>
            <w:szCs w:val="16"/>
          </w:rPr>
          <w:t>https://dpoa.org.au/our-work/ending-violence/</w:t>
        </w:r>
      </w:hyperlink>
      <w:r w:rsidRPr="0053227A">
        <w:rPr>
          <w:rFonts w:ascii="Avenir Book" w:hAnsi="Avenir Book"/>
          <w:sz w:val="16"/>
          <w:szCs w:val="16"/>
        </w:rPr>
        <w:t xml:space="preserve">; </w:t>
      </w:r>
      <w:r w:rsidRPr="0053227A">
        <w:rPr>
          <w:rFonts w:ascii="Avenir Book" w:hAnsi="Avenir Book" w:cs="Calibri"/>
          <w:color w:val="000000" w:themeColor="text1"/>
          <w:sz w:val="16"/>
          <w:szCs w:val="16"/>
          <w:lang w:val="en-AU"/>
        </w:rPr>
        <w:t xml:space="preserve">Disabled People’s Organisations Australia (2017) </w:t>
      </w:r>
      <w:r w:rsidRPr="0053227A">
        <w:rPr>
          <w:rFonts w:ascii="Avenir Book" w:hAnsi="Avenir Book" w:cs="Calibri"/>
          <w:bCs/>
          <w:i/>
          <w:color w:val="000000" w:themeColor="text1"/>
          <w:sz w:val="16"/>
          <w:szCs w:val="16"/>
        </w:rPr>
        <w:t>Civil Society Statement to the Australian Government Calling for a Royal Commission into Violence, Abuse and Neglect of People with Disability</w:t>
      </w:r>
      <w:r w:rsidRPr="0053227A">
        <w:rPr>
          <w:rFonts w:ascii="Avenir Book" w:hAnsi="Avenir Book" w:cs="Calibri"/>
          <w:bCs/>
          <w:color w:val="000000" w:themeColor="text1"/>
          <w:sz w:val="16"/>
          <w:szCs w:val="16"/>
        </w:rPr>
        <w:t xml:space="preserve">. Sydney: DPO Australia. Available at: </w:t>
      </w:r>
      <w:hyperlink r:id="rId2" w:history="1">
        <w:r w:rsidRPr="0053227A">
          <w:rPr>
            <w:rStyle w:val="Hyperlink"/>
            <w:rFonts w:ascii="Avenir Book" w:hAnsi="Avenir Book" w:cs="Calibri"/>
            <w:bCs/>
            <w:sz w:val="16"/>
            <w:szCs w:val="16"/>
          </w:rPr>
          <w:t>http://dpoa.org.au/civil-society-statement-rc/</w:t>
        </w:r>
      </w:hyperlink>
      <w:r w:rsidRPr="0053227A">
        <w:rPr>
          <w:rStyle w:val="Hyperlink"/>
          <w:rFonts w:ascii="Avenir Book" w:hAnsi="Avenir Book" w:cs="Calibri"/>
          <w:bCs/>
          <w:color w:val="000000" w:themeColor="text1"/>
          <w:sz w:val="16"/>
          <w:szCs w:val="16"/>
        </w:rPr>
        <w:t xml:space="preserve"> </w:t>
      </w:r>
      <w:r w:rsidRPr="0053227A">
        <w:rPr>
          <w:rFonts w:ascii="Avenir Book" w:hAnsi="Avenir Book"/>
          <w:sz w:val="16"/>
          <w:szCs w:val="16"/>
        </w:rPr>
        <w:t xml:space="preserve"> </w:t>
      </w:r>
    </w:p>
  </w:footnote>
  <w:footnote w:id="2">
    <w:p w14:paraId="3700754D" w14:textId="41BA529E"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w:t>
      </w:r>
      <w:r w:rsidRPr="0053227A">
        <w:rPr>
          <w:rFonts w:ascii="Avenir Book" w:hAnsi="Avenir Book"/>
          <w:sz w:val="16"/>
          <w:szCs w:val="16"/>
          <w:lang w:val="en-AU"/>
        </w:rPr>
        <w:t xml:space="preserve">Community Affairs References Committee, </w:t>
      </w:r>
      <w:hyperlink r:id="rId3" w:history="1">
        <w:r w:rsidRPr="0053227A">
          <w:rPr>
            <w:rStyle w:val="Hyperlink"/>
            <w:rFonts w:ascii="Avenir Book" w:hAnsi="Avenir Book"/>
            <w:sz w:val="16"/>
            <w:szCs w:val="16"/>
            <w:lang w:val="en-AU"/>
          </w:rPr>
          <w:t>https://www.aph.gov.au/Parliamentary_Business/Committees/Senate/Community_Affairs/Violence_abuse_neglect</w:t>
        </w:r>
      </w:hyperlink>
      <w:r w:rsidRPr="0053227A">
        <w:rPr>
          <w:rFonts w:ascii="Avenir Book" w:hAnsi="Avenir Book"/>
          <w:sz w:val="16"/>
          <w:szCs w:val="16"/>
          <w:lang w:val="en-AU"/>
        </w:rPr>
        <w:t xml:space="preserve"> </w:t>
      </w:r>
    </w:p>
  </w:footnote>
  <w:footnote w:id="3">
    <w:p w14:paraId="76F7EDB4" w14:textId="33F44CBD"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Community Affairs References Committee, </w:t>
      </w:r>
      <w:r w:rsidRPr="0053227A">
        <w:rPr>
          <w:rFonts w:ascii="Avenir Book" w:hAnsi="Avenir Book"/>
          <w:i/>
          <w:sz w:val="16"/>
          <w:szCs w:val="16"/>
        </w:rPr>
        <w:t xml:space="preserve">Violence, abuse and neglect against people with disability in institutional and residential settings, including the gender and </w:t>
      </w:r>
      <w:r w:rsidRPr="0053227A">
        <w:rPr>
          <w:rFonts w:ascii="Avenir Book" w:hAnsi="Avenir Book"/>
          <w:i/>
          <w:sz w:val="16"/>
          <w:szCs w:val="16"/>
        </w:rPr>
        <w:t xml:space="preserve">age related dimensions, and the particular situation of Aboriginal and Torres Strait Islander people with disability, and culturally and linguistically diverse people with disability, </w:t>
      </w:r>
      <w:r w:rsidRPr="0053227A">
        <w:rPr>
          <w:rFonts w:ascii="Avenir Book" w:hAnsi="Avenir Book"/>
          <w:sz w:val="16"/>
          <w:szCs w:val="16"/>
        </w:rPr>
        <w:t xml:space="preserve">November 2015, Commonwealth of Australia, page xv. Available at: </w:t>
      </w:r>
      <w:hyperlink r:id="rId4" w:history="1">
        <w:r w:rsidRPr="0053227A">
          <w:rPr>
            <w:rStyle w:val="Hyperlink"/>
            <w:rFonts w:ascii="Avenir Book" w:hAnsi="Avenir Book"/>
            <w:sz w:val="16"/>
            <w:szCs w:val="16"/>
          </w:rPr>
          <w:t>https://www.aph.gov.au/Parliamentary_Business/Committees/Senate/Community_Affairs/Violence_abuse_neglect/Report</w:t>
        </w:r>
      </w:hyperlink>
      <w:r w:rsidRPr="0053227A">
        <w:rPr>
          <w:rFonts w:ascii="Avenir Book" w:hAnsi="Avenir Book"/>
          <w:sz w:val="16"/>
          <w:szCs w:val="16"/>
        </w:rPr>
        <w:t xml:space="preserve"> </w:t>
      </w:r>
    </w:p>
  </w:footnote>
  <w:footnote w:id="4">
    <w:p w14:paraId="7700D7BD" w14:textId="140925C1"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w:t>
      </w:r>
      <w:r w:rsidRPr="0053227A">
        <w:rPr>
          <w:rFonts w:ascii="Avenir Book" w:hAnsi="Avenir Book"/>
          <w:sz w:val="16"/>
          <w:szCs w:val="16"/>
          <w:lang w:val="en-AU"/>
        </w:rPr>
        <w:t xml:space="preserve">Royal Commission into Violence, Abuse, Neglect and Exploitation of People with Disability, </w:t>
      </w:r>
      <w:r w:rsidRPr="0053227A">
        <w:rPr>
          <w:rFonts w:ascii="Avenir Book" w:hAnsi="Avenir Book"/>
          <w:i/>
          <w:sz w:val="16"/>
          <w:szCs w:val="16"/>
          <w:lang w:val="en-AU"/>
        </w:rPr>
        <w:t>Terms of Reference</w:t>
      </w:r>
      <w:r w:rsidRPr="0053227A">
        <w:rPr>
          <w:rFonts w:ascii="Avenir Book" w:hAnsi="Avenir Book"/>
          <w:sz w:val="16"/>
          <w:szCs w:val="16"/>
          <w:lang w:val="en-AU"/>
        </w:rPr>
        <w:t xml:space="preserve">. Available at:  </w:t>
      </w:r>
      <w:hyperlink r:id="rId5" w:history="1">
        <w:r w:rsidRPr="0053227A">
          <w:rPr>
            <w:rStyle w:val="Hyperlink"/>
            <w:rFonts w:ascii="Avenir Book" w:hAnsi="Avenir Book"/>
            <w:sz w:val="16"/>
            <w:szCs w:val="16"/>
            <w:lang w:val="en-AU"/>
          </w:rPr>
          <w:t>https://disability.royalcommission.gov.au/about/Pages/Terms-of-reference.aspx</w:t>
        </w:r>
      </w:hyperlink>
      <w:r w:rsidRPr="0053227A">
        <w:rPr>
          <w:rFonts w:ascii="Avenir Book" w:hAnsi="Avenir Book"/>
          <w:i/>
          <w:sz w:val="16"/>
          <w:szCs w:val="16"/>
          <w:lang w:val="en-AU"/>
        </w:rPr>
        <w:t xml:space="preserve"> </w:t>
      </w:r>
    </w:p>
  </w:footnote>
  <w:footnote w:id="5">
    <w:p w14:paraId="0333619A" w14:textId="2DC1BC57"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Ibid, paragraph (e)</w:t>
      </w:r>
    </w:p>
  </w:footnote>
  <w:footnote w:id="6">
    <w:p w14:paraId="6F5BF9A8" w14:textId="086BBD4A"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Ibid, paragraph (g)</w:t>
      </w:r>
    </w:p>
  </w:footnote>
  <w:footnote w:id="7">
    <w:p w14:paraId="557EC190" w14:textId="5C4526AC" w:rsidR="00640BE6" w:rsidRPr="0053227A" w:rsidRDefault="00640BE6">
      <w:pPr>
        <w:pStyle w:val="FootnoteText"/>
        <w:rPr>
          <w:rFonts w:ascii="Avenir Book" w:hAnsi="Avenir Book"/>
          <w:sz w:val="16"/>
          <w:szCs w:val="16"/>
          <w:lang w:val="en-AU"/>
        </w:rPr>
      </w:pPr>
      <w:r w:rsidRPr="0053227A">
        <w:rPr>
          <w:rStyle w:val="FootnoteReference"/>
          <w:rFonts w:ascii="Avenir Book" w:hAnsi="Avenir Book"/>
          <w:sz w:val="16"/>
          <w:szCs w:val="16"/>
        </w:rPr>
        <w:footnoteRef/>
      </w:r>
      <w:r w:rsidRPr="0053227A">
        <w:rPr>
          <w:rFonts w:ascii="Avenir Book" w:hAnsi="Avenir Book"/>
          <w:sz w:val="16"/>
          <w:szCs w:val="16"/>
        </w:rPr>
        <w:t xml:space="preserve"> </w:t>
      </w:r>
      <w:r w:rsidRPr="0053227A">
        <w:rPr>
          <w:rFonts w:ascii="Avenir Book" w:hAnsi="Avenir Book"/>
          <w:sz w:val="16"/>
          <w:szCs w:val="16"/>
          <w:lang w:val="en-AU"/>
        </w:rPr>
        <w:t xml:space="preserve">Royal Commission into Violence, Abuse, Neglect and Exploitation of People with Disability, </w:t>
      </w:r>
      <w:r w:rsidRPr="0053227A">
        <w:rPr>
          <w:rFonts w:ascii="Avenir Book" w:hAnsi="Avenir Book"/>
          <w:i/>
          <w:sz w:val="16"/>
          <w:szCs w:val="16"/>
          <w:lang w:val="en-AU"/>
        </w:rPr>
        <w:t>Accessibility and Inclusion Strategy</w:t>
      </w:r>
      <w:r w:rsidRPr="0053227A">
        <w:rPr>
          <w:rFonts w:ascii="Avenir Book" w:hAnsi="Avenir Book"/>
          <w:sz w:val="16"/>
          <w:szCs w:val="16"/>
          <w:lang w:val="en-AU"/>
        </w:rPr>
        <w:t xml:space="preserve">, page 5. Available at: </w:t>
      </w:r>
      <w:hyperlink r:id="rId6" w:history="1">
        <w:r w:rsidRPr="0053227A">
          <w:rPr>
            <w:rStyle w:val="Hyperlink"/>
            <w:rFonts w:ascii="Avenir Book" w:hAnsi="Avenir Book"/>
            <w:sz w:val="16"/>
            <w:szCs w:val="16"/>
            <w:lang w:val="en-AU"/>
          </w:rPr>
          <w:t>https://disability.royalcommission.gov.au/about/Pages/accessibility-inclusion-strategy.aspx</w:t>
        </w:r>
      </w:hyperlink>
      <w:r w:rsidRPr="0053227A">
        <w:rPr>
          <w:rFonts w:ascii="Avenir Book" w:hAnsi="Avenir Book"/>
          <w:sz w:val="16"/>
          <w:szCs w:val="16"/>
          <w:lang w:val="en-AU"/>
        </w:rPr>
        <w:t xml:space="preserve"> </w:t>
      </w:r>
    </w:p>
  </w:footnote>
  <w:footnote w:id="8">
    <w:p w14:paraId="0454EF43" w14:textId="17CACF91" w:rsidR="00640BE6" w:rsidRPr="00CE5FCD" w:rsidRDefault="00640BE6" w:rsidP="00B16667">
      <w:pPr>
        <w:pStyle w:val="FootnoteText"/>
        <w:rPr>
          <w:rFonts w:ascii="Avenir Book" w:hAnsi="Avenir Book"/>
          <w:sz w:val="16"/>
          <w:szCs w:val="16"/>
          <w:lang w:val="en-AU"/>
        </w:rPr>
      </w:pPr>
      <w:r w:rsidRPr="00CE5FCD">
        <w:rPr>
          <w:rStyle w:val="FootnoteReference"/>
          <w:rFonts w:ascii="Avenir Book" w:hAnsi="Avenir Book"/>
          <w:sz w:val="16"/>
          <w:szCs w:val="16"/>
        </w:rPr>
        <w:footnoteRef/>
      </w:r>
      <w:r w:rsidRPr="00CE5FCD">
        <w:rPr>
          <w:rFonts w:ascii="Avenir Book" w:hAnsi="Avenir Book"/>
          <w:sz w:val="16"/>
          <w:szCs w:val="16"/>
        </w:rPr>
        <w:t xml:space="preserve"> </w:t>
      </w:r>
      <w:r w:rsidRPr="00CE5FCD">
        <w:rPr>
          <w:rFonts w:ascii="Avenir Book" w:hAnsi="Avenir Book"/>
          <w:sz w:val="16"/>
          <w:szCs w:val="16"/>
          <w:lang w:val="en-AU"/>
        </w:rPr>
        <w:t xml:space="preserve">Royal Commission into Violence, Abuse, Neglect and Exploitation of People with Disability, </w:t>
      </w:r>
      <w:r w:rsidRPr="00CE5FCD">
        <w:rPr>
          <w:rFonts w:ascii="Avenir Book" w:hAnsi="Avenir Book"/>
          <w:i/>
          <w:sz w:val="16"/>
          <w:szCs w:val="16"/>
          <w:lang w:val="en-AU"/>
        </w:rPr>
        <w:t>Education and Learning Issues Paper</w:t>
      </w:r>
      <w:r w:rsidRPr="00CE5FCD">
        <w:rPr>
          <w:rFonts w:ascii="Avenir Book" w:hAnsi="Avenir Book"/>
          <w:sz w:val="16"/>
          <w:szCs w:val="16"/>
          <w:lang w:val="en-AU"/>
        </w:rPr>
        <w:t xml:space="preserve">, 30 October 2019, page 1. Available at: </w:t>
      </w:r>
      <w:hyperlink r:id="rId7" w:anchor="education" w:history="1">
        <w:r w:rsidRPr="00CE5FCD">
          <w:rPr>
            <w:rStyle w:val="Hyperlink"/>
            <w:rFonts w:ascii="Avenir Book" w:hAnsi="Avenir Book"/>
            <w:sz w:val="16"/>
            <w:szCs w:val="16"/>
            <w:lang w:val="en-AU"/>
          </w:rPr>
          <w:t>https://disability.royalcommission.gov.au/publications/Pages/default.aspx#education</w:t>
        </w:r>
      </w:hyperlink>
      <w:r w:rsidRPr="00CE5FCD">
        <w:rPr>
          <w:rFonts w:ascii="Avenir Book" w:hAnsi="Avenir Book"/>
          <w:sz w:val="16"/>
          <w:szCs w:val="16"/>
          <w:lang w:val="en-AU"/>
        </w:rPr>
        <w:t xml:space="preserve"> </w:t>
      </w:r>
    </w:p>
  </w:footnote>
  <w:footnote w:id="9">
    <w:p w14:paraId="443D0D85" w14:textId="017D589F" w:rsidR="00640BE6" w:rsidRPr="00CE5FCD" w:rsidRDefault="00640BE6" w:rsidP="00B16667">
      <w:pPr>
        <w:pStyle w:val="FootnoteText"/>
        <w:rPr>
          <w:rFonts w:ascii="Avenir Book" w:hAnsi="Avenir Book" w:cstheme="minorHAnsi"/>
          <w:sz w:val="16"/>
          <w:szCs w:val="16"/>
          <w:lang w:val="en-AU"/>
        </w:rPr>
      </w:pPr>
      <w:r w:rsidRPr="00CE5FCD">
        <w:rPr>
          <w:rStyle w:val="FootnoteReference"/>
          <w:rFonts w:ascii="Avenir Book" w:hAnsi="Avenir Book"/>
          <w:sz w:val="16"/>
          <w:szCs w:val="16"/>
        </w:rPr>
        <w:footnoteRef/>
      </w:r>
      <w:r w:rsidRPr="00CE5FCD">
        <w:rPr>
          <w:rFonts w:ascii="Avenir Book" w:hAnsi="Avenir Book"/>
          <w:sz w:val="16"/>
          <w:szCs w:val="16"/>
        </w:rPr>
        <w:t xml:space="preserve"> </w:t>
      </w:r>
      <w:r w:rsidRPr="00CE5FCD">
        <w:rPr>
          <w:rFonts w:ascii="Avenir Book" w:hAnsi="Avenir Book"/>
          <w:sz w:val="16"/>
          <w:szCs w:val="16"/>
          <w:lang w:val="en-AU"/>
        </w:rPr>
        <w:t xml:space="preserve">Disabled People’s Organisations Australia, </w:t>
      </w:r>
      <w:r w:rsidRPr="00CE5FCD">
        <w:rPr>
          <w:rFonts w:ascii="Avenir Book" w:hAnsi="Avenir Book"/>
          <w:i/>
          <w:sz w:val="16"/>
          <w:szCs w:val="16"/>
          <w:lang w:val="en-AU"/>
        </w:rPr>
        <w:t>Inclusive Education</w:t>
      </w:r>
      <w:r w:rsidRPr="00CE5FCD">
        <w:rPr>
          <w:rFonts w:ascii="Avenir Book" w:hAnsi="Avenir Book"/>
          <w:sz w:val="16"/>
          <w:szCs w:val="16"/>
          <w:lang w:val="en-AU"/>
        </w:rPr>
        <w:t xml:space="preserve">, CRPD Factsheet, UN CRPD Review of </w:t>
      </w:r>
      <w:r w:rsidRPr="00CE5FCD">
        <w:rPr>
          <w:rFonts w:ascii="Avenir Book" w:hAnsi="Avenir Book" w:cstheme="minorHAnsi"/>
          <w:sz w:val="16"/>
          <w:szCs w:val="16"/>
          <w:lang w:val="en-AU"/>
        </w:rPr>
        <w:t xml:space="preserve">Australia, 2019. Available at: </w:t>
      </w:r>
      <w:hyperlink r:id="rId8" w:history="1">
        <w:r w:rsidRPr="00CE5FCD">
          <w:rPr>
            <w:rStyle w:val="Hyperlink"/>
            <w:rFonts w:ascii="Avenir Book" w:hAnsi="Avenir Book" w:cstheme="minorHAnsi"/>
            <w:sz w:val="16"/>
            <w:szCs w:val="16"/>
            <w:lang w:val="en-AU"/>
          </w:rPr>
          <w:t>https://dpoa.org.au/crpd-review-factsheets/</w:t>
        </w:r>
      </w:hyperlink>
      <w:r w:rsidRPr="00CE5FCD">
        <w:rPr>
          <w:rFonts w:ascii="Avenir Book" w:hAnsi="Avenir Book" w:cstheme="minorHAnsi"/>
          <w:sz w:val="16"/>
          <w:szCs w:val="16"/>
          <w:lang w:val="en-AU"/>
        </w:rPr>
        <w:t xml:space="preserve"> </w:t>
      </w:r>
    </w:p>
  </w:footnote>
  <w:footnote w:id="10">
    <w:p w14:paraId="4F55EB74" w14:textId="0524A303" w:rsidR="00640BE6" w:rsidRPr="00CE5FCD" w:rsidRDefault="00640BE6" w:rsidP="00B16667">
      <w:pPr>
        <w:rPr>
          <w:rFonts w:ascii="Avenir Book" w:hAnsi="Avenir Book" w:cstheme="minorHAnsi"/>
          <w:sz w:val="16"/>
          <w:szCs w:val="16"/>
        </w:rPr>
      </w:pPr>
      <w:r w:rsidRPr="00CE5FCD">
        <w:rPr>
          <w:rStyle w:val="FootnoteReference"/>
          <w:rFonts w:ascii="Avenir Book" w:hAnsi="Avenir Book" w:cstheme="minorHAnsi"/>
          <w:sz w:val="16"/>
          <w:szCs w:val="16"/>
        </w:rPr>
        <w:footnoteRef/>
      </w:r>
      <w:r w:rsidRPr="00CE5FCD">
        <w:rPr>
          <w:rFonts w:ascii="Avenir Book" w:hAnsi="Avenir Book" w:cstheme="minorHAnsi"/>
          <w:sz w:val="16"/>
          <w:szCs w:val="16"/>
        </w:rPr>
        <w:t xml:space="preserve"> This point is also made by the Australian Coalition for Inclusive Education (ACIE): “</w:t>
      </w:r>
      <w:r w:rsidRPr="00CE5FCD">
        <w:rPr>
          <w:rFonts w:ascii="Avenir Book" w:hAnsi="Avenir Book" w:cstheme="minorHAnsi"/>
          <w:color w:val="192930"/>
          <w:sz w:val="16"/>
          <w:szCs w:val="16"/>
          <w:shd w:val="clear" w:color="auto" w:fill="F9F9F9"/>
        </w:rPr>
        <w:t xml:space="preserve">Educational neglect is also a broader systemic issue that involves denying a student with disability educational access such as not providing the necessary services, supports or adjustments they need to access the curriculum and form peer relationships.” Available at: </w:t>
      </w:r>
      <w:hyperlink r:id="rId9" w:history="1">
        <w:r w:rsidRPr="00CE5FCD">
          <w:rPr>
            <w:rStyle w:val="Hyperlink"/>
            <w:rFonts w:ascii="Avenir Book" w:hAnsi="Avenir Book" w:cstheme="minorHAnsi"/>
            <w:sz w:val="16"/>
            <w:szCs w:val="16"/>
            <w:shd w:val="clear" w:color="auto" w:fill="F9F9F9"/>
          </w:rPr>
          <w:t>https://acie.org.au/2019/11/12/disability-royal-commission-general-frequently-asked-questions-faqs/</w:t>
        </w:r>
      </w:hyperlink>
      <w:r w:rsidRPr="00CE5FCD">
        <w:rPr>
          <w:rFonts w:ascii="Avenir Book" w:hAnsi="Avenir Book" w:cstheme="minorHAnsi"/>
          <w:color w:val="192930"/>
          <w:sz w:val="16"/>
          <w:szCs w:val="16"/>
          <w:shd w:val="clear" w:color="auto" w:fill="F9F9F9"/>
        </w:rPr>
        <w:t xml:space="preserve"> </w:t>
      </w:r>
    </w:p>
  </w:footnote>
  <w:footnote w:id="11">
    <w:p w14:paraId="00D2F166" w14:textId="16BC1DF8" w:rsidR="00640BE6" w:rsidRPr="00CE5FCD" w:rsidRDefault="00640BE6" w:rsidP="00B16667">
      <w:pPr>
        <w:pStyle w:val="FootnoteText"/>
        <w:rPr>
          <w:rFonts w:ascii="Avenir Book" w:hAnsi="Avenir Book"/>
          <w:sz w:val="16"/>
          <w:szCs w:val="16"/>
          <w:lang w:val="en-AU"/>
        </w:rPr>
      </w:pPr>
      <w:r w:rsidRPr="00CE5FCD">
        <w:rPr>
          <w:rStyle w:val="FootnoteReference"/>
          <w:rFonts w:ascii="Avenir Book" w:hAnsi="Avenir Book"/>
          <w:sz w:val="16"/>
          <w:szCs w:val="16"/>
        </w:rPr>
        <w:footnoteRef/>
      </w:r>
      <w:r w:rsidRPr="00CE5FCD">
        <w:rPr>
          <w:rFonts w:ascii="Avenir Book" w:hAnsi="Avenir Book"/>
          <w:sz w:val="16"/>
          <w:szCs w:val="16"/>
        </w:rPr>
        <w:t xml:space="preserve"> </w:t>
      </w:r>
      <w:r w:rsidRPr="00CE5FCD">
        <w:rPr>
          <w:rFonts w:ascii="Avenir Book" w:hAnsi="Avenir Book"/>
          <w:sz w:val="16"/>
          <w:szCs w:val="16"/>
          <w:lang w:val="en-AU"/>
        </w:rPr>
        <w:t xml:space="preserve">Committee on the Rights of Persons with Disabilities, </w:t>
      </w:r>
      <w:r w:rsidRPr="00CE5FCD">
        <w:rPr>
          <w:rFonts w:ascii="Avenir Book" w:hAnsi="Avenir Book"/>
          <w:i/>
          <w:sz w:val="16"/>
          <w:szCs w:val="16"/>
          <w:lang w:val="en-AU"/>
        </w:rPr>
        <w:t>General comment No. 4 (2016) on the right to inclusive education</w:t>
      </w:r>
      <w:r w:rsidRPr="00CE5FCD">
        <w:rPr>
          <w:rFonts w:ascii="Avenir Book" w:hAnsi="Avenir Book"/>
          <w:sz w:val="16"/>
          <w:szCs w:val="16"/>
          <w:lang w:val="en-AU"/>
        </w:rPr>
        <w:t xml:space="preserve">, 25 November 2016, UN Doc: CRPD/C/GC/4. Available at: </w:t>
      </w:r>
      <w:hyperlink r:id="rId10" w:history="1">
        <w:r w:rsidRPr="00CE5FCD">
          <w:rPr>
            <w:rStyle w:val="Hyperlink"/>
            <w:rFonts w:ascii="Avenir Book" w:hAnsi="Avenir Book"/>
            <w:sz w:val="16"/>
            <w:szCs w:val="16"/>
            <w:lang w:val="en-AU"/>
          </w:rPr>
          <w:t>https://www.ohchr.org/EN/HRBodies/CRPD/Pages/GC.aspx</w:t>
        </w:r>
      </w:hyperlink>
      <w:r w:rsidRPr="00CE5FCD">
        <w:rPr>
          <w:rFonts w:ascii="Avenir Book" w:hAnsi="Avenir Book"/>
          <w:sz w:val="16"/>
          <w:szCs w:val="16"/>
          <w:lang w:val="en-AU"/>
        </w:rPr>
        <w:t xml:space="preserve"> </w:t>
      </w:r>
    </w:p>
  </w:footnote>
  <w:footnote w:id="12">
    <w:p w14:paraId="1EA7F375" w14:textId="3F73AE32" w:rsidR="00640BE6" w:rsidRPr="00CE5FCD" w:rsidRDefault="00640BE6" w:rsidP="00B16667">
      <w:pPr>
        <w:pStyle w:val="FootnoteText"/>
        <w:rPr>
          <w:rFonts w:ascii="Avenir Book" w:hAnsi="Avenir Book"/>
          <w:sz w:val="16"/>
          <w:szCs w:val="16"/>
          <w:lang w:val="en-AU"/>
        </w:rPr>
      </w:pPr>
      <w:r w:rsidRPr="00CE5FCD">
        <w:rPr>
          <w:rStyle w:val="FootnoteReference"/>
          <w:rFonts w:ascii="Avenir Book" w:hAnsi="Avenir Book"/>
          <w:sz w:val="16"/>
          <w:szCs w:val="16"/>
        </w:rPr>
        <w:footnoteRef/>
      </w:r>
      <w:r w:rsidRPr="00CE5FCD">
        <w:rPr>
          <w:rFonts w:ascii="Avenir Book" w:hAnsi="Avenir Book"/>
          <w:sz w:val="16"/>
          <w:szCs w:val="16"/>
        </w:rPr>
        <w:t xml:space="preserve"> </w:t>
      </w:r>
      <w:r w:rsidRPr="00CE5FCD">
        <w:rPr>
          <w:rFonts w:ascii="Avenir Book" w:hAnsi="Avenir Book" w:cs="Calibri"/>
          <w:color w:val="000000" w:themeColor="text1"/>
          <w:sz w:val="16"/>
          <w:szCs w:val="16"/>
          <w:lang w:val="en-AU"/>
        </w:rPr>
        <w:t xml:space="preserve">Women with Disabilities Australia, </w:t>
      </w:r>
      <w:r w:rsidRPr="00CE5FCD">
        <w:rPr>
          <w:rFonts w:ascii="Avenir Book" w:hAnsi="Avenir Book" w:cs="Calibri"/>
          <w:i/>
          <w:color w:val="000000" w:themeColor="text1"/>
          <w:sz w:val="16"/>
          <w:szCs w:val="16"/>
          <w:lang w:val="en-AU"/>
        </w:rPr>
        <w:t>Stop the Violence Project, Background Paper, National Symposium on Violence Against Women and Girls with Disabilities</w:t>
      </w:r>
      <w:r w:rsidRPr="00CE5FCD">
        <w:rPr>
          <w:rFonts w:ascii="Avenir Book" w:hAnsi="Avenir Book" w:cs="Calibri"/>
          <w:color w:val="000000" w:themeColor="text1"/>
          <w:sz w:val="16"/>
          <w:szCs w:val="16"/>
          <w:lang w:val="en-AU"/>
        </w:rPr>
        <w:t xml:space="preserve">, October 2013, WWDA, Hobart, page 17. Available at: </w:t>
      </w:r>
      <w:hyperlink r:id="rId11" w:history="1">
        <w:r w:rsidRPr="00CE5FCD">
          <w:rPr>
            <w:rStyle w:val="Hyperlink"/>
            <w:rFonts w:ascii="Avenir Book" w:hAnsi="Avenir Book" w:cs="Calibri"/>
            <w:sz w:val="16"/>
            <w:szCs w:val="16"/>
            <w:lang w:val="en-AU"/>
          </w:rPr>
          <w:t>http://wwda.org.au/wp-content/uploads/2013/12/STV_Background_Paper_FINAL.pdf</w:t>
        </w:r>
      </w:hyperlink>
      <w:r w:rsidRPr="00CE5FCD">
        <w:rPr>
          <w:rFonts w:ascii="Avenir Book" w:hAnsi="Avenir Book" w:cs="Calibri"/>
          <w:color w:val="000000" w:themeColor="text1"/>
          <w:sz w:val="16"/>
          <w:szCs w:val="16"/>
          <w:lang w:val="en-AU"/>
        </w:rPr>
        <w:t xml:space="preserve"> </w:t>
      </w:r>
    </w:p>
  </w:footnote>
  <w:footnote w:id="13">
    <w:p w14:paraId="68D23C01" w14:textId="4CBC7997" w:rsidR="00640BE6" w:rsidRPr="00CE5FCD" w:rsidRDefault="00640BE6">
      <w:pPr>
        <w:pStyle w:val="FootnoteText"/>
        <w:rPr>
          <w:rFonts w:ascii="Avenir Book" w:hAnsi="Avenir Book"/>
          <w:sz w:val="16"/>
          <w:szCs w:val="16"/>
          <w:lang w:val="en-AU"/>
        </w:rPr>
      </w:pPr>
      <w:r w:rsidRPr="00CE5FCD">
        <w:rPr>
          <w:rStyle w:val="FootnoteReference"/>
          <w:rFonts w:ascii="Avenir Book" w:hAnsi="Avenir Book"/>
          <w:sz w:val="16"/>
          <w:szCs w:val="16"/>
        </w:rPr>
        <w:footnoteRef/>
      </w:r>
      <w:r w:rsidRPr="00CE5FCD">
        <w:rPr>
          <w:rFonts w:ascii="Avenir Book" w:hAnsi="Avenir Book"/>
          <w:sz w:val="16"/>
          <w:szCs w:val="16"/>
        </w:rPr>
        <w:t xml:space="preserve"> </w:t>
      </w:r>
      <w:r w:rsidRPr="00CE5FCD">
        <w:rPr>
          <w:rFonts w:ascii="Avenir Book" w:hAnsi="Avenir Book"/>
          <w:sz w:val="16"/>
          <w:szCs w:val="16"/>
          <w:lang w:val="en-AU"/>
        </w:rPr>
        <w:t xml:space="preserve">See e.g., Frawley, P; Dyson, S; Robinson, S, </w:t>
      </w:r>
      <w:r w:rsidRPr="00CE5FCD">
        <w:rPr>
          <w:rFonts w:ascii="Avenir Book" w:hAnsi="Avenir Book"/>
          <w:i/>
          <w:sz w:val="16"/>
          <w:szCs w:val="16"/>
          <w:lang w:val="en-AU"/>
        </w:rPr>
        <w:t>Whatever it takes? Access for women with disabilities to domestic and family violence services: Key findings and future directions</w:t>
      </w:r>
      <w:r w:rsidRPr="00CE5FCD">
        <w:rPr>
          <w:rFonts w:ascii="Avenir Book" w:hAnsi="Avenir Book"/>
          <w:sz w:val="16"/>
          <w:szCs w:val="16"/>
          <w:lang w:val="en-AU"/>
        </w:rPr>
        <w:t xml:space="preserve">, Compass Issue 5, 2017, ANROWS. Available at: </w:t>
      </w:r>
      <w:hyperlink r:id="rId12" w:history="1">
        <w:r w:rsidRPr="00CE5FCD">
          <w:rPr>
            <w:rStyle w:val="Hyperlink"/>
            <w:rFonts w:ascii="Avenir Book" w:hAnsi="Avenir Book"/>
            <w:sz w:val="16"/>
            <w:szCs w:val="16"/>
            <w:lang w:val="en-AU"/>
          </w:rPr>
          <w:t>https://www.anrows.org.au/publication/whatever-it-takes-access-for-women-with-disabilities-to-domestic-and-family-violence-services-key-findings-and-future-directions/</w:t>
        </w:r>
      </w:hyperlink>
      <w:r w:rsidRPr="00CE5FCD">
        <w:rPr>
          <w:rFonts w:ascii="Avenir Book" w:hAnsi="Avenir Book"/>
          <w:sz w:val="16"/>
          <w:szCs w:val="16"/>
          <w:lang w:val="en-AU"/>
        </w:rPr>
        <w:t xml:space="preserve">; </w:t>
      </w:r>
      <w:r w:rsidRPr="00CE5FCD">
        <w:rPr>
          <w:rFonts w:ascii="Avenir Book" w:hAnsi="Avenir Book" w:cs="Calibri"/>
          <w:color w:val="000000" w:themeColor="text1"/>
          <w:sz w:val="16"/>
          <w:szCs w:val="16"/>
          <w:lang w:val="en-AU"/>
        </w:rPr>
        <w:t xml:space="preserve">Maher, J. M., </w:t>
      </w:r>
      <w:r w:rsidRPr="00CE5FCD">
        <w:rPr>
          <w:rFonts w:ascii="Avenir Book" w:hAnsi="Avenir Book" w:cs="Calibri"/>
          <w:color w:val="000000" w:themeColor="text1"/>
          <w:sz w:val="16"/>
          <w:szCs w:val="16"/>
          <w:lang w:val="en-AU"/>
        </w:rPr>
        <w:t xml:space="preserve">Spivakovsky, C., McCulloch, J., McGowan, J., Beavis, K., Lea, M., Cadwallader, J., Sands, T. (2018) </w:t>
      </w:r>
      <w:r w:rsidRPr="00CE5FCD">
        <w:rPr>
          <w:rFonts w:ascii="Avenir Book" w:hAnsi="Avenir Book" w:cs="Calibri"/>
          <w:i/>
          <w:color w:val="000000" w:themeColor="text1"/>
          <w:sz w:val="16"/>
          <w:szCs w:val="16"/>
          <w:lang w:val="en-AU"/>
        </w:rPr>
        <w:t>Women, disability and violence: Barriers to accessing justice: Final report</w:t>
      </w:r>
      <w:r w:rsidRPr="00CE5FCD">
        <w:rPr>
          <w:rFonts w:ascii="Avenir Book" w:hAnsi="Avenir Book" w:cs="Calibri"/>
          <w:color w:val="000000" w:themeColor="text1"/>
          <w:sz w:val="16"/>
          <w:szCs w:val="16"/>
          <w:lang w:val="en-AU"/>
        </w:rPr>
        <w:t xml:space="preserve"> (ANROWS Horizons, 02/2018). Sydney: ANROWS. Available at: </w:t>
      </w:r>
      <w:hyperlink r:id="rId13" w:history="1">
        <w:r w:rsidRPr="00CE5FCD">
          <w:rPr>
            <w:rStyle w:val="Hyperlink"/>
            <w:rFonts w:ascii="Avenir Book" w:hAnsi="Avenir Book" w:cs="Calibri"/>
            <w:sz w:val="16"/>
            <w:szCs w:val="16"/>
            <w:lang w:val="en-AU"/>
          </w:rPr>
          <w:t>https://www.anrows.org.au/publications/horizons/women-disability-and-violence-barriers-accessing-justice-final-report</w:t>
        </w:r>
      </w:hyperlink>
      <w:r w:rsidRPr="00CE5FCD">
        <w:rPr>
          <w:rFonts w:ascii="Avenir Book" w:hAnsi="Avenir Book" w:cs="Calibri"/>
          <w:color w:val="000000" w:themeColor="text1"/>
          <w:sz w:val="16"/>
          <w:szCs w:val="16"/>
          <w:lang w:val="en-AU"/>
        </w:rPr>
        <w:t xml:space="preserve"> </w:t>
      </w:r>
    </w:p>
  </w:footnote>
  <w:footnote w:id="14">
    <w:p w14:paraId="16F0988C" w14:textId="20358E94" w:rsidR="00640BE6" w:rsidRPr="00896999" w:rsidRDefault="00640BE6" w:rsidP="00A352CE">
      <w:pPr>
        <w:pStyle w:val="FootnoteText"/>
        <w:rPr>
          <w:rFonts w:ascii="Avenir Book" w:hAnsi="Avenir Book" w:cs="Calibri"/>
          <w:color w:val="000000" w:themeColor="text1"/>
          <w:sz w:val="16"/>
          <w:szCs w:val="16"/>
          <w:lang w:val="en-AU"/>
        </w:rPr>
      </w:pPr>
      <w:r w:rsidRPr="00896999">
        <w:rPr>
          <w:rStyle w:val="FootnoteReference"/>
          <w:rFonts w:ascii="Avenir Book" w:hAnsi="Avenir Book"/>
          <w:sz w:val="16"/>
          <w:szCs w:val="16"/>
        </w:rPr>
        <w:footnoteRef/>
      </w:r>
      <w:r w:rsidRPr="00896999">
        <w:rPr>
          <w:rFonts w:ascii="Avenir Book" w:hAnsi="Avenir Book"/>
          <w:sz w:val="16"/>
          <w:szCs w:val="16"/>
        </w:rPr>
        <w:t xml:space="preserve"> </w:t>
      </w:r>
      <w:r w:rsidRPr="00896999">
        <w:rPr>
          <w:rFonts w:ascii="Avenir Book" w:hAnsi="Avenir Book" w:cs="Calibri"/>
          <w:color w:val="000000" w:themeColor="text1"/>
          <w:sz w:val="16"/>
          <w:szCs w:val="16"/>
        </w:rPr>
        <w:t xml:space="preserve">Frohmader, C. and Sands, T. (2015) </w:t>
      </w:r>
      <w:r w:rsidRPr="00896999">
        <w:rPr>
          <w:rFonts w:ascii="Avenir Book" w:hAnsi="Avenir Book" w:cs="Calibri"/>
          <w:i/>
          <w:color w:val="000000" w:themeColor="text1"/>
          <w:sz w:val="16"/>
          <w:szCs w:val="16"/>
        </w:rPr>
        <w:t xml:space="preserve">Australian Cross Disability Alliance (ACDA) Submission to the Senate Inquiry into Violence, abuse and neglect against people with disability in institutional and residential </w:t>
      </w:r>
      <w:r w:rsidRPr="00896999">
        <w:rPr>
          <w:rFonts w:ascii="Avenir Book" w:hAnsi="Avenir Book" w:cs="Calibri"/>
          <w:i/>
          <w:color w:val="000000" w:themeColor="text1"/>
          <w:sz w:val="16"/>
          <w:szCs w:val="16"/>
        </w:rPr>
        <w:t>settings’</w:t>
      </w:r>
      <w:r w:rsidRPr="00896999">
        <w:rPr>
          <w:rFonts w:ascii="Avenir Book" w:hAnsi="Avenir Book" w:cs="Calibri"/>
          <w:color w:val="000000" w:themeColor="text1"/>
          <w:sz w:val="16"/>
          <w:szCs w:val="16"/>
        </w:rPr>
        <w:t xml:space="preserve">. Sydney: ACDA. Available at: </w:t>
      </w:r>
      <w:hyperlink r:id="rId14" w:history="1">
        <w:r w:rsidRPr="00896999">
          <w:rPr>
            <w:rStyle w:val="Hyperlink"/>
            <w:rFonts w:ascii="Avenir Book" w:hAnsi="Avenir Book" w:cs="Calibri"/>
            <w:sz w:val="16"/>
            <w:szCs w:val="16"/>
          </w:rPr>
          <w:t>http://wwda.org.au/papers/subs/subs2011/</w:t>
        </w:r>
      </w:hyperlink>
      <w:r w:rsidRPr="00896999">
        <w:rPr>
          <w:rFonts w:ascii="Avenir Book" w:hAnsi="Avenir Book" w:cs="Calibri"/>
          <w:color w:val="000000" w:themeColor="text1"/>
          <w:sz w:val="16"/>
          <w:szCs w:val="16"/>
        </w:rPr>
        <w:t xml:space="preserve"> </w:t>
      </w:r>
    </w:p>
  </w:footnote>
  <w:footnote w:id="15">
    <w:p w14:paraId="06ABD8B4" w14:textId="2454AEBA" w:rsidR="00640BE6" w:rsidRPr="00896999" w:rsidRDefault="00640BE6">
      <w:pPr>
        <w:pStyle w:val="FootnoteText"/>
        <w:rPr>
          <w:rFonts w:ascii="Avenir Book" w:hAnsi="Avenir Book"/>
          <w:sz w:val="16"/>
          <w:szCs w:val="16"/>
          <w:lang w:val="en-AU"/>
        </w:rPr>
      </w:pPr>
      <w:r w:rsidRPr="00896999">
        <w:rPr>
          <w:rStyle w:val="FootnoteReference"/>
          <w:rFonts w:ascii="Avenir Book" w:hAnsi="Avenir Book"/>
          <w:sz w:val="16"/>
          <w:szCs w:val="16"/>
        </w:rPr>
        <w:footnoteRef/>
      </w:r>
      <w:r w:rsidRPr="00896999">
        <w:rPr>
          <w:rFonts w:ascii="Avenir Book" w:hAnsi="Avenir Book"/>
          <w:sz w:val="16"/>
          <w:szCs w:val="16"/>
        </w:rPr>
        <w:t xml:space="preserve"> </w:t>
      </w:r>
      <w:r w:rsidRPr="00896999">
        <w:rPr>
          <w:rFonts w:ascii="Avenir Book" w:hAnsi="Avenir Book"/>
          <w:sz w:val="16"/>
          <w:szCs w:val="16"/>
          <w:lang w:val="en-AU"/>
        </w:rPr>
        <w:t xml:space="preserve">Frohmader, C.; Dowse, L.; Didi, A., </w:t>
      </w:r>
      <w:r w:rsidRPr="00896999">
        <w:rPr>
          <w:rFonts w:ascii="Avenir Book" w:hAnsi="Avenir Book" w:cstheme="minorHAnsi"/>
          <w:i/>
          <w:color w:val="191619"/>
          <w:sz w:val="16"/>
          <w:szCs w:val="16"/>
        </w:rPr>
        <w:t>Preventing Violence against Women and Girls with Disabilities: Integrating A Human Rights Perspective</w:t>
      </w:r>
      <w:r w:rsidRPr="00896999">
        <w:rPr>
          <w:rFonts w:ascii="Avenir Book" w:hAnsi="Avenir Book" w:cstheme="minorHAnsi"/>
          <w:color w:val="191619"/>
          <w:sz w:val="16"/>
          <w:szCs w:val="16"/>
        </w:rPr>
        <w:t xml:space="preserve">, Women With Disabilities Australia, September 2015 (revised and updated version). Available at: </w:t>
      </w:r>
      <w:hyperlink r:id="rId15" w:history="1">
        <w:r w:rsidRPr="00896999">
          <w:rPr>
            <w:rStyle w:val="Hyperlink"/>
            <w:rFonts w:ascii="Avenir Book" w:hAnsi="Avenir Book" w:cstheme="minorHAnsi"/>
            <w:sz w:val="16"/>
            <w:szCs w:val="16"/>
          </w:rPr>
          <w:t>http://wwda.org.au/wp-content/uploads/2013/12/Think_Piece_Revised_Edition.pdf</w:t>
        </w:r>
      </w:hyperlink>
      <w:r w:rsidRPr="00896999">
        <w:rPr>
          <w:rFonts w:ascii="Avenir Book" w:hAnsi="Avenir Book" w:cstheme="minorHAnsi"/>
          <w:color w:val="191619"/>
          <w:sz w:val="16"/>
          <w:szCs w:val="16"/>
        </w:rPr>
        <w:t xml:space="preserve"> </w:t>
      </w:r>
    </w:p>
  </w:footnote>
  <w:footnote w:id="16">
    <w:p w14:paraId="70FA01D0" w14:textId="53ED582A"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 xml:space="preserve">Committee on the Rights of Persons with Disabilities, </w:t>
      </w:r>
      <w:r w:rsidRPr="00761F08">
        <w:rPr>
          <w:rFonts w:ascii="Avenir Book" w:hAnsi="Avenir Book"/>
          <w:i/>
          <w:sz w:val="16"/>
          <w:szCs w:val="16"/>
          <w:lang w:val="en-AU"/>
        </w:rPr>
        <w:t xml:space="preserve">General comment No. 4 (2016) </w:t>
      </w:r>
      <w:r w:rsidRPr="00761F08">
        <w:rPr>
          <w:rFonts w:ascii="Avenir Book" w:hAnsi="Avenir Book"/>
          <w:sz w:val="16"/>
          <w:szCs w:val="16"/>
          <w:lang w:val="en-AU"/>
        </w:rPr>
        <w:t xml:space="preserve">op. cit., paras 11 and 40. </w:t>
      </w:r>
    </w:p>
  </w:footnote>
  <w:footnote w:id="17">
    <w:p w14:paraId="1EBB81F0" w14:textId="20BD4DBD"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 xml:space="preserve">Committee on the Rights of Persons with Disabilities, </w:t>
      </w:r>
      <w:r w:rsidRPr="00761F08">
        <w:rPr>
          <w:rFonts w:ascii="Avenir Book" w:hAnsi="Avenir Book"/>
          <w:i/>
          <w:sz w:val="16"/>
          <w:szCs w:val="16"/>
          <w:lang w:val="en-AU"/>
        </w:rPr>
        <w:t>General comment No. 6 (2016) on equality and non-discrimination</w:t>
      </w:r>
      <w:r w:rsidRPr="00761F08">
        <w:rPr>
          <w:rFonts w:ascii="Avenir Book" w:hAnsi="Avenir Book"/>
          <w:sz w:val="16"/>
          <w:szCs w:val="16"/>
          <w:lang w:val="en-AU"/>
        </w:rPr>
        <w:t xml:space="preserve">, 26 April 2018, UN Doc: CRPD/C/GC/6, paras 63-65. Available at: </w:t>
      </w:r>
      <w:hyperlink r:id="rId16" w:history="1">
        <w:r w:rsidRPr="00761F08">
          <w:rPr>
            <w:rStyle w:val="Hyperlink"/>
            <w:rFonts w:ascii="Avenir Book" w:hAnsi="Avenir Book"/>
            <w:sz w:val="16"/>
            <w:szCs w:val="16"/>
            <w:lang w:val="en-AU"/>
          </w:rPr>
          <w:t>https://www.ohchr.org/EN/HRBodies/CRPD/Pages/GC.aspx</w:t>
        </w:r>
      </w:hyperlink>
      <w:r w:rsidRPr="00761F08">
        <w:rPr>
          <w:rFonts w:ascii="Avenir Book" w:hAnsi="Avenir Book"/>
          <w:sz w:val="16"/>
          <w:szCs w:val="16"/>
          <w:lang w:val="en-AU"/>
        </w:rPr>
        <w:t xml:space="preserve"> </w:t>
      </w:r>
    </w:p>
  </w:footnote>
  <w:footnote w:id="18">
    <w:p w14:paraId="6C367F6E" w14:textId="12B52934"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 xml:space="preserve">Australian Civil Society Shadow Report Working Group, </w:t>
      </w:r>
      <w:r w:rsidRPr="00761F08">
        <w:rPr>
          <w:rFonts w:ascii="Avenir Book" w:hAnsi="Avenir Book"/>
          <w:i/>
          <w:sz w:val="16"/>
          <w:szCs w:val="16"/>
          <w:lang w:val="en-AU"/>
        </w:rPr>
        <w:t>Disability Rights Now 2019, Australian Civil Society Shadow Report to the United Nations Committee on the Rights of Persons with Disabilities: UN CRPD Review 2019</w:t>
      </w:r>
      <w:r w:rsidRPr="00761F08">
        <w:rPr>
          <w:rFonts w:ascii="Avenir Book" w:hAnsi="Avenir Book"/>
          <w:sz w:val="16"/>
          <w:szCs w:val="16"/>
          <w:lang w:val="en-AU"/>
        </w:rPr>
        <w:t xml:space="preserve">, July 2019, page 35. Available at: </w:t>
      </w:r>
      <w:hyperlink r:id="rId17" w:history="1">
        <w:r w:rsidRPr="00761F08">
          <w:rPr>
            <w:rStyle w:val="Hyperlink"/>
            <w:rFonts w:ascii="Avenir Book" w:hAnsi="Avenir Book"/>
            <w:sz w:val="16"/>
            <w:szCs w:val="16"/>
            <w:lang w:val="en-AU"/>
          </w:rPr>
          <w:t>https://dpoa.org.au/rights-of-people-with-disability-routinely-ignored-new-report/</w:t>
        </w:r>
      </w:hyperlink>
    </w:p>
  </w:footnote>
  <w:footnote w:id="19">
    <w:p w14:paraId="2E0B195F" w14:textId="08D80032"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Ibid</w:t>
      </w:r>
    </w:p>
  </w:footnote>
  <w:footnote w:id="20">
    <w:p w14:paraId="761F3B86" w14:textId="5BE78BEB" w:rsidR="00640BE6" w:rsidRPr="00761F08" w:rsidRDefault="00640BE6">
      <w:pPr>
        <w:pStyle w:val="FootnoteText"/>
        <w:rPr>
          <w:rFonts w:ascii="Avenir Book" w:hAnsi="Avenir Book"/>
          <w:i/>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Ibid</w:t>
      </w:r>
    </w:p>
  </w:footnote>
  <w:footnote w:id="21">
    <w:p w14:paraId="6C21FB9B" w14:textId="3ACB85C7"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 xml:space="preserve">Australian Government, </w:t>
      </w:r>
      <w:r w:rsidRPr="00761F08">
        <w:rPr>
          <w:rFonts w:ascii="Avenir Book" w:hAnsi="Avenir Book"/>
          <w:i/>
          <w:sz w:val="16"/>
          <w:szCs w:val="16"/>
          <w:lang w:val="en-AU"/>
        </w:rPr>
        <w:t>National Disability Strategy 2010-2020</w:t>
      </w:r>
      <w:r w:rsidRPr="00761F08">
        <w:rPr>
          <w:rFonts w:ascii="Avenir Book" w:hAnsi="Avenir Book"/>
          <w:sz w:val="16"/>
          <w:szCs w:val="16"/>
          <w:lang w:val="en-AU"/>
        </w:rPr>
        <w:t xml:space="preserve">, Department of Social Services, Canberra, page 53. Available at: </w:t>
      </w:r>
      <w:hyperlink r:id="rId18" w:history="1">
        <w:r w:rsidRPr="00761F08">
          <w:rPr>
            <w:rStyle w:val="Hyperlink"/>
            <w:rFonts w:ascii="Avenir Book" w:hAnsi="Avenir Book"/>
            <w:sz w:val="16"/>
            <w:szCs w:val="16"/>
            <w:lang w:val="en-AU"/>
          </w:rPr>
          <w:t>https://www.dss.gov.au/our-responsibilities/disability-and-carers/publications-articles/policy-research/national-disability-strategy-2010-2020</w:t>
        </w:r>
      </w:hyperlink>
      <w:r w:rsidRPr="00761F08">
        <w:rPr>
          <w:rFonts w:ascii="Avenir Book" w:hAnsi="Avenir Book"/>
          <w:sz w:val="16"/>
          <w:szCs w:val="16"/>
          <w:lang w:val="en-AU"/>
        </w:rPr>
        <w:t xml:space="preserve"> </w:t>
      </w:r>
    </w:p>
  </w:footnote>
  <w:footnote w:id="22">
    <w:p w14:paraId="6FAEF380" w14:textId="272A3620" w:rsidR="00640BE6" w:rsidRPr="00761F08" w:rsidRDefault="00640BE6" w:rsidP="00D55985">
      <w:pPr>
        <w:pStyle w:val="NormalWeb"/>
        <w:snapToGrid w:val="0"/>
        <w:spacing w:before="0" w:beforeAutospacing="0" w:after="0" w:afterAutospacing="0"/>
        <w:rPr>
          <w:rFonts w:ascii="Avenir Book" w:hAnsi="Avenir Book" w:cstheme="minorHAnsi"/>
          <w:sz w:val="16"/>
          <w:szCs w:val="16"/>
          <w:lang w:eastAsia="en-US"/>
        </w:rPr>
      </w:pPr>
      <w:r w:rsidRPr="00761F08">
        <w:rPr>
          <w:rStyle w:val="FootnoteReference"/>
          <w:rFonts w:ascii="Avenir Book" w:hAnsi="Avenir Book" w:cstheme="minorHAnsi"/>
          <w:sz w:val="16"/>
          <w:szCs w:val="16"/>
        </w:rPr>
        <w:footnoteRef/>
      </w:r>
      <w:r w:rsidRPr="00761F08">
        <w:rPr>
          <w:rFonts w:ascii="Avenir Book" w:hAnsi="Avenir Book" w:cstheme="minorHAnsi"/>
          <w:sz w:val="16"/>
          <w:szCs w:val="16"/>
        </w:rPr>
        <w:t xml:space="preserve"> Frohmader, C., </w:t>
      </w:r>
      <w:r w:rsidRPr="00761F08">
        <w:rPr>
          <w:rFonts w:ascii="Avenir Book" w:hAnsi="Avenir Book" w:cstheme="minorHAnsi"/>
          <w:i/>
          <w:sz w:val="16"/>
          <w:szCs w:val="16"/>
        </w:rPr>
        <w:t xml:space="preserve">Gender Neutral, Gender Blind - </w:t>
      </w:r>
      <w:r w:rsidRPr="00761F08">
        <w:rPr>
          <w:rFonts w:ascii="Avenir Book" w:hAnsi="Avenir Book" w:cstheme="minorHAnsi"/>
          <w:i/>
          <w:color w:val="191619"/>
          <w:sz w:val="16"/>
          <w:szCs w:val="16"/>
          <w:lang w:eastAsia="en-US"/>
        </w:rPr>
        <w:t xml:space="preserve">The effectiveness of the National Disability Strategy in improving the lives of women and girls with disabilities, </w:t>
      </w:r>
      <w:r w:rsidRPr="00761F08">
        <w:rPr>
          <w:rFonts w:ascii="Avenir Book" w:hAnsi="Avenir Book" w:cstheme="minorHAnsi"/>
          <w:color w:val="191619"/>
          <w:sz w:val="16"/>
          <w:szCs w:val="16"/>
          <w:lang w:eastAsia="en-US"/>
        </w:rPr>
        <w:t xml:space="preserve">April 2014, </w:t>
      </w:r>
      <w:r w:rsidRPr="00761F08">
        <w:rPr>
          <w:rFonts w:ascii="Avenir Book" w:hAnsi="Avenir Book" w:cstheme="minorHAnsi"/>
          <w:sz w:val="16"/>
          <w:szCs w:val="16"/>
        </w:rPr>
        <w:t xml:space="preserve">Women With Disabilities  </w:t>
      </w:r>
      <w:hyperlink r:id="rId19" w:history="1">
        <w:r w:rsidRPr="00761F08">
          <w:rPr>
            <w:rStyle w:val="Hyperlink"/>
            <w:rFonts w:ascii="Avenir Book" w:hAnsi="Avenir Book" w:cstheme="minorHAnsi"/>
            <w:sz w:val="16"/>
            <w:szCs w:val="16"/>
          </w:rPr>
          <w:t>http://wwda.org.au/wp-content/uploads/2013/12/WWDA_Sub_NDS_Review2014.pdf</w:t>
        </w:r>
      </w:hyperlink>
      <w:r w:rsidRPr="00761F08">
        <w:rPr>
          <w:rFonts w:ascii="Avenir Book" w:hAnsi="Avenir Book" w:cstheme="minorHAnsi"/>
          <w:sz w:val="16"/>
          <w:szCs w:val="16"/>
        </w:rPr>
        <w:t xml:space="preserve"> </w:t>
      </w:r>
    </w:p>
  </w:footnote>
  <w:footnote w:id="23">
    <w:p w14:paraId="7C3F511B" w14:textId="51C33250"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Australian Civil Society Shadow Report Working Group, op. cit., page 35</w:t>
      </w:r>
    </w:p>
  </w:footnote>
  <w:footnote w:id="24">
    <w:p w14:paraId="54BA817A" w14:textId="2C5F2973"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Ibid, page 15</w:t>
      </w:r>
    </w:p>
  </w:footnote>
  <w:footnote w:id="25">
    <w:p w14:paraId="68148E3B" w14:textId="2F383160"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 xml:space="preserve">For more guidance on ‘progressive realisation, see Office of the United Nations High Commissioner for Human Rights, ‘Frequently Asked Questions on Economic, Social and Cultural Rights’, Factsheet No. 33, </w:t>
      </w:r>
      <w:hyperlink r:id="rId20" w:history="1">
        <w:r w:rsidRPr="00761F08">
          <w:rPr>
            <w:rStyle w:val="Hyperlink"/>
            <w:rFonts w:ascii="Avenir Book" w:hAnsi="Avenir Book"/>
            <w:sz w:val="16"/>
            <w:szCs w:val="16"/>
            <w:lang w:val="en-AU"/>
          </w:rPr>
          <w:t>https://www.ohchr.org/Documents/Publications/FactSheet33en.pdf</w:t>
        </w:r>
      </w:hyperlink>
      <w:r w:rsidRPr="00761F08">
        <w:rPr>
          <w:rFonts w:ascii="Avenir Book" w:hAnsi="Avenir Book"/>
          <w:sz w:val="16"/>
          <w:szCs w:val="16"/>
          <w:lang w:val="en-AU"/>
        </w:rPr>
        <w:t xml:space="preserve"> </w:t>
      </w:r>
    </w:p>
  </w:footnote>
  <w:footnote w:id="26">
    <w:p w14:paraId="46988822" w14:textId="029F2A9D" w:rsidR="00640BE6" w:rsidRPr="00761F08" w:rsidRDefault="00640BE6" w:rsidP="00275320">
      <w:pPr>
        <w:pStyle w:val="NormalWeb"/>
        <w:spacing w:before="0" w:beforeAutospacing="0" w:after="0" w:afterAutospacing="0"/>
        <w:rPr>
          <w:rFonts w:ascii="Avenir Book" w:hAnsi="Avenir Book"/>
          <w:sz w:val="16"/>
          <w:szCs w:val="16"/>
        </w:rPr>
      </w:pPr>
      <w:r w:rsidRPr="00761F08">
        <w:rPr>
          <w:rStyle w:val="FootnoteReference"/>
          <w:rFonts w:ascii="Avenir Book" w:hAnsi="Avenir Book" w:cstheme="minorHAnsi"/>
          <w:sz w:val="16"/>
          <w:szCs w:val="16"/>
        </w:rPr>
        <w:footnoteRef/>
      </w:r>
      <w:r w:rsidRPr="00761F08">
        <w:rPr>
          <w:rFonts w:ascii="Avenir Book" w:hAnsi="Avenir Book" w:cstheme="minorHAnsi"/>
          <w:sz w:val="16"/>
          <w:szCs w:val="16"/>
        </w:rPr>
        <w:t xml:space="preserve"> Australian Government, </w:t>
      </w:r>
      <w:r w:rsidRPr="00761F08">
        <w:rPr>
          <w:rFonts w:ascii="Avenir Book" w:hAnsi="Avenir Book" w:cstheme="minorHAnsi"/>
          <w:i/>
          <w:sz w:val="16"/>
          <w:szCs w:val="16"/>
        </w:rPr>
        <w:t>Combined second and third periodic reports under article 35 of the Convention due in 2018</w:t>
      </w:r>
      <w:r w:rsidRPr="00761F08">
        <w:rPr>
          <w:rFonts w:ascii="Avenir Book" w:hAnsi="Avenir Book" w:cstheme="minorHAnsi"/>
          <w:sz w:val="16"/>
          <w:szCs w:val="16"/>
        </w:rPr>
        <w:t xml:space="preserve">, UN Doc </w:t>
      </w:r>
      <w:r w:rsidRPr="00761F08">
        <w:rPr>
          <w:rFonts w:ascii="Avenir Book" w:hAnsi="Avenir Book" w:cstheme="minorHAnsi"/>
          <w:sz w:val="16"/>
          <w:szCs w:val="16"/>
          <w:lang w:eastAsia="en-US"/>
        </w:rPr>
        <w:t xml:space="preserve">CRPD/C/AUS/2-3, para 275(a) </w:t>
      </w:r>
    </w:p>
  </w:footnote>
  <w:footnote w:id="27">
    <w:p w14:paraId="2661348A" w14:textId="76610239" w:rsidR="00640BE6" w:rsidRPr="00761F08" w:rsidRDefault="00640BE6">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Ibid, para 275(b)</w:t>
      </w:r>
    </w:p>
  </w:footnote>
  <w:footnote w:id="28">
    <w:p w14:paraId="3A5BEA93" w14:textId="77777777" w:rsidR="00640BE6" w:rsidRPr="00761F08" w:rsidRDefault="00640BE6" w:rsidP="00AB2499">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On page 8 of the Issues Paper, it is noted that the Royal Commission defines ‘Neglect’ as including “physical and emotional neglect, passive neglect and wilful deprivation. Neglect can be a single significant incident or a systemic issue that involves depriving a person with disability of the basic necessities of life such as food, drink, shelter, access, mobility, clothing, education, medical care and treatment”. </w:t>
      </w:r>
    </w:p>
  </w:footnote>
  <w:footnote w:id="29">
    <w:p w14:paraId="1115C705" w14:textId="2BDC24AF" w:rsidR="00640BE6" w:rsidRPr="00761F08" w:rsidRDefault="00640BE6" w:rsidP="00464B8C">
      <w:pPr>
        <w:pStyle w:val="FootnoteText"/>
        <w:rPr>
          <w:rFonts w:ascii="Avenir Book" w:hAnsi="Avenir Book"/>
          <w:sz w:val="16"/>
          <w:szCs w:val="16"/>
          <w:lang w:val="en-AU"/>
        </w:rPr>
      </w:pPr>
      <w:r w:rsidRPr="00761F08">
        <w:rPr>
          <w:rStyle w:val="FootnoteReference"/>
          <w:rFonts w:ascii="Avenir Book" w:hAnsi="Avenir Book"/>
          <w:sz w:val="16"/>
          <w:szCs w:val="16"/>
        </w:rPr>
        <w:footnoteRef/>
      </w:r>
      <w:r w:rsidRPr="00761F08">
        <w:rPr>
          <w:rFonts w:ascii="Avenir Book" w:hAnsi="Avenir Book"/>
          <w:sz w:val="16"/>
          <w:szCs w:val="16"/>
        </w:rPr>
        <w:t xml:space="preserve"> </w:t>
      </w:r>
      <w:r w:rsidRPr="00761F08">
        <w:rPr>
          <w:rFonts w:ascii="Avenir Book" w:hAnsi="Avenir Book"/>
          <w:sz w:val="16"/>
          <w:szCs w:val="16"/>
          <w:lang w:val="en-AU"/>
        </w:rPr>
        <w:t xml:space="preserve">Royal Commission into Violence, Abuse, Neglect and Exploitation of People with Disability, </w:t>
      </w:r>
      <w:r w:rsidRPr="00761F08">
        <w:rPr>
          <w:rFonts w:ascii="Avenir Book" w:hAnsi="Avenir Book"/>
          <w:i/>
          <w:sz w:val="16"/>
          <w:szCs w:val="16"/>
          <w:lang w:val="en-AU"/>
        </w:rPr>
        <w:t>Transcript of Proceedings, Townsville Hearing</w:t>
      </w:r>
      <w:r w:rsidRPr="00761F08">
        <w:rPr>
          <w:rFonts w:ascii="Avenir Book" w:hAnsi="Avenir Book"/>
          <w:sz w:val="16"/>
          <w:szCs w:val="16"/>
          <w:lang w:val="en-AU"/>
        </w:rPr>
        <w:t xml:space="preserve">, 7 November 2019, exchange between Ms. K. McMillan QC and the Hon Ronald Sackville AO QC, pages 328-329. Available at: </w:t>
      </w:r>
      <w:hyperlink r:id="rId21" w:history="1">
        <w:r w:rsidRPr="00761F08">
          <w:rPr>
            <w:rStyle w:val="Hyperlink"/>
            <w:rFonts w:ascii="Avenir Book" w:hAnsi="Avenir Book"/>
            <w:sz w:val="16"/>
            <w:szCs w:val="16"/>
            <w:lang w:val="en-AU"/>
          </w:rPr>
          <w:t>https://disability.royalcommission.gov.au/hearings/Documents/transcripts/transcript-7-november-2019.pdf</w:t>
        </w:r>
      </w:hyperlink>
      <w:r w:rsidRPr="00761F08">
        <w:rPr>
          <w:rFonts w:ascii="Avenir Book" w:hAnsi="Avenir Book"/>
          <w:sz w:val="16"/>
          <w:szCs w:val="16"/>
          <w:lang w:val="en-AU"/>
        </w:rPr>
        <w:t xml:space="preserve"> </w:t>
      </w:r>
    </w:p>
  </w:footnote>
  <w:footnote w:id="30">
    <w:p w14:paraId="25D91A96" w14:textId="373A43CD"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Royal Commission into Violence, Abuse, Neglect and Exploitation of People with Disability, </w:t>
      </w:r>
      <w:r w:rsidRPr="003449E6">
        <w:rPr>
          <w:rFonts w:ascii="Avenir Book" w:hAnsi="Avenir Book"/>
          <w:i/>
          <w:sz w:val="16"/>
          <w:szCs w:val="16"/>
          <w:lang w:val="en-AU"/>
        </w:rPr>
        <w:t>The Criminal Justice System Issues Paper</w:t>
      </w:r>
      <w:r w:rsidRPr="003449E6">
        <w:rPr>
          <w:rFonts w:ascii="Avenir Book" w:hAnsi="Avenir Book"/>
          <w:sz w:val="16"/>
          <w:szCs w:val="16"/>
          <w:lang w:val="en-AU"/>
        </w:rPr>
        <w:t xml:space="preserve">, January 2020, page 3. Available at: </w:t>
      </w:r>
      <w:hyperlink r:id="rId22" w:history="1">
        <w:r w:rsidRPr="003449E6">
          <w:rPr>
            <w:rStyle w:val="Hyperlink"/>
            <w:rFonts w:ascii="Avenir Book" w:hAnsi="Avenir Book"/>
            <w:sz w:val="16"/>
            <w:szCs w:val="16"/>
            <w:lang w:val="en-AU"/>
          </w:rPr>
          <w:t>https://disability.royalcommission.gov.au/publications/Pages/default.aspx</w:t>
        </w:r>
      </w:hyperlink>
      <w:r w:rsidRPr="003449E6">
        <w:rPr>
          <w:rFonts w:ascii="Avenir Book" w:hAnsi="Avenir Book"/>
          <w:sz w:val="16"/>
          <w:szCs w:val="16"/>
          <w:lang w:val="en-AU"/>
        </w:rPr>
        <w:t xml:space="preserve"> </w:t>
      </w:r>
    </w:p>
  </w:footnote>
  <w:footnote w:id="31">
    <w:p w14:paraId="6259B8ED" w14:textId="4A0DB5EC"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Royal Commission into Violence, Abuse, Neglect and Exploitation of People with Disability, </w:t>
      </w:r>
      <w:r w:rsidRPr="003449E6">
        <w:rPr>
          <w:rFonts w:ascii="Avenir Book" w:hAnsi="Avenir Book"/>
          <w:i/>
          <w:sz w:val="16"/>
          <w:szCs w:val="16"/>
          <w:lang w:val="en-AU"/>
        </w:rPr>
        <w:t>The Education and Learning Issues Paper</w:t>
      </w:r>
      <w:r w:rsidRPr="003449E6">
        <w:rPr>
          <w:rFonts w:ascii="Avenir Book" w:hAnsi="Avenir Book"/>
          <w:sz w:val="16"/>
          <w:szCs w:val="16"/>
          <w:lang w:val="en-AU"/>
        </w:rPr>
        <w:t xml:space="preserve">, op. cit., page 2. </w:t>
      </w:r>
    </w:p>
  </w:footnote>
  <w:footnote w:id="32">
    <w:p w14:paraId="1CB8C262" w14:textId="42CD4EE6"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i/>
          <w:sz w:val="16"/>
          <w:szCs w:val="16"/>
        </w:rPr>
        <w:t>Convention on the Rights of Persons with Disabilities</w:t>
      </w:r>
      <w:r w:rsidRPr="003449E6">
        <w:rPr>
          <w:rFonts w:ascii="Avenir Book" w:hAnsi="Avenir Book"/>
          <w:sz w:val="16"/>
          <w:szCs w:val="16"/>
        </w:rPr>
        <w:t xml:space="preserve"> [2008] ATS 12; </w:t>
      </w:r>
      <w:r w:rsidRPr="003449E6">
        <w:rPr>
          <w:rFonts w:ascii="Avenir Book" w:hAnsi="Avenir Book"/>
          <w:i/>
          <w:sz w:val="16"/>
          <w:szCs w:val="16"/>
        </w:rPr>
        <w:t>Convention on the Rights of the Child</w:t>
      </w:r>
      <w:r w:rsidRPr="003449E6">
        <w:rPr>
          <w:rFonts w:ascii="Avenir Book" w:hAnsi="Avenir Book"/>
          <w:sz w:val="16"/>
          <w:szCs w:val="16"/>
        </w:rPr>
        <w:t xml:space="preserve"> [1991] ATS 4; </w:t>
      </w:r>
      <w:r w:rsidRPr="003449E6">
        <w:rPr>
          <w:rFonts w:ascii="Avenir Book" w:hAnsi="Avenir Book"/>
          <w:i/>
          <w:sz w:val="16"/>
          <w:szCs w:val="16"/>
        </w:rPr>
        <w:t>Convention against Torture and Other Cruel, Inhuman or Degrading Treatment or Punishment</w:t>
      </w:r>
      <w:r w:rsidRPr="003449E6">
        <w:rPr>
          <w:rFonts w:ascii="Avenir Book" w:hAnsi="Avenir Book"/>
          <w:sz w:val="16"/>
          <w:szCs w:val="16"/>
        </w:rPr>
        <w:t xml:space="preserve"> [1989] ATS 21; </w:t>
      </w:r>
      <w:r w:rsidRPr="003449E6">
        <w:rPr>
          <w:rFonts w:ascii="Avenir Book" w:hAnsi="Avenir Book"/>
          <w:i/>
          <w:sz w:val="16"/>
          <w:szCs w:val="16"/>
        </w:rPr>
        <w:t>Convention on the Elimination of All Forms of Discrimination Against Women</w:t>
      </w:r>
      <w:r w:rsidRPr="003449E6">
        <w:rPr>
          <w:rFonts w:ascii="Avenir Book" w:hAnsi="Avenir Book"/>
          <w:sz w:val="16"/>
          <w:szCs w:val="16"/>
        </w:rPr>
        <w:t xml:space="preserve"> [1983] ATS 9; </w:t>
      </w:r>
      <w:r w:rsidRPr="003449E6">
        <w:rPr>
          <w:rFonts w:ascii="Avenir Book" w:hAnsi="Avenir Book"/>
          <w:i/>
          <w:sz w:val="16"/>
          <w:szCs w:val="16"/>
        </w:rPr>
        <w:t>International Covenant on Civil and Political Rights</w:t>
      </w:r>
      <w:r w:rsidRPr="003449E6">
        <w:rPr>
          <w:rFonts w:ascii="Avenir Book" w:hAnsi="Avenir Book"/>
          <w:sz w:val="16"/>
          <w:szCs w:val="16"/>
        </w:rPr>
        <w:t xml:space="preserve"> [1980] ATS 23; </w:t>
      </w:r>
      <w:r w:rsidRPr="003449E6">
        <w:rPr>
          <w:rFonts w:ascii="Avenir Book" w:hAnsi="Avenir Book"/>
          <w:i/>
          <w:sz w:val="16"/>
          <w:szCs w:val="16"/>
        </w:rPr>
        <w:t>International Covenant on Economic, Social and Cultural Rights</w:t>
      </w:r>
      <w:r w:rsidRPr="003449E6">
        <w:rPr>
          <w:rFonts w:ascii="Avenir Book" w:hAnsi="Avenir Book"/>
          <w:sz w:val="16"/>
          <w:szCs w:val="16"/>
        </w:rPr>
        <w:t xml:space="preserve"> [1976] ATS 5; </w:t>
      </w:r>
      <w:r w:rsidRPr="003449E6">
        <w:rPr>
          <w:rFonts w:ascii="Avenir Book" w:hAnsi="Avenir Book"/>
          <w:i/>
          <w:sz w:val="16"/>
          <w:szCs w:val="16"/>
        </w:rPr>
        <w:t xml:space="preserve">International Convention on the Elimination of All Forms of Racial Discrimination </w:t>
      </w:r>
      <w:r w:rsidRPr="003449E6">
        <w:rPr>
          <w:rFonts w:ascii="Avenir Book" w:hAnsi="Avenir Book"/>
          <w:sz w:val="16"/>
          <w:szCs w:val="16"/>
        </w:rPr>
        <w:t xml:space="preserve">[1975] ATS 40  </w:t>
      </w:r>
    </w:p>
  </w:footnote>
  <w:footnote w:id="33">
    <w:p w14:paraId="03C7DC68" w14:textId="0A09A835"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Rosemary </w:t>
      </w:r>
      <w:r w:rsidRPr="003449E6">
        <w:rPr>
          <w:rFonts w:ascii="Avenir Book" w:hAnsi="Avenir Book"/>
          <w:sz w:val="16"/>
          <w:szCs w:val="16"/>
          <w:lang w:val="en-AU"/>
        </w:rPr>
        <w:t xml:space="preserve">Kayess and Phillip French, “Out of Darkness into Light? Introducing the Convention on the Rights of persons with Disabilities”, </w:t>
      </w:r>
      <w:r w:rsidRPr="003449E6">
        <w:rPr>
          <w:rFonts w:ascii="Avenir Book" w:hAnsi="Avenir Book"/>
          <w:i/>
          <w:sz w:val="16"/>
          <w:szCs w:val="16"/>
          <w:lang w:val="en-AU"/>
        </w:rPr>
        <w:t>Human Rights Law Review</w:t>
      </w:r>
      <w:r w:rsidRPr="003449E6">
        <w:rPr>
          <w:rFonts w:ascii="Avenir Book" w:hAnsi="Avenir Book"/>
          <w:sz w:val="16"/>
          <w:szCs w:val="16"/>
          <w:lang w:val="en-AU"/>
        </w:rPr>
        <w:t>, 8:1 (2008), 1-34.</w:t>
      </w:r>
    </w:p>
  </w:footnote>
  <w:footnote w:id="34">
    <w:p w14:paraId="41B8734E" w14:textId="6B54B956"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Committee on the Rights of Persons with Disabilities, </w:t>
      </w:r>
      <w:r w:rsidRPr="003449E6">
        <w:rPr>
          <w:rFonts w:ascii="Avenir Book" w:hAnsi="Avenir Book"/>
          <w:i/>
          <w:sz w:val="16"/>
          <w:szCs w:val="16"/>
          <w:lang w:val="en-AU"/>
        </w:rPr>
        <w:t>General comment No. 3 (2016) on women and girls with disabilities</w:t>
      </w:r>
      <w:r w:rsidRPr="003449E6">
        <w:rPr>
          <w:rFonts w:ascii="Avenir Book" w:hAnsi="Avenir Book"/>
          <w:sz w:val="16"/>
          <w:szCs w:val="16"/>
          <w:lang w:val="en-AU"/>
        </w:rPr>
        <w:t xml:space="preserve">, 25 November 2016, UN Doc: CRPD/C/GC/3, para 16. Available at: </w:t>
      </w:r>
      <w:hyperlink r:id="rId23" w:history="1">
        <w:r w:rsidRPr="003449E6">
          <w:rPr>
            <w:rStyle w:val="Hyperlink"/>
            <w:rFonts w:ascii="Avenir Book" w:hAnsi="Avenir Book"/>
            <w:sz w:val="16"/>
            <w:szCs w:val="16"/>
            <w:lang w:val="en-AU"/>
          </w:rPr>
          <w:t>https://www.ohchr.org/EN/HRBodies/CRPD/Pages/GC.aspx</w:t>
        </w:r>
      </w:hyperlink>
      <w:r w:rsidRPr="003449E6">
        <w:rPr>
          <w:rFonts w:ascii="Avenir Book" w:hAnsi="Avenir Book"/>
          <w:sz w:val="16"/>
          <w:szCs w:val="16"/>
          <w:lang w:val="en-AU"/>
        </w:rPr>
        <w:t xml:space="preserve"> </w:t>
      </w:r>
    </w:p>
  </w:footnote>
  <w:footnote w:id="35">
    <w:p w14:paraId="72C5676C" w14:textId="3185F2A2"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Ibid., para 4(c)</w:t>
      </w:r>
    </w:p>
  </w:footnote>
  <w:footnote w:id="36">
    <w:p w14:paraId="56FCE2A8" w14:textId="3387E13F"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Ibid., para 5</w:t>
      </w:r>
    </w:p>
  </w:footnote>
  <w:footnote w:id="37">
    <w:p w14:paraId="283842C0" w14:textId="7B1BA3BF"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i/>
          <w:sz w:val="16"/>
          <w:szCs w:val="16"/>
          <w:lang w:val="en-AU"/>
        </w:rPr>
        <w:t>Convention on the Rights of Persons with Disabilities</w:t>
      </w:r>
      <w:r w:rsidRPr="003449E6">
        <w:rPr>
          <w:rFonts w:ascii="Avenir Book" w:hAnsi="Avenir Book"/>
          <w:sz w:val="16"/>
          <w:szCs w:val="16"/>
          <w:lang w:val="en-AU"/>
        </w:rPr>
        <w:t>, article 6(1)</w:t>
      </w:r>
    </w:p>
  </w:footnote>
  <w:footnote w:id="38">
    <w:p w14:paraId="6C38FC30" w14:textId="02E6D514"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Theresia </w:t>
      </w:r>
      <w:r w:rsidRPr="003449E6">
        <w:rPr>
          <w:rFonts w:ascii="Avenir Book" w:hAnsi="Avenir Book"/>
          <w:sz w:val="16"/>
          <w:szCs w:val="16"/>
          <w:lang w:val="en-AU"/>
        </w:rPr>
        <w:t xml:space="preserve">Degener, “Disability in a Human Rights Context”, </w:t>
      </w:r>
      <w:r w:rsidRPr="003449E6">
        <w:rPr>
          <w:rFonts w:ascii="Avenir Book" w:hAnsi="Avenir Book"/>
          <w:i/>
          <w:sz w:val="16"/>
          <w:szCs w:val="16"/>
          <w:lang w:val="en-AU"/>
        </w:rPr>
        <w:t xml:space="preserve">Laws </w:t>
      </w:r>
      <w:r w:rsidRPr="003449E6">
        <w:rPr>
          <w:rFonts w:ascii="Avenir Book" w:hAnsi="Avenir Book"/>
          <w:sz w:val="16"/>
          <w:szCs w:val="16"/>
          <w:lang w:val="en-AU"/>
        </w:rPr>
        <w:t>2016, 5, 35; doi: 10.3390/laws5030035, page 10 of 24.</w:t>
      </w:r>
    </w:p>
  </w:footnote>
  <w:footnote w:id="39">
    <w:p w14:paraId="55488E45" w14:textId="605EC964"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Committee on the Rights of Persons with Disabilities, </w:t>
      </w:r>
      <w:r w:rsidRPr="003449E6">
        <w:rPr>
          <w:rFonts w:ascii="Avenir Book" w:hAnsi="Avenir Book"/>
          <w:i/>
          <w:sz w:val="16"/>
          <w:szCs w:val="16"/>
          <w:lang w:val="en-AU"/>
        </w:rPr>
        <w:t>General comment No. 3 (2016),</w:t>
      </w:r>
      <w:r w:rsidRPr="003449E6">
        <w:rPr>
          <w:rFonts w:ascii="Avenir Book" w:hAnsi="Avenir Book"/>
          <w:sz w:val="16"/>
          <w:szCs w:val="16"/>
          <w:lang w:val="en-AU"/>
        </w:rPr>
        <w:t xml:space="preserve"> op. cit., para 12.</w:t>
      </w:r>
    </w:p>
  </w:footnote>
  <w:footnote w:id="40">
    <w:p w14:paraId="7A2B8F9D" w14:textId="1C70BF3B"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Ibid</w:t>
      </w:r>
    </w:p>
  </w:footnote>
  <w:footnote w:id="41">
    <w:p w14:paraId="4EA9B46D" w14:textId="3EB9891A" w:rsidR="00640BE6" w:rsidRPr="003449E6" w:rsidRDefault="00640BE6">
      <w:pPr>
        <w:pStyle w:val="FootnoteText"/>
        <w:rPr>
          <w:rFonts w:ascii="Avenir Book" w:hAnsi="Avenir Book"/>
          <w:sz w:val="16"/>
          <w:szCs w:val="16"/>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 xml:space="preserve">These references are not intended to limit the gender analysis across the whole of the CRPD.  These references are found in </w:t>
      </w:r>
      <w:r w:rsidRPr="003449E6">
        <w:rPr>
          <w:rFonts w:ascii="Avenir Book" w:hAnsi="Avenir Book"/>
          <w:sz w:val="16"/>
          <w:szCs w:val="16"/>
          <w:lang w:val="en-US"/>
        </w:rPr>
        <w:t>article 8 (Awareness-raising); article 13 (Access to justice); article 16 (freedom from exploitation, violence and abuse); article 25 (Health); Article 34 (Committee on the Rights of Persons with Disabilities)</w:t>
      </w:r>
    </w:p>
  </w:footnote>
  <w:footnote w:id="42">
    <w:p w14:paraId="4563C329" w14:textId="0CFEB87F"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Ibid., para 37</w:t>
      </w:r>
    </w:p>
  </w:footnote>
  <w:footnote w:id="43">
    <w:p w14:paraId="0B2EB43B" w14:textId="739ED29C" w:rsidR="00640BE6" w:rsidRPr="003449E6" w:rsidRDefault="00640BE6">
      <w:pPr>
        <w:pStyle w:val="FootnoteText"/>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Ibid., paras 29-46</w:t>
      </w:r>
    </w:p>
  </w:footnote>
  <w:footnote w:id="44">
    <w:p w14:paraId="4B9E120F" w14:textId="5782785B" w:rsidR="00640BE6" w:rsidRPr="000B66F8" w:rsidRDefault="00640BE6">
      <w:pPr>
        <w:pStyle w:val="FootnoteText"/>
        <w:rPr>
          <w:rFonts w:ascii="Avenir Book" w:hAnsi="Avenir Book"/>
          <w:sz w:val="16"/>
          <w:szCs w:val="16"/>
          <w:lang w:val="en-AU"/>
        </w:rPr>
      </w:pPr>
      <w:r w:rsidRPr="000B66F8">
        <w:rPr>
          <w:rStyle w:val="FootnoteReference"/>
          <w:rFonts w:ascii="Avenir Book" w:hAnsi="Avenir Book"/>
          <w:sz w:val="16"/>
          <w:szCs w:val="16"/>
        </w:rPr>
        <w:footnoteRef/>
      </w:r>
      <w:r w:rsidRPr="000B66F8">
        <w:rPr>
          <w:rFonts w:ascii="Avenir Book" w:hAnsi="Avenir Book"/>
          <w:sz w:val="16"/>
          <w:szCs w:val="16"/>
        </w:rPr>
        <w:t xml:space="preserve"> </w:t>
      </w:r>
      <w:r w:rsidRPr="000B66F8">
        <w:rPr>
          <w:rFonts w:ascii="Avenir Book" w:hAnsi="Avenir Book" w:cstheme="minorHAnsi"/>
          <w:sz w:val="16"/>
          <w:szCs w:val="16"/>
        </w:rPr>
        <w:t xml:space="preserve">Our Watch, “What drives violence against women?”. Available at: </w:t>
      </w:r>
      <w:hyperlink r:id="rId24" w:history="1">
        <w:r w:rsidRPr="000B66F8">
          <w:rPr>
            <w:rStyle w:val="Hyperlink"/>
            <w:rFonts w:ascii="Avenir Book" w:hAnsi="Avenir Book" w:cstheme="minorHAnsi"/>
            <w:sz w:val="16"/>
            <w:szCs w:val="16"/>
          </w:rPr>
          <w:t>https://www.ourwatch.org.au/Preventing-Violence/Women</w:t>
        </w:r>
      </w:hyperlink>
    </w:p>
  </w:footnote>
  <w:footnote w:id="45">
    <w:p w14:paraId="2DADEE8A" w14:textId="38744AAF" w:rsidR="00640BE6" w:rsidRPr="000B66F8" w:rsidRDefault="00640BE6">
      <w:pPr>
        <w:pStyle w:val="FootnoteText"/>
        <w:rPr>
          <w:rFonts w:ascii="Avenir Book" w:hAnsi="Avenir Book"/>
          <w:sz w:val="16"/>
          <w:szCs w:val="16"/>
          <w:lang w:val="en-AU"/>
        </w:rPr>
      </w:pPr>
      <w:r w:rsidRPr="000B66F8">
        <w:rPr>
          <w:rStyle w:val="FootnoteReference"/>
          <w:rFonts w:ascii="Avenir Book" w:hAnsi="Avenir Book"/>
          <w:sz w:val="16"/>
          <w:szCs w:val="16"/>
        </w:rPr>
        <w:footnoteRef/>
      </w:r>
      <w:r w:rsidRPr="000B66F8">
        <w:rPr>
          <w:rFonts w:ascii="Avenir Book" w:hAnsi="Avenir Book"/>
          <w:sz w:val="16"/>
          <w:szCs w:val="16"/>
        </w:rPr>
        <w:t xml:space="preserve"> </w:t>
      </w:r>
      <w:r w:rsidRPr="000B66F8">
        <w:rPr>
          <w:rFonts w:ascii="Avenir Book" w:hAnsi="Avenir Book"/>
          <w:sz w:val="16"/>
          <w:szCs w:val="16"/>
          <w:lang w:val="en-AU"/>
        </w:rPr>
        <w:t>Ibid</w:t>
      </w:r>
    </w:p>
  </w:footnote>
  <w:footnote w:id="46">
    <w:p w14:paraId="4382C8DA" w14:textId="77777777" w:rsidR="00640BE6" w:rsidRPr="000B66F8" w:rsidRDefault="00640BE6" w:rsidP="00DD030E">
      <w:pPr>
        <w:pStyle w:val="FootnoteText"/>
        <w:rPr>
          <w:rFonts w:ascii="Avenir Book" w:hAnsi="Avenir Book"/>
          <w:sz w:val="16"/>
          <w:szCs w:val="16"/>
          <w:lang w:val="en-AU"/>
        </w:rPr>
      </w:pPr>
      <w:r w:rsidRPr="000B66F8">
        <w:rPr>
          <w:rStyle w:val="FootnoteReference"/>
          <w:rFonts w:ascii="Avenir Book" w:hAnsi="Avenir Book"/>
          <w:sz w:val="16"/>
          <w:szCs w:val="16"/>
        </w:rPr>
        <w:footnoteRef/>
      </w:r>
      <w:r w:rsidRPr="000B66F8">
        <w:rPr>
          <w:rFonts w:ascii="Avenir Book" w:hAnsi="Avenir Book"/>
          <w:sz w:val="16"/>
          <w:szCs w:val="16"/>
        </w:rPr>
        <w:t xml:space="preserve"> </w:t>
      </w:r>
      <w:r w:rsidRPr="000B66F8">
        <w:rPr>
          <w:rFonts w:ascii="Avenir Book" w:hAnsi="Avenir Book"/>
          <w:sz w:val="16"/>
          <w:szCs w:val="16"/>
          <w:lang w:val="en-AU"/>
        </w:rPr>
        <w:t>Ibid</w:t>
      </w:r>
    </w:p>
  </w:footnote>
  <w:footnote w:id="47">
    <w:p w14:paraId="5911FA81" w14:textId="56AB88A8" w:rsidR="00640BE6" w:rsidRPr="000B66F8" w:rsidRDefault="00640BE6">
      <w:pPr>
        <w:pStyle w:val="FootnoteText"/>
        <w:rPr>
          <w:rFonts w:ascii="Avenir Book" w:hAnsi="Avenir Book"/>
          <w:sz w:val="16"/>
          <w:szCs w:val="16"/>
          <w:lang w:val="en-AU"/>
        </w:rPr>
      </w:pPr>
      <w:r w:rsidRPr="000B66F8">
        <w:rPr>
          <w:rStyle w:val="FootnoteReference"/>
          <w:rFonts w:ascii="Avenir Book" w:hAnsi="Avenir Book"/>
          <w:sz w:val="16"/>
          <w:szCs w:val="16"/>
        </w:rPr>
        <w:footnoteRef/>
      </w:r>
      <w:r w:rsidRPr="000B66F8">
        <w:rPr>
          <w:rFonts w:ascii="Avenir Book" w:hAnsi="Avenir Book"/>
          <w:sz w:val="16"/>
          <w:szCs w:val="16"/>
        </w:rPr>
        <w:t xml:space="preserve"> </w:t>
      </w:r>
      <w:r w:rsidRPr="000B66F8">
        <w:rPr>
          <w:rFonts w:ascii="Avenir Book" w:hAnsi="Avenir Book"/>
          <w:sz w:val="16"/>
          <w:szCs w:val="16"/>
          <w:lang w:val="en-AU"/>
        </w:rPr>
        <w:t xml:space="preserve">See e.g., </w:t>
      </w:r>
      <w:r w:rsidRPr="000B66F8">
        <w:rPr>
          <w:rFonts w:ascii="Avenir Book" w:hAnsi="Avenir Book" w:cs="Calibri"/>
          <w:color w:val="000000" w:themeColor="text1"/>
          <w:sz w:val="16"/>
          <w:szCs w:val="16"/>
        </w:rPr>
        <w:t xml:space="preserve">Council of Australian Governments (2011) </w:t>
      </w:r>
      <w:r w:rsidRPr="000B66F8">
        <w:rPr>
          <w:rFonts w:ascii="Avenir Book" w:hAnsi="Avenir Book" w:cs="Calibri"/>
          <w:i/>
          <w:color w:val="000000" w:themeColor="text1"/>
          <w:sz w:val="16"/>
          <w:szCs w:val="16"/>
        </w:rPr>
        <w:t xml:space="preserve">National Plan to Reduce Violence against Women and their Children 2010-2022, </w:t>
      </w:r>
      <w:r w:rsidRPr="000B66F8">
        <w:rPr>
          <w:rFonts w:ascii="Avenir Book" w:hAnsi="Avenir Book" w:cs="Calibri"/>
          <w:color w:val="000000" w:themeColor="text1"/>
          <w:sz w:val="16"/>
          <w:szCs w:val="16"/>
        </w:rPr>
        <w:t xml:space="preserve">Canberra. Available at: </w:t>
      </w:r>
      <w:hyperlink r:id="rId25" w:history="1">
        <w:r w:rsidRPr="000B66F8">
          <w:rPr>
            <w:rStyle w:val="Hyperlink"/>
            <w:rFonts w:ascii="Avenir Book" w:hAnsi="Avenir Book" w:cs="Calibri"/>
            <w:sz w:val="16"/>
            <w:szCs w:val="16"/>
          </w:rPr>
          <w:t>https://www.dss.gov.au/women/programs-services/reducing-violence/the-national-plan-to-reduce-violence-against-women-and-their-children-2010-2022</w:t>
        </w:r>
      </w:hyperlink>
      <w:r w:rsidRPr="000B66F8">
        <w:rPr>
          <w:rStyle w:val="Hyperlink"/>
          <w:rFonts w:ascii="Avenir Book" w:hAnsi="Avenir Book" w:cs="Calibri"/>
          <w:color w:val="000000" w:themeColor="text1"/>
          <w:sz w:val="16"/>
          <w:szCs w:val="16"/>
        </w:rPr>
        <w:t>;</w:t>
      </w:r>
      <w:r w:rsidRPr="000B66F8">
        <w:rPr>
          <w:rFonts w:ascii="Avenir Book" w:hAnsi="Avenir Book"/>
          <w:sz w:val="16"/>
          <w:szCs w:val="16"/>
          <w:lang w:val="en-AU"/>
        </w:rPr>
        <w:t xml:space="preserve"> Our Watch projects, “#</w:t>
      </w:r>
      <w:r w:rsidRPr="000B66F8">
        <w:rPr>
          <w:rFonts w:ascii="Avenir Book" w:hAnsi="Avenir Book"/>
          <w:sz w:val="16"/>
          <w:szCs w:val="16"/>
          <w:lang w:val="en-AU"/>
        </w:rPr>
        <w:t xml:space="preserve">BecauseWhy”, “Doing Nothing Causes Harm” and Awards, </w:t>
      </w:r>
      <w:hyperlink r:id="rId26" w:history="1">
        <w:r w:rsidRPr="000B66F8">
          <w:rPr>
            <w:rStyle w:val="Hyperlink"/>
            <w:rFonts w:ascii="Avenir Book" w:hAnsi="Avenir Book"/>
            <w:sz w:val="16"/>
            <w:szCs w:val="16"/>
            <w:lang w:val="en-AU"/>
          </w:rPr>
          <w:t>https://www.ourwatch.org.au/What-We-Do</w:t>
        </w:r>
      </w:hyperlink>
      <w:r w:rsidRPr="000B66F8">
        <w:rPr>
          <w:rFonts w:ascii="Avenir Book" w:hAnsi="Avenir Book"/>
          <w:sz w:val="16"/>
          <w:szCs w:val="16"/>
          <w:lang w:val="en-AU"/>
        </w:rPr>
        <w:t xml:space="preserve">; Australian Government campaign, ‘Stop it at the start’, </w:t>
      </w:r>
      <w:hyperlink r:id="rId27" w:history="1">
        <w:r w:rsidRPr="000B66F8">
          <w:rPr>
            <w:rStyle w:val="Hyperlink"/>
            <w:rFonts w:ascii="Avenir Book" w:hAnsi="Avenir Book"/>
            <w:sz w:val="16"/>
            <w:szCs w:val="16"/>
            <w:lang w:val="en-AU"/>
          </w:rPr>
          <w:t>https://www.respect.gov.au</w:t>
        </w:r>
      </w:hyperlink>
      <w:r w:rsidRPr="000B66F8">
        <w:rPr>
          <w:rFonts w:ascii="Avenir Book" w:hAnsi="Avenir Book"/>
          <w:sz w:val="16"/>
          <w:szCs w:val="16"/>
          <w:lang w:val="en-AU"/>
        </w:rPr>
        <w:t xml:space="preserve">; Respectful Relationships program, Victorian Government, Department of Education and Training, </w:t>
      </w:r>
      <w:hyperlink r:id="rId28" w:history="1">
        <w:r w:rsidRPr="000B66F8">
          <w:rPr>
            <w:rStyle w:val="Hyperlink"/>
            <w:rFonts w:ascii="Avenir Book" w:hAnsi="Avenir Book"/>
            <w:sz w:val="16"/>
            <w:szCs w:val="16"/>
            <w:lang w:val="en-AU"/>
          </w:rPr>
          <w:t>https://www.education.vic.gov.au/about/programs/Pages/respectfulrelationships.aspx</w:t>
        </w:r>
      </w:hyperlink>
      <w:r w:rsidRPr="000B66F8">
        <w:rPr>
          <w:rFonts w:ascii="Avenir Book" w:hAnsi="Avenir Book"/>
          <w:sz w:val="16"/>
          <w:szCs w:val="16"/>
          <w:lang w:val="en-AU"/>
        </w:rPr>
        <w:t xml:space="preserve"> </w:t>
      </w:r>
    </w:p>
  </w:footnote>
  <w:footnote w:id="48">
    <w:p w14:paraId="4DD0B0BE" w14:textId="471A1697" w:rsidR="00640BE6" w:rsidRPr="000B66F8" w:rsidRDefault="00640BE6">
      <w:pPr>
        <w:pStyle w:val="FootnoteText"/>
        <w:rPr>
          <w:rFonts w:ascii="Avenir Book" w:hAnsi="Avenir Book"/>
          <w:sz w:val="16"/>
          <w:szCs w:val="16"/>
          <w:lang w:val="en-AU"/>
        </w:rPr>
      </w:pPr>
      <w:r w:rsidRPr="000B66F8">
        <w:rPr>
          <w:rStyle w:val="FootnoteReference"/>
          <w:rFonts w:ascii="Avenir Book" w:hAnsi="Avenir Book"/>
          <w:sz w:val="16"/>
          <w:szCs w:val="16"/>
        </w:rPr>
        <w:footnoteRef/>
      </w:r>
      <w:r w:rsidRPr="000B66F8">
        <w:rPr>
          <w:rFonts w:ascii="Avenir Book" w:hAnsi="Avenir Book"/>
          <w:sz w:val="16"/>
          <w:szCs w:val="16"/>
        </w:rPr>
        <w:t xml:space="preserve"> Community Affairs References Committee, op. cit., para 8.41, page 226</w:t>
      </w:r>
    </w:p>
  </w:footnote>
  <w:footnote w:id="49">
    <w:p w14:paraId="3D5A59EF" w14:textId="5DED1CFF" w:rsidR="00640BE6" w:rsidRPr="000B66F8" w:rsidRDefault="00640BE6">
      <w:pPr>
        <w:pStyle w:val="FootnoteText"/>
        <w:rPr>
          <w:rFonts w:ascii="Avenir Book" w:hAnsi="Avenir Book"/>
          <w:sz w:val="16"/>
          <w:szCs w:val="16"/>
          <w:lang w:val="en-AU"/>
        </w:rPr>
      </w:pPr>
      <w:r w:rsidRPr="000B66F8">
        <w:rPr>
          <w:rStyle w:val="FootnoteReference"/>
          <w:rFonts w:ascii="Avenir Book" w:hAnsi="Avenir Book"/>
          <w:sz w:val="16"/>
          <w:szCs w:val="16"/>
        </w:rPr>
        <w:footnoteRef/>
      </w:r>
      <w:r w:rsidRPr="000B66F8">
        <w:rPr>
          <w:rFonts w:ascii="Avenir Book" w:hAnsi="Avenir Book"/>
          <w:sz w:val="16"/>
          <w:szCs w:val="16"/>
        </w:rPr>
        <w:t xml:space="preserve"> </w:t>
      </w:r>
      <w:r w:rsidRPr="000B66F8">
        <w:rPr>
          <w:rFonts w:ascii="Avenir Book" w:hAnsi="Avenir Book" w:cs="Calibri"/>
          <w:color w:val="000000" w:themeColor="text1"/>
          <w:sz w:val="16"/>
          <w:szCs w:val="16"/>
          <w:lang w:val="en-AU"/>
        </w:rPr>
        <w:t xml:space="preserve">Women with Disabilities Australia, </w:t>
      </w:r>
      <w:r w:rsidRPr="000B66F8">
        <w:rPr>
          <w:rFonts w:ascii="Avenir Book" w:hAnsi="Avenir Book" w:cs="Calibri"/>
          <w:i/>
          <w:color w:val="000000" w:themeColor="text1"/>
          <w:sz w:val="16"/>
          <w:szCs w:val="16"/>
          <w:lang w:val="en-AU"/>
        </w:rPr>
        <w:t>Stop the Violence Project, Background Paper</w:t>
      </w:r>
      <w:r w:rsidRPr="000B66F8">
        <w:rPr>
          <w:rFonts w:ascii="Avenir Book" w:hAnsi="Avenir Book"/>
          <w:sz w:val="16"/>
          <w:szCs w:val="16"/>
          <w:lang w:val="en-AU"/>
        </w:rPr>
        <w:t>, op. cit., page 18</w:t>
      </w:r>
    </w:p>
  </w:footnote>
  <w:footnote w:id="50">
    <w:p w14:paraId="1F789DD2" w14:textId="0A4415C8"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 xml:space="preserve">Theresia </w:t>
      </w:r>
      <w:r w:rsidRPr="00ED7072">
        <w:rPr>
          <w:rFonts w:ascii="Avenir Book" w:hAnsi="Avenir Book"/>
          <w:sz w:val="16"/>
          <w:szCs w:val="16"/>
          <w:lang w:val="en-AU"/>
        </w:rPr>
        <w:t>Degener, op. cit., page 3 of 24</w:t>
      </w:r>
    </w:p>
  </w:footnote>
  <w:footnote w:id="51">
    <w:p w14:paraId="40688C83" w14:textId="03171618"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Ibid</w:t>
      </w:r>
    </w:p>
  </w:footnote>
  <w:footnote w:id="52">
    <w:p w14:paraId="73B2C0EB" w14:textId="088831FC"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Ibid, page 8 of 24</w:t>
      </w:r>
    </w:p>
  </w:footnote>
  <w:footnote w:id="53">
    <w:p w14:paraId="48DA7D46" w14:textId="10EE614F"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Ibid</w:t>
      </w:r>
    </w:p>
  </w:footnote>
  <w:footnote w:id="54">
    <w:p w14:paraId="03E9AF2E" w14:textId="7FDF9287" w:rsidR="00640BE6" w:rsidRPr="00ED7072" w:rsidRDefault="00640BE6" w:rsidP="00216C4A">
      <w:pPr>
        <w:pStyle w:val="NormalWeb"/>
        <w:spacing w:before="0" w:beforeAutospacing="0" w:after="0" w:afterAutospacing="0"/>
        <w:rPr>
          <w:rFonts w:ascii="Avenir Book" w:hAnsi="Avenir Book" w:cstheme="minorHAnsi"/>
          <w:sz w:val="16"/>
          <w:szCs w:val="16"/>
          <w:lang w:eastAsia="en-US"/>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See also, </w:t>
      </w:r>
      <w:r w:rsidRPr="00ED7072">
        <w:rPr>
          <w:rFonts w:ascii="Avenir Book" w:hAnsi="Avenir Book" w:cs="Calibri"/>
          <w:color w:val="000000" w:themeColor="text1"/>
          <w:sz w:val="16"/>
          <w:szCs w:val="16"/>
        </w:rPr>
        <w:t xml:space="preserve">Frohmader, C. and Sands, T., op. </w:t>
      </w:r>
      <w:r w:rsidRPr="00ED7072">
        <w:rPr>
          <w:rFonts w:ascii="Avenir Book" w:hAnsi="Avenir Book" w:cs="Calibri"/>
          <w:color w:val="000000" w:themeColor="text1"/>
          <w:sz w:val="16"/>
          <w:szCs w:val="16"/>
        </w:rPr>
        <w:t xml:space="preserve">cit, p.20; </w:t>
      </w:r>
      <w:r w:rsidRPr="00ED7072">
        <w:rPr>
          <w:rFonts w:ascii="Avenir Book" w:hAnsi="Avenir Book" w:cstheme="minorHAnsi"/>
          <w:sz w:val="16"/>
          <w:szCs w:val="16"/>
        </w:rPr>
        <w:t>Frohmader, C.; Dowse, L.; Didi, A., op.cit, p. 14; Robinson, S.,</w:t>
      </w:r>
      <w:r w:rsidRPr="00ED7072">
        <w:rPr>
          <w:rFonts w:ascii="Avenir Book" w:hAnsi="Avenir Book" w:cstheme="minorHAnsi"/>
          <w:color w:val="000000" w:themeColor="text1"/>
          <w:sz w:val="16"/>
          <w:szCs w:val="16"/>
        </w:rPr>
        <w:t xml:space="preserve"> </w:t>
      </w:r>
      <w:r w:rsidRPr="00ED7072">
        <w:rPr>
          <w:rFonts w:ascii="Avenir Book" w:hAnsi="Avenir Book" w:cstheme="minorHAnsi"/>
          <w:i/>
          <w:color w:val="000000" w:themeColor="text1"/>
          <w:sz w:val="16"/>
          <w:szCs w:val="16"/>
        </w:rPr>
        <w:t>Enabling and Protecting: Proactive approaches to addressing the abuse and neglect of children and young people with disability.</w:t>
      </w:r>
      <w:r w:rsidRPr="00ED7072">
        <w:rPr>
          <w:rFonts w:ascii="Avenir Book" w:hAnsi="Avenir Book" w:cstheme="minorHAnsi"/>
          <w:color w:val="000000" w:themeColor="text1"/>
          <w:sz w:val="16"/>
          <w:szCs w:val="16"/>
        </w:rPr>
        <w:t xml:space="preserve"> Issues Paper, Children with Disability Australia, 2012 page 5. Available at: </w:t>
      </w:r>
      <w:hyperlink r:id="rId29" w:history="1">
        <w:r w:rsidRPr="00ED7072">
          <w:rPr>
            <w:rStyle w:val="Hyperlink"/>
            <w:rFonts w:ascii="Avenir Book" w:hAnsi="Avenir Book" w:cstheme="minorHAnsi"/>
            <w:sz w:val="16"/>
            <w:szCs w:val="16"/>
          </w:rPr>
          <w:t>https://www.cyda.org.au/enabling-and-protecting</w:t>
        </w:r>
      </w:hyperlink>
      <w:r w:rsidRPr="00ED7072">
        <w:rPr>
          <w:rFonts w:ascii="Avenir Book" w:hAnsi="Avenir Book" w:cstheme="minorHAnsi"/>
          <w:color w:val="000000" w:themeColor="text1"/>
          <w:sz w:val="16"/>
          <w:szCs w:val="16"/>
        </w:rPr>
        <w:t xml:space="preserve">; </w:t>
      </w:r>
      <w:r w:rsidRPr="00ED7072">
        <w:rPr>
          <w:rFonts w:ascii="Avenir Book" w:hAnsi="Avenir Book" w:cstheme="minorHAnsi"/>
          <w:sz w:val="16"/>
          <w:szCs w:val="16"/>
          <w:lang w:eastAsia="en-US"/>
        </w:rPr>
        <w:t xml:space="preserve">Llewellyn, G, Wayland, S, Hindmarsh, G (2016) </w:t>
      </w:r>
      <w:r w:rsidRPr="00ED7072">
        <w:rPr>
          <w:rFonts w:ascii="Avenir Book" w:hAnsi="Avenir Book" w:cstheme="minorHAnsi"/>
          <w:i/>
          <w:sz w:val="16"/>
          <w:szCs w:val="16"/>
          <w:lang w:eastAsia="en-US"/>
        </w:rPr>
        <w:t>Disability and child sexual abuse in institutional contexts</w:t>
      </w:r>
      <w:r w:rsidRPr="00ED7072">
        <w:rPr>
          <w:rFonts w:ascii="Avenir Book" w:hAnsi="Avenir Book" w:cstheme="minorHAnsi"/>
          <w:sz w:val="16"/>
          <w:szCs w:val="16"/>
          <w:lang w:eastAsia="en-US"/>
        </w:rPr>
        <w:t xml:space="preserve">, Royal Commission into Institutional Responses to Child Sexual Abuse, Sydney, page 31. Available at: </w:t>
      </w:r>
      <w:hyperlink r:id="rId30" w:history="1">
        <w:r w:rsidRPr="00ED7072">
          <w:rPr>
            <w:rStyle w:val="Hyperlink"/>
            <w:rFonts w:ascii="Avenir Book" w:hAnsi="Avenir Book" w:cstheme="minorHAnsi"/>
            <w:sz w:val="16"/>
            <w:szCs w:val="16"/>
            <w:lang w:eastAsia="en-US"/>
          </w:rPr>
          <w:t>https://www.researchgate.net/publication/309728772_Disability_and_child_sexual_abuse_in_institutional_contexts_Royal_Commission_into_Institutional_Responses_to_Child_Sexual_Abuse</w:t>
        </w:r>
      </w:hyperlink>
    </w:p>
  </w:footnote>
  <w:footnote w:id="55">
    <w:p w14:paraId="4CDA7E93" w14:textId="526A5FA0" w:rsidR="00640BE6" w:rsidRPr="00ED7072" w:rsidRDefault="00640BE6" w:rsidP="000D5372">
      <w:pPr>
        <w:pStyle w:val="FootnoteText"/>
        <w:rPr>
          <w:rFonts w:ascii="Avenir Book" w:hAnsi="Avenir Book" w:cstheme="minorHAnsi"/>
          <w:sz w:val="16"/>
          <w:szCs w:val="16"/>
          <w:lang w:val="en-AU"/>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w:t>
      </w:r>
      <w:r w:rsidRPr="00ED7072">
        <w:rPr>
          <w:rFonts w:ascii="Avenir Book" w:hAnsi="Avenir Book" w:cstheme="minorHAnsi"/>
          <w:color w:val="000000" w:themeColor="text1"/>
          <w:sz w:val="16"/>
          <w:szCs w:val="16"/>
        </w:rPr>
        <w:t>Frohmader, C. and Sands, T., op. cit., page 19</w:t>
      </w:r>
    </w:p>
  </w:footnote>
  <w:footnote w:id="56">
    <w:p w14:paraId="356C9DBD" w14:textId="4E3A09EF" w:rsidR="00640BE6" w:rsidRPr="00ED7072" w:rsidRDefault="00640BE6">
      <w:pPr>
        <w:pStyle w:val="FootnoteText"/>
        <w:rPr>
          <w:rFonts w:ascii="Avenir Book" w:hAnsi="Avenir Book" w:cstheme="minorHAnsi"/>
          <w:i/>
          <w:sz w:val="16"/>
          <w:szCs w:val="16"/>
          <w:lang w:val="en-AU"/>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w:t>
      </w:r>
      <w:r w:rsidRPr="00ED7072">
        <w:rPr>
          <w:rFonts w:ascii="Avenir Book" w:hAnsi="Avenir Book" w:cstheme="minorHAnsi"/>
          <w:sz w:val="16"/>
          <w:szCs w:val="16"/>
          <w:lang w:val="en-AU"/>
        </w:rPr>
        <w:t xml:space="preserve">Manfred Nowak, </w:t>
      </w:r>
      <w:r w:rsidRPr="00ED7072">
        <w:rPr>
          <w:rFonts w:ascii="Avenir Book" w:hAnsi="Avenir Book" w:cstheme="minorHAnsi"/>
          <w:i/>
          <w:sz w:val="16"/>
          <w:szCs w:val="16"/>
          <w:lang w:val="en-AU"/>
        </w:rPr>
        <w:t xml:space="preserve">Interim Report of the Special Rapporteur on Torture and Other Cruel, Inhuman or Degrading Treatment or Punishment, </w:t>
      </w:r>
      <w:r w:rsidRPr="00ED7072">
        <w:rPr>
          <w:rFonts w:ascii="Avenir Book" w:hAnsi="Avenir Book" w:cstheme="minorHAnsi"/>
          <w:sz w:val="16"/>
          <w:szCs w:val="16"/>
          <w:lang w:val="en-AU"/>
        </w:rPr>
        <w:t>63</w:t>
      </w:r>
      <w:r w:rsidRPr="00ED7072">
        <w:rPr>
          <w:rFonts w:ascii="Avenir Book" w:hAnsi="Avenir Book" w:cstheme="minorHAnsi"/>
          <w:sz w:val="16"/>
          <w:szCs w:val="16"/>
          <w:vertAlign w:val="superscript"/>
          <w:lang w:val="en-AU"/>
        </w:rPr>
        <w:t>rd</w:t>
      </w:r>
      <w:r w:rsidRPr="00ED7072">
        <w:rPr>
          <w:rFonts w:ascii="Avenir Book" w:hAnsi="Avenir Book" w:cstheme="minorHAnsi"/>
          <w:sz w:val="16"/>
          <w:szCs w:val="16"/>
          <w:lang w:val="en-AU"/>
        </w:rPr>
        <w:t xml:space="preserve"> </w:t>
      </w:r>
      <w:r w:rsidRPr="00ED7072">
        <w:rPr>
          <w:rFonts w:ascii="Avenir Book" w:hAnsi="Avenir Book" w:cstheme="minorHAnsi"/>
          <w:sz w:val="16"/>
          <w:szCs w:val="16"/>
          <w:lang w:val="en-AU"/>
        </w:rPr>
        <w:t>sess, UN Doc A/63/175 (28 July 2008) para 58.</w:t>
      </w:r>
      <w:r w:rsidRPr="00ED7072">
        <w:rPr>
          <w:rFonts w:ascii="Avenir Book" w:hAnsi="Avenir Book" w:cstheme="minorHAnsi"/>
          <w:i/>
          <w:sz w:val="16"/>
          <w:szCs w:val="16"/>
          <w:lang w:val="en-AU"/>
        </w:rPr>
        <w:t xml:space="preserve"> </w:t>
      </w:r>
    </w:p>
  </w:footnote>
  <w:footnote w:id="57">
    <w:p w14:paraId="727A27FC" w14:textId="14675568"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cstheme="minorHAnsi"/>
          <w:sz w:val="16"/>
          <w:szCs w:val="16"/>
          <w:lang w:val="en-AU"/>
        </w:rPr>
        <w:t xml:space="preserve">The Australian OPCAT Network, </w:t>
      </w:r>
      <w:r w:rsidRPr="00ED7072">
        <w:rPr>
          <w:rFonts w:ascii="Avenir Book" w:hAnsi="Avenir Book" w:cstheme="minorHAnsi"/>
          <w:i/>
          <w:sz w:val="16"/>
          <w:szCs w:val="16"/>
          <w:lang w:val="en-AU"/>
        </w:rPr>
        <w:t>The implementation of OPCAT in Australia</w:t>
      </w:r>
      <w:r w:rsidRPr="00ED7072">
        <w:rPr>
          <w:rFonts w:ascii="Avenir Book" w:hAnsi="Avenir Book" w:cstheme="minorHAnsi"/>
          <w:sz w:val="16"/>
          <w:szCs w:val="16"/>
          <w:lang w:val="en-AU"/>
        </w:rPr>
        <w:t xml:space="preserve">, Submission to the Subcommittee on Prevention of Torture and other Cruel, Inhuman or Degrading Treatment or Punishment (SPT) and the United Nations Working Group on Arbitrary Detention (WGAD), January 2020, page 88-89. Available at: </w:t>
      </w:r>
      <w:hyperlink r:id="rId31" w:history="1">
        <w:r w:rsidRPr="00ED7072">
          <w:rPr>
            <w:rStyle w:val="Hyperlink"/>
            <w:rFonts w:ascii="Avenir Book" w:hAnsi="Avenir Book" w:cstheme="minorHAnsi"/>
            <w:sz w:val="16"/>
            <w:szCs w:val="16"/>
            <w:lang w:val="en-AU"/>
          </w:rPr>
          <w:t>https://reliefweb.int/report/australia/implementation-opcat-australia</w:t>
        </w:r>
      </w:hyperlink>
      <w:r w:rsidRPr="00ED7072">
        <w:rPr>
          <w:rFonts w:ascii="Avenir Book" w:hAnsi="Avenir Book" w:cstheme="minorHAnsi"/>
          <w:sz w:val="16"/>
          <w:szCs w:val="16"/>
          <w:lang w:val="en-AU"/>
        </w:rPr>
        <w:t xml:space="preserve">  </w:t>
      </w:r>
    </w:p>
  </w:footnote>
  <w:footnote w:id="58">
    <w:p w14:paraId="6508BA04" w14:textId="7883A19E" w:rsidR="00640BE6" w:rsidRPr="00ED7072" w:rsidRDefault="00640BE6" w:rsidP="006A224F">
      <w:pPr>
        <w:pStyle w:val="FootnoteText"/>
        <w:rPr>
          <w:rFonts w:ascii="Avenir Book" w:hAnsi="Avenir Book" w:cstheme="minorHAnsi"/>
          <w:sz w:val="16"/>
          <w:szCs w:val="16"/>
          <w:lang w:val="en-AU"/>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Frohmader, C. and Sands, T., op. cit.,</w:t>
      </w:r>
      <w:r w:rsidRPr="00ED7072">
        <w:rPr>
          <w:rFonts w:ascii="Avenir Book" w:hAnsi="Avenir Book" w:cstheme="minorHAnsi"/>
          <w:sz w:val="16"/>
          <w:szCs w:val="16"/>
          <w:lang w:val="en-AU"/>
        </w:rPr>
        <w:t xml:space="preserve"> para 149, page 45</w:t>
      </w:r>
    </w:p>
  </w:footnote>
  <w:footnote w:id="59">
    <w:p w14:paraId="23E08357" w14:textId="46C75C8E" w:rsidR="00640BE6" w:rsidRPr="00ED7072" w:rsidRDefault="00640BE6" w:rsidP="003B34E4">
      <w:pPr>
        <w:pStyle w:val="EndnoteText"/>
        <w:rPr>
          <w:rFonts w:ascii="Avenir Book" w:hAnsi="Avenir Book" w:cs="Arial"/>
          <w:color w:val="000000" w:themeColor="text1"/>
          <w:sz w:val="16"/>
          <w:szCs w:val="16"/>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cs="Arial"/>
          <w:color w:val="000000" w:themeColor="text1"/>
          <w:sz w:val="16"/>
          <w:szCs w:val="16"/>
        </w:rPr>
        <w:t xml:space="preserve">See for </w:t>
      </w:r>
      <w:r w:rsidRPr="00ED7072">
        <w:rPr>
          <w:rFonts w:ascii="Avenir Book" w:hAnsi="Avenir Book" w:cs="Arial"/>
          <w:color w:val="000000" w:themeColor="text1"/>
          <w:sz w:val="16"/>
          <w:szCs w:val="16"/>
        </w:rPr>
        <w:t xml:space="preserve">eg: Children and Young People with Disability Australia (CYDA) (August 2016) </w:t>
      </w:r>
      <w:hyperlink r:id="rId32" w:history="1">
        <w:r w:rsidRPr="00ED7072">
          <w:rPr>
            <w:rStyle w:val="Hyperlink"/>
            <w:rFonts w:ascii="Avenir Book" w:hAnsi="Avenir Book" w:cs="Arial"/>
            <w:color w:val="1F3864" w:themeColor="accent1" w:themeShade="80"/>
            <w:sz w:val="16"/>
            <w:szCs w:val="16"/>
          </w:rPr>
          <w:t>Bullying and abuse of school students with disability at alarming levels; Media Release 9 August 2016</w:t>
        </w:r>
      </w:hyperlink>
      <w:r w:rsidRPr="00ED7072">
        <w:rPr>
          <w:rFonts w:ascii="Avenir Book" w:hAnsi="Avenir Book" w:cs="Arial"/>
          <w:color w:val="000000" w:themeColor="text1"/>
          <w:sz w:val="16"/>
          <w:szCs w:val="16"/>
        </w:rPr>
        <w:t xml:space="preserve">.  See: Australian Broadcasting Corporation (ABC) (16 August 2016) </w:t>
      </w:r>
      <w:hyperlink r:id="rId33" w:history="1">
        <w:r w:rsidRPr="00ED7072">
          <w:rPr>
            <w:rStyle w:val="Hyperlink"/>
            <w:rFonts w:ascii="Avenir Book" w:hAnsi="Avenir Book" w:cs="Arial"/>
            <w:sz w:val="16"/>
            <w:szCs w:val="16"/>
          </w:rPr>
          <w:t>School investigated after claims boy with autism locked in 'cage'</w:t>
        </w:r>
      </w:hyperlink>
      <w:r w:rsidRPr="00ED7072">
        <w:rPr>
          <w:rFonts w:ascii="Avenir Book" w:hAnsi="Avenir Book" w:cs="Arial"/>
          <w:color w:val="000000" w:themeColor="text1"/>
          <w:sz w:val="16"/>
          <w:szCs w:val="16"/>
        </w:rPr>
        <w:t xml:space="preserve">. Australian Broadcasting Corporation (ABC) (31 August 2016) </w:t>
      </w:r>
      <w:hyperlink r:id="rId34" w:history="1">
        <w:r w:rsidRPr="00ED7072">
          <w:rPr>
            <w:rStyle w:val="Hyperlink"/>
            <w:rFonts w:ascii="Avenir Book" w:hAnsi="Avenir Book" w:cs="Arial"/>
            <w:sz w:val="16"/>
            <w:szCs w:val="16"/>
          </w:rPr>
          <w:t>School accused of leaving teen with autism outside on beanbag for whole term</w:t>
        </w:r>
      </w:hyperlink>
      <w:r w:rsidRPr="00ED7072">
        <w:rPr>
          <w:rFonts w:ascii="Avenir Book" w:hAnsi="Avenir Book" w:cs="Arial"/>
          <w:color w:val="000000" w:themeColor="text1"/>
          <w:sz w:val="16"/>
          <w:szCs w:val="16"/>
        </w:rPr>
        <w:t xml:space="preserve">. The Canberra Times (11 August 2016) </w:t>
      </w:r>
      <w:hyperlink r:id="rId35" w:history="1">
        <w:r w:rsidRPr="00ED7072">
          <w:rPr>
            <w:rStyle w:val="Hyperlink"/>
            <w:rFonts w:ascii="Avenir Book" w:hAnsi="Avenir Book" w:cs="Arial"/>
            <w:sz w:val="16"/>
            <w:szCs w:val="16"/>
          </w:rPr>
          <w:t>Autism cage details emerge as United Nations investigates abuse of children</w:t>
        </w:r>
      </w:hyperlink>
      <w:r w:rsidRPr="00ED7072">
        <w:rPr>
          <w:rFonts w:ascii="Avenir Book" w:hAnsi="Avenir Book" w:cs="Arial"/>
          <w:color w:val="000000" w:themeColor="text1"/>
          <w:sz w:val="16"/>
          <w:szCs w:val="16"/>
        </w:rPr>
        <w:t xml:space="preserve">. See also: Senate Community Affairs References Committee (November 2015) </w:t>
      </w:r>
      <w:hyperlink r:id="rId36" w:history="1">
        <w:r w:rsidRPr="00ED7072">
          <w:rPr>
            <w:rStyle w:val="Hyperlink"/>
            <w:rFonts w:ascii="Avenir Book" w:hAnsi="Avenir Book" w:cs="Arial"/>
            <w:sz w:val="16"/>
            <w:szCs w:val="16"/>
          </w:rPr>
          <w:t>Final Report: ‘Violence, abuse and neglect against people with disability in institutional and residential settings</w:t>
        </w:r>
      </w:hyperlink>
      <w:r w:rsidRPr="00ED7072">
        <w:rPr>
          <w:rFonts w:ascii="Avenir Book" w:hAnsi="Avenir Book" w:cs="Arial"/>
          <w:color w:val="000000" w:themeColor="text1"/>
          <w:sz w:val="16"/>
          <w:szCs w:val="16"/>
        </w:rPr>
        <w:t xml:space="preserve">. See also: Senate Education and Employment References Committee (2016) </w:t>
      </w:r>
      <w:hyperlink r:id="rId37" w:history="1">
        <w:r w:rsidRPr="00ED7072">
          <w:rPr>
            <w:rStyle w:val="Hyperlink"/>
            <w:rFonts w:ascii="Avenir Book" w:hAnsi="Avenir Book" w:cs="Arial"/>
            <w:sz w:val="16"/>
            <w:szCs w:val="16"/>
          </w:rPr>
          <w:t>Final Report: Access to real learning: the impact of policy, funding and culture on students with disability</w:t>
        </w:r>
      </w:hyperlink>
    </w:p>
  </w:footnote>
  <w:footnote w:id="60">
    <w:p w14:paraId="69784A08" w14:textId="77777777" w:rsidR="00640BE6" w:rsidRPr="00ED7072" w:rsidRDefault="00640BE6" w:rsidP="002D33B4">
      <w:pPr>
        <w:pStyle w:val="FootnoteText"/>
        <w:rPr>
          <w:rFonts w:ascii="Avenir Book" w:hAnsi="Avenir Book" w:cstheme="minorHAnsi"/>
          <w:sz w:val="16"/>
          <w:szCs w:val="16"/>
          <w:lang w:val="en-AU"/>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w:t>
      </w:r>
      <w:r w:rsidRPr="00ED7072">
        <w:rPr>
          <w:rFonts w:ascii="Avenir Book" w:hAnsi="Avenir Book" w:cstheme="minorHAnsi"/>
          <w:sz w:val="16"/>
          <w:szCs w:val="16"/>
          <w:lang w:val="en-AU"/>
        </w:rPr>
        <w:t xml:space="preserve">French, P., </w:t>
      </w:r>
      <w:r w:rsidRPr="00ED7072">
        <w:rPr>
          <w:rFonts w:ascii="Avenir Book" w:hAnsi="Avenir Book" w:cstheme="minorHAnsi"/>
          <w:sz w:val="16"/>
          <w:szCs w:val="16"/>
          <w:lang w:val="en-AU"/>
        </w:rPr>
        <w:t xml:space="preserve">Dardel, J., Price-Kelly, S., </w:t>
      </w:r>
      <w:r w:rsidRPr="00ED7072">
        <w:rPr>
          <w:rFonts w:ascii="Avenir Book" w:hAnsi="Avenir Book" w:cstheme="minorHAnsi"/>
          <w:i/>
          <w:sz w:val="16"/>
          <w:szCs w:val="16"/>
          <w:lang w:val="en-AU"/>
        </w:rPr>
        <w:t xml:space="preserve">Rights Denied: Towards a National Policy Agenda About Abuse, Neglect &amp; Exploitation of Persons with Cognitive Impairment, </w:t>
      </w:r>
      <w:r w:rsidRPr="00ED7072">
        <w:rPr>
          <w:rFonts w:ascii="Avenir Book" w:hAnsi="Avenir Book" w:cstheme="minorHAnsi"/>
          <w:sz w:val="16"/>
          <w:szCs w:val="16"/>
          <w:lang w:val="en-AU"/>
        </w:rPr>
        <w:t>2010, People with Disability Australia, Sydney.</w:t>
      </w:r>
    </w:p>
  </w:footnote>
  <w:footnote w:id="61">
    <w:p w14:paraId="46BD07C5" w14:textId="0394F071" w:rsidR="00640BE6" w:rsidRPr="00ED7072" w:rsidRDefault="00640BE6" w:rsidP="002D33B4">
      <w:pPr>
        <w:pStyle w:val="FootnoteText"/>
        <w:rPr>
          <w:rFonts w:ascii="Avenir Book" w:hAnsi="Avenir Book" w:cstheme="minorHAnsi"/>
          <w:sz w:val="16"/>
          <w:szCs w:val="16"/>
          <w:lang w:val="en-AU"/>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w:t>
      </w:r>
      <w:r w:rsidRPr="00ED7072">
        <w:rPr>
          <w:rFonts w:ascii="Avenir Book" w:hAnsi="Avenir Book" w:cstheme="minorHAnsi"/>
          <w:sz w:val="16"/>
          <w:szCs w:val="16"/>
          <w:lang w:val="en-AU"/>
        </w:rPr>
        <w:t xml:space="preserve">The Australian OPCAT Network, op. cit., page 79. </w:t>
      </w:r>
    </w:p>
  </w:footnote>
  <w:footnote w:id="62">
    <w:p w14:paraId="15D49FE5" w14:textId="77777777" w:rsidR="00640BE6" w:rsidRPr="00ED7072" w:rsidRDefault="00640BE6" w:rsidP="006C18B0">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 xml:space="preserve">Committee on the Rights of Persons with Disabilities, </w:t>
      </w:r>
      <w:r w:rsidRPr="00ED7072">
        <w:rPr>
          <w:rFonts w:ascii="Avenir Book" w:hAnsi="Avenir Book"/>
          <w:i/>
          <w:sz w:val="16"/>
          <w:szCs w:val="16"/>
          <w:lang w:val="en-AU"/>
        </w:rPr>
        <w:t xml:space="preserve">General comment No. 4 (2016) </w:t>
      </w:r>
      <w:r w:rsidRPr="00ED7072">
        <w:rPr>
          <w:rFonts w:ascii="Avenir Book" w:hAnsi="Avenir Book"/>
          <w:sz w:val="16"/>
          <w:szCs w:val="16"/>
          <w:lang w:val="en-AU"/>
        </w:rPr>
        <w:t>op. cit., para 51.</w:t>
      </w:r>
    </w:p>
  </w:footnote>
  <w:footnote w:id="63">
    <w:p w14:paraId="5E731F18" w14:textId="4D04EC12"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Frohmader, C.; Dowse, L.; Didi, A., op. cit., page 16.</w:t>
      </w:r>
    </w:p>
  </w:footnote>
  <w:footnote w:id="64">
    <w:p w14:paraId="13035DA3" w14:textId="0D97A07C"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cstheme="minorHAnsi"/>
          <w:sz w:val="16"/>
          <w:szCs w:val="16"/>
        </w:rPr>
        <w:t xml:space="preserve">The violations were provided to the UN Special Rapporteur on the Rights of Persons with Disabilities, and relayed in a letter to the Australian Government by the Mandates of the Working Group on Arbitrary Detention; the Special Rapporteur on the rights of persons with disabilities; the Special Rapporteur on the sale of children, child prostitution and child pornography; the Special Rapporteur on torture and other cruel, inhuman or degrading treatment or punishment; and the Special Rapporteur on the right to education, 22 March 2017. Available at: </w:t>
      </w:r>
      <w:hyperlink r:id="rId38" w:history="1">
        <w:r w:rsidRPr="00ED7072">
          <w:rPr>
            <w:rStyle w:val="Hyperlink"/>
            <w:rFonts w:ascii="Avenir Book" w:hAnsi="Avenir Book" w:cstheme="minorHAnsi"/>
            <w:sz w:val="16"/>
            <w:szCs w:val="16"/>
          </w:rPr>
          <w:t>https://spcommreports.ohchr.org/TMResultsBase/DownLoadPublicCommunicationFile?gId=23020</w:t>
        </w:r>
      </w:hyperlink>
      <w:r w:rsidRPr="00ED7072">
        <w:rPr>
          <w:rFonts w:ascii="Avenir Book" w:hAnsi="Avenir Book" w:cstheme="minorHAnsi"/>
          <w:sz w:val="16"/>
          <w:szCs w:val="16"/>
        </w:rPr>
        <w:t xml:space="preserve">  </w:t>
      </w:r>
    </w:p>
  </w:footnote>
  <w:footnote w:id="65">
    <w:p w14:paraId="180446B9" w14:textId="5F2D04CE" w:rsidR="00640BE6" w:rsidRPr="00ED7072" w:rsidRDefault="00640BE6">
      <w:pPr>
        <w:pStyle w:val="FootnoteText"/>
        <w:rPr>
          <w:rFonts w:ascii="Avenir Book" w:hAnsi="Avenir Book"/>
          <w:sz w:val="16"/>
          <w:szCs w:val="16"/>
          <w:lang w:val="en-AU"/>
        </w:rPr>
      </w:pPr>
      <w:r w:rsidRPr="00ED7072">
        <w:rPr>
          <w:rStyle w:val="FootnoteReference"/>
          <w:rFonts w:ascii="Avenir Book" w:hAnsi="Avenir Book"/>
          <w:sz w:val="16"/>
          <w:szCs w:val="16"/>
        </w:rPr>
        <w:footnoteRef/>
      </w:r>
      <w:r w:rsidRPr="00ED7072">
        <w:rPr>
          <w:rFonts w:ascii="Avenir Book" w:hAnsi="Avenir Book"/>
          <w:sz w:val="16"/>
          <w:szCs w:val="16"/>
        </w:rPr>
        <w:t xml:space="preserve"> </w:t>
      </w:r>
      <w:r w:rsidRPr="00ED7072">
        <w:rPr>
          <w:rFonts w:ascii="Avenir Book" w:hAnsi="Avenir Book"/>
          <w:sz w:val="16"/>
          <w:szCs w:val="16"/>
          <w:lang w:val="en-AU"/>
        </w:rPr>
        <w:t>Ibid</w:t>
      </w:r>
    </w:p>
  </w:footnote>
  <w:footnote w:id="66">
    <w:p w14:paraId="3B15A24A" w14:textId="283AF9E7" w:rsidR="00640BE6" w:rsidRPr="00ED7072" w:rsidRDefault="00640BE6" w:rsidP="00736A76">
      <w:pPr>
        <w:pStyle w:val="NormalWeb"/>
        <w:spacing w:before="0" w:beforeAutospacing="0" w:after="0" w:afterAutospacing="0"/>
        <w:rPr>
          <w:rFonts w:ascii="Avenir Book" w:hAnsi="Avenir Book" w:cstheme="minorHAnsi"/>
          <w:sz w:val="16"/>
          <w:szCs w:val="16"/>
          <w:lang w:eastAsia="en-US"/>
        </w:rPr>
      </w:pPr>
      <w:r w:rsidRPr="00ED7072">
        <w:rPr>
          <w:rStyle w:val="FootnoteReference"/>
          <w:rFonts w:ascii="Avenir Book" w:hAnsi="Avenir Book" w:cstheme="minorHAnsi"/>
          <w:sz w:val="16"/>
          <w:szCs w:val="16"/>
        </w:rPr>
        <w:footnoteRef/>
      </w:r>
      <w:r w:rsidRPr="00ED7072">
        <w:rPr>
          <w:rFonts w:ascii="Avenir Book" w:hAnsi="Avenir Book" w:cstheme="minorHAnsi"/>
          <w:sz w:val="16"/>
          <w:szCs w:val="16"/>
        </w:rPr>
        <w:t xml:space="preserve"> </w:t>
      </w:r>
      <w:r w:rsidRPr="00ED7072">
        <w:rPr>
          <w:rFonts w:ascii="Avenir Book" w:hAnsi="Avenir Book" w:cstheme="minorHAnsi"/>
          <w:sz w:val="16"/>
          <w:szCs w:val="16"/>
          <w:lang w:eastAsia="en-US"/>
        </w:rPr>
        <w:t xml:space="preserve">Mendez, J. E. 2013. A/HRC/22/53 para 63, available: </w:t>
      </w:r>
    </w:p>
    <w:p w14:paraId="439A2ED6" w14:textId="7ABA0986" w:rsidR="00640BE6" w:rsidRPr="00ED7072" w:rsidRDefault="00640BE6" w:rsidP="00736A76">
      <w:pPr>
        <w:rPr>
          <w:rFonts w:ascii="Avenir Book" w:hAnsi="Avenir Book" w:cstheme="minorHAnsi"/>
          <w:sz w:val="16"/>
          <w:szCs w:val="16"/>
        </w:rPr>
      </w:pPr>
      <w:r w:rsidRPr="00ED7072">
        <w:rPr>
          <w:rFonts w:ascii="Avenir Book" w:hAnsi="Avenir Book" w:cstheme="minorHAnsi"/>
          <w:color w:val="0000FF"/>
          <w:sz w:val="16"/>
          <w:szCs w:val="16"/>
        </w:rPr>
        <w:t xml:space="preserve">http://www.ohchr.org/Documents/HRBodies/HRCouncil/RegularSession/Session22/A.HRC.22.53_English.pdf </w:t>
      </w:r>
    </w:p>
  </w:footnote>
  <w:footnote w:id="67">
    <w:p w14:paraId="62919C78" w14:textId="6F452B92" w:rsidR="00640BE6" w:rsidRPr="000C04C8" w:rsidRDefault="00640BE6">
      <w:pPr>
        <w:pStyle w:val="FootnoteText"/>
        <w:rPr>
          <w:rFonts w:ascii="Avenir Book" w:hAnsi="Avenir Book" w:cstheme="minorHAnsi"/>
          <w:sz w:val="16"/>
          <w:szCs w:val="16"/>
          <w:lang w:val="en-AU"/>
        </w:rPr>
      </w:pPr>
      <w:r w:rsidRPr="000C04C8">
        <w:rPr>
          <w:rStyle w:val="FootnoteReference"/>
          <w:rFonts w:ascii="Avenir Book" w:hAnsi="Avenir Book" w:cstheme="minorHAnsi"/>
          <w:sz w:val="16"/>
          <w:szCs w:val="16"/>
        </w:rPr>
        <w:footnoteRef/>
      </w:r>
      <w:r w:rsidRPr="000C04C8">
        <w:rPr>
          <w:rFonts w:ascii="Avenir Book" w:hAnsi="Avenir Book" w:cstheme="minorHAnsi"/>
          <w:sz w:val="16"/>
          <w:szCs w:val="16"/>
        </w:rPr>
        <w:t xml:space="preserve"> See e.g., </w:t>
      </w:r>
      <w:r w:rsidRPr="000C04C8">
        <w:rPr>
          <w:rFonts w:ascii="Avenir Book" w:hAnsi="Avenir Book" w:cstheme="minorHAnsi"/>
          <w:sz w:val="16"/>
          <w:szCs w:val="16"/>
          <w:lang w:val="en-AU"/>
        </w:rPr>
        <w:t xml:space="preserve">Disabled People’s Organisations Australia, </w:t>
      </w:r>
      <w:r w:rsidRPr="000C04C8">
        <w:rPr>
          <w:rFonts w:ascii="Avenir Book" w:hAnsi="Avenir Book" w:cstheme="minorHAnsi"/>
          <w:i/>
          <w:sz w:val="16"/>
          <w:szCs w:val="16"/>
          <w:lang w:val="en-AU"/>
        </w:rPr>
        <w:t>Position Paper: Disability Inclusive National Preventive Mechanism (NPM)</w:t>
      </w:r>
      <w:r w:rsidRPr="000C04C8">
        <w:rPr>
          <w:rFonts w:ascii="Avenir Book" w:hAnsi="Avenir Book" w:cstheme="minorHAnsi"/>
          <w:sz w:val="16"/>
          <w:szCs w:val="16"/>
          <w:lang w:val="en-AU"/>
        </w:rPr>
        <w:t xml:space="preserve">, 11 May 2018. Available at: </w:t>
      </w:r>
      <w:hyperlink r:id="rId39" w:history="1">
        <w:r w:rsidRPr="000C04C8">
          <w:rPr>
            <w:rStyle w:val="Hyperlink"/>
            <w:rFonts w:ascii="Avenir Book" w:hAnsi="Avenir Book" w:cstheme="minorHAnsi"/>
            <w:sz w:val="16"/>
            <w:szCs w:val="16"/>
            <w:lang w:val="en-AU"/>
          </w:rPr>
          <w:t>https://dpoa.org.au/position-opcat-npm/</w:t>
        </w:r>
      </w:hyperlink>
      <w:r w:rsidRPr="000C04C8">
        <w:rPr>
          <w:rFonts w:ascii="Avenir Book" w:hAnsi="Avenir Book" w:cstheme="minorHAnsi"/>
          <w:sz w:val="16"/>
          <w:szCs w:val="16"/>
          <w:lang w:val="en-AU"/>
        </w:rPr>
        <w:t>; The Australian OPCAT Network, op. cit.</w:t>
      </w:r>
    </w:p>
  </w:footnote>
  <w:footnote w:id="68">
    <w:p w14:paraId="4FCC5272" w14:textId="0FDFF682" w:rsidR="00640BE6" w:rsidRPr="000C04C8" w:rsidRDefault="00640BE6">
      <w:pPr>
        <w:pStyle w:val="FootnoteText"/>
        <w:rPr>
          <w:rFonts w:ascii="Avenir Book" w:hAnsi="Avenir Book" w:cstheme="minorHAnsi"/>
          <w:sz w:val="16"/>
          <w:szCs w:val="16"/>
          <w:lang w:val="en-AU"/>
        </w:rPr>
      </w:pPr>
      <w:r w:rsidRPr="000C04C8">
        <w:rPr>
          <w:rStyle w:val="FootnoteReference"/>
          <w:rFonts w:ascii="Avenir Book" w:hAnsi="Avenir Book" w:cstheme="minorHAnsi"/>
          <w:sz w:val="16"/>
          <w:szCs w:val="16"/>
        </w:rPr>
        <w:footnoteRef/>
      </w:r>
      <w:r w:rsidRPr="000C04C8">
        <w:rPr>
          <w:rFonts w:ascii="Avenir Book" w:hAnsi="Avenir Book" w:cstheme="minorHAnsi"/>
          <w:sz w:val="16"/>
          <w:szCs w:val="16"/>
        </w:rPr>
        <w:t xml:space="preserve"> </w:t>
      </w:r>
      <w:r w:rsidRPr="000C04C8">
        <w:rPr>
          <w:rFonts w:ascii="Avenir Book" w:hAnsi="Avenir Book" w:cstheme="minorHAnsi"/>
          <w:sz w:val="16"/>
          <w:szCs w:val="16"/>
          <w:lang w:val="en-AU"/>
        </w:rPr>
        <w:t xml:space="preserve">Disabled People’s Organisations Australia, </w:t>
      </w:r>
      <w:r w:rsidRPr="000C04C8">
        <w:rPr>
          <w:rFonts w:ascii="Avenir Book" w:hAnsi="Avenir Book" w:cstheme="minorHAnsi"/>
          <w:i/>
          <w:sz w:val="16"/>
          <w:szCs w:val="16"/>
          <w:lang w:val="en-AU"/>
        </w:rPr>
        <w:t>Position Paper: Disability Inclusive National Preventive Mechanism (NPM)</w:t>
      </w:r>
      <w:r w:rsidRPr="000C04C8">
        <w:rPr>
          <w:rFonts w:ascii="Avenir Book" w:hAnsi="Avenir Book" w:cstheme="minorHAnsi"/>
          <w:sz w:val="16"/>
          <w:szCs w:val="16"/>
          <w:lang w:val="en-AU"/>
        </w:rPr>
        <w:t>, ibid., page 3; The Australian OPCAT Network, ibid., pages 78-96.</w:t>
      </w:r>
    </w:p>
  </w:footnote>
  <w:footnote w:id="69">
    <w:p w14:paraId="2828F5DD" w14:textId="7D994532" w:rsidR="00640BE6" w:rsidRPr="000C04C8" w:rsidRDefault="00640BE6">
      <w:pPr>
        <w:pStyle w:val="FootnoteText"/>
        <w:rPr>
          <w:rFonts w:ascii="Avenir Book" w:hAnsi="Avenir Book" w:cstheme="minorHAnsi"/>
          <w:sz w:val="16"/>
          <w:szCs w:val="16"/>
          <w:lang w:val="en-AU"/>
        </w:rPr>
      </w:pPr>
      <w:r w:rsidRPr="000C04C8">
        <w:rPr>
          <w:rStyle w:val="FootnoteReference"/>
          <w:rFonts w:ascii="Avenir Book" w:hAnsi="Avenir Book" w:cstheme="minorHAnsi"/>
          <w:sz w:val="16"/>
          <w:szCs w:val="16"/>
        </w:rPr>
        <w:footnoteRef/>
      </w:r>
      <w:r w:rsidRPr="000C04C8">
        <w:rPr>
          <w:rFonts w:ascii="Avenir Book" w:hAnsi="Avenir Book" w:cstheme="minorHAnsi"/>
          <w:sz w:val="16"/>
          <w:szCs w:val="16"/>
        </w:rPr>
        <w:t xml:space="preserve"> </w:t>
      </w:r>
      <w:r w:rsidRPr="000C04C8">
        <w:rPr>
          <w:rFonts w:ascii="Avenir Book" w:hAnsi="Avenir Book" w:cstheme="minorHAnsi"/>
          <w:sz w:val="16"/>
          <w:szCs w:val="16"/>
          <w:lang w:val="en-AU"/>
        </w:rPr>
        <w:t xml:space="preserve">Commonwealth Ombudsman, ‘Monitoring places of detention – OPCAT’, website information, </w:t>
      </w:r>
      <w:hyperlink r:id="rId40" w:history="1">
        <w:r w:rsidRPr="000C04C8">
          <w:rPr>
            <w:rStyle w:val="Hyperlink"/>
            <w:rFonts w:ascii="Avenir Book" w:hAnsi="Avenir Book" w:cstheme="minorHAnsi"/>
            <w:sz w:val="16"/>
            <w:szCs w:val="16"/>
            <w:lang w:val="en-AU"/>
          </w:rPr>
          <w:t>https://www.ombudsman.gov.au/what-we-do/monitoring-places-of-detention-opcat</w:t>
        </w:r>
      </w:hyperlink>
      <w:r w:rsidRPr="000C04C8">
        <w:rPr>
          <w:rFonts w:ascii="Avenir Book" w:hAnsi="Avenir Book" w:cstheme="minorHAnsi"/>
          <w:sz w:val="16"/>
          <w:szCs w:val="16"/>
          <w:lang w:val="en-AU"/>
        </w:rPr>
        <w:t xml:space="preserve"> </w:t>
      </w:r>
    </w:p>
  </w:footnote>
  <w:footnote w:id="70">
    <w:p w14:paraId="5DB92136" w14:textId="0BE20FCC" w:rsidR="00640BE6" w:rsidRPr="000C04C8" w:rsidRDefault="00640BE6">
      <w:pPr>
        <w:pStyle w:val="FootnoteText"/>
        <w:rPr>
          <w:rFonts w:ascii="Avenir Book" w:hAnsi="Avenir Book" w:cstheme="minorHAnsi"/>
          <w:sz w:val="16"/>
          <w:szCs w:val="16"/>
          <w:lang w:val="en-AU"/>
        </w:rPr>
      </w:pPr>
      <w:r w:rsidRPr="000C04C8">
        <w:rPr>
          <w:rStyle w:val="FootnoteReference"/>
          <w:rFonts w:ascii="Avenir Book" w:hAnsi="Avenir Book"/>
          <w:sz w:val="16"/>
          <w:szCs w:val="16"/>
        </w:rPr>
        <w:footnoteRef/>
      </w:r>
      <w:r w:rsidRPr="000C04C8">
        <w:rPr>
          <w:rFonts w:ascii="Avenir Book" w:hAnsi="Avenir Book"/>
          <w:sz w:val="16"/>
          <w:szCs w:val="16"/>
        </w:rPr>
        <w:t xml:space="preserve"> </w:t>
      </w:r>
      <w:r w:rsidRPr="000C04C8">
        <w:rPr>
          <w:rFonts w:ascii="Avenir Book" w:hAnsi="Avenir Book" w:cstheme="minorHAnsi"/>
          <w:sz w:val="16"/>
          <w:szCs w:val="16"/>
          <w:lang w:val="en-AU"/>
        </w:rPr>
        <w:t>The Australian OPCAT Network, op, cit., pages 78-96.</w:t>
      </w:r>
    </w:p>
  </w:footnote>
  <w:footnote w:id="71">
    <w:p w14:paraId="0C5E7E2F" w14:textId="5AE6BC9E" w:rsidR="00640BE6" w:rsidRPr="000C04C8" w:rsidRDefault="00640BE6">
      <w:pPr>
        <w:pStyle w:val="FootnoteText"/>
        <w:rPr>
          <w:rFonts w:ascii="Avenir Book" w:hAnsi="Avenir Book"/>
          <w:sz w:val="16"/>
          <w:szCs w:val="16"/>
          <w:lang w:val="en-AU"/>
        </w:rPr>
      </w:pPr>
      <w:r w:rsidRPr="000C04C8">
        <w:rPr>
          <w:rStyle w:val="FootnoteReference"/>
          <w:rFonts w:ascii="Avenir Book" w:hAnsi="Avenir Book"/>
          <w:sz w:val="16"/>
          <w:szCs w:val="16"/>
        </w:rPr>
        <w:footnoteRef/>
      </w:r>
      <w:r w:rsidRPr="000C04C8">
        <w:rPr>
          <w:rFonts w:ascii="Avenir Book" w:hAnsi="Avenir Book"/>
          <w:sz w:val="16"/>
          <w:szCs w:val="16"/>
        </w:rPr>
        <w:t xml:space="preserve"> </w:t>
      </w:r>
      <w:r w:rsidRPr="000C04C8">
        <w:rPr>
          <w:rFonts w:ascii="Avenir Book" w:hAnsi="Avenir Book"/>
          <w:sz w:val="16"/>
          <w:szCs w:val="16"/>
          <w:lang w:val="en-AU"/>
        </w:rPr>
        <w:t xml:space="preserve">Royal Commission into Violence, Abuse, Neglect and Exploitation of People with Disability, </w:t>
      </w:r>
      <w:r w:rsidRPr="000C04C8">
        <w:rPr>
          <w:rFonts w:ascii="Avenir Book" w:hAnsi="Avenir Book"/>
          <w:i/>
          <w:sz w:val="16"/>
          <w:szCs w:val="16"/>
          <w:lang w:val="en-AU"/>
        </w:rPr>
        <w:t>Transcript of Proceedings, Townsville Hearing</w:t>
      </w:r>
      <w:r w:rsidRPr="000C04C8">
        <w:rPr>
          <w:rFonts w:ascii="Avenir Book" w:hAnsi="Avenir Book"/>
          <w:sz w:val="16"/>
          <w:szCs w:val="16"/>
          <w:lang w:val="en-AU"/>
        </w:rPr>
        <w:t xml:space="preserve">, 4 November 2019. Available at: </w:t>
      </w:r>
      <w:hyperlink r:id="rId41" w:history="1">
        <w:r w:rsidRPr="000C04C8">
          <w:rPr>
            <w:rStyle w:val="Hyperlink"/>
            <w:rFonts w:ascii="Avenir Book" w:hAnsi="Avenir Book"/>
            <w:sz w:val="16"/>
            <w:szCs w:val="16"/>
            <w:lang w:val="en-AU"/>
          </w:rPr>
          <w:t>https://disability.royalcommission.gov.au/sites/default/files/2019-12/transcript-4-november-2019.pdf</w:t>
        </w:r>
      </w:hyperlink>
      <w:r w:rsidRPr="000C04C8">
        <w:rPr>
          <w:rFonts w:ascii="Avenir Book" w:hAnsi="Avenir Book"/>
          <w:sz w:val="16"/>
          <w:szCs w:val="16"/>
          <w:lang w:val="en-AU"/>
        </w:rPr>
        <w:t xml:space="preserve"> </w:t>
      </w:r>
    </w:p>
  </w:footnote>
  <w:footnote w:id="72">
    <w:p w14:paraId="5B180CCE" w14:textId="34997D18" w:rsidR="00640BE6" w:rsidRPr="000C04C8" w:rsidRDefault="00640BE6">
      <w:pPr>
        <w:pStyle w:val="FootnoteText"/>
        <w:rPr>
          <w:rFonts w:ascii="Avenir Book" w:hAnsi="Avenir Book"/>
          <w:sz w:val="16"/>
          <w:szCs w:val="16"/>
          <w:lang w:val="en-AU"/>
        </w:rPr>
      </w:pPr>
      <w:r w:rsidRPr="000C04C8">
        <w:rPr>
          <w:rStyle w:val="FootnoteReference"/>
          <w:rFonts w:ascii="Avenir Book" w:hAnsi="Avenir Book"/>
          <w:sz w:val="16"/>
          <w:szCs w:val="16"/>
        </w:rPr>
        <w:footnoteRef/>
      </w:r>
      <w:r w:rsidRPr="000C04C8">
        <w:rPr>
          <w:rFonts w:ascii="Avenir Book" w:hAnsi="Avenir Book"/>
          <w:sz w:val="16"/>
          <w:szCs w:val="16"/>
        </w:rPr>
        <w:t xml:space="preserve"> </w:t>
      </w:r>
      <w:r w:rsidRPr="000C04C8">
        <w:rPr>
          <w:rFonts w:ascii="Avenir Book" w:hAnsi="Avenir Book"/>
          <w:sz w:val="16"/>
          <w:szCs w:val="16"/>
          <w:lang w:val="en-AU"/>
        </w:rPr>
        <w:t xml:space="preserve">Royal Commission into Violence, Abuse, Neglect and Exploitation of People with Disability, </w:t>
      </w:r>
      <w:r w:rsidRPr="000C04C8">
        <w:rPr>
          <w:rFonts w:ascii="Avenir Book" w:hAnsi="Avenir Book"/>
          <w:i/>
          <w:sz w:val="16"/>
          <w:szCs w:val="16"/>
          <w:lang w:val="en-AU"/>
        </w:rPr>
        <w:t>Transcript of Proceedings, Townsville Hearing</w:t>
      </w:r>
      <w:r w:rsidRPr="000C04C8">
        <w:rPr>
          <w:rFonts w:ascii="Avenir Book" w:hAnsi="Avenir Book"/>
          <w:sz w:val="16"/>
          <w:szCs w:val="16"/>
          <w:lang w:val="en-AU"/>
        </w:rPr>
        <w:t xml:space="preserve">, 7 November 2019, page 332. Available at: </w:t>
      </w:r>
      <w:hyperlink r:id="rId42" w:history="1">
        <w:r w:rsidRPr="000C04C8">
          <w:rPr>
            <w:rStyle w:val="Hyperlink"/>
            <w:rFonts w:ascii="Avenir Book" w:hAnsi="Avenir Book"/>
            <w:sz w:val="16"/>
            <w:szCs w:val="16"/>
            <w:lang w:val="en-AU"/>
          </w:rPr>
          <w:t>https://disability.royalcommission.gov.au/hearings/Documents/transcripts/transcript-7-november-2019.pdf</w:t>
        </w:r>
      </w:hyperlink>
    </w:p>
  </w:footnote>
  <w:footnote w:id="73">
    <w:p w14:paraId="1A1628FA" w14:textId="4B790DA7" w:rsidR="00640BE6" w:rsidRPr="000770B6" w:rsidRDefault="00640BE6">
      <w:pPr>
        <w:pStyle w:val="FootnoteText"/>
        <w:rPr>
          <w:rFonts w:ascii="Avenir Book" w:hAnsi="Avenir Book"/>
          <w:sz w:val="16"/>
          <w:szCs w:val="16"/>
          <w:lang w:val="en-AU"/>
        </w:rPr>
      </w:pPr>
      <w:r w:rsidRPr="000770B6">
        <w:rPr>
          <w:rStyle w:val="FootnoteReference"/>
          <w:rFonts w:ascii="Avenir Book" w:hAnsi="Avenir Book"/>
          <w:sz w:val="16"/>
          <w:szCs w:val="16"/>
        </w:rPr>
        <w:footnoteRef/>
      </w:r>
      <w:r w:rsidRPr="000770B6">
        <w:rPr>
          <w:rFonts w:ascii="Avenir Book" w:hAnsi="Avenir Book"/>
          <w:sz w:val="16"/>
          <w:szCs w:val="16"/>
        </w:rPr>
        <w:t xml:space="preserve"> See e.g., </w:t>
      </w:r>
      <w:r w:rsidRPr="000770B6">
        <w:rPr>
          <w:rFonts w:ascii="Avenir Book" w:hAnsi="Avenir Book" w:cstheme="minorHAnsi"/>
          <w:sz w:val="16"/>
          <w:szCs w:val="16"/>
        </w:rPr>
        <w:t xml:space="preserve">Frohmader, C.; Dowse, L.; Didi, A., </w:t>
      </w:r>
      <w:r w:rsidRPr="000770B6">
        <w:rPr>
          <w:rFonts w:ascii="Avenir Book" w:hAnsi="Avenir Book" w:cstheme="minorHAnsi"/>
          <w:sz w:val="16"/>
          <w:szCs w:val="16"/>
        </w:rPr>
        <w:t xml:space="preserve">op.cit; Disabled People’s Organisations Australia and the National Women’s Alliances, </w:t>
      </w:r>
      <w:r w:rsidRPr="000770B6">
        <w:rPr>
          <w:rFonts w:ascii="Avenir Book" w:hAnsi="Avenir Book" w:cstheme="minorHAnsi"/>
          <w:i/>
          <w:sz w:val="16"/>
          <w:szCs w:val="16"/>
        </w:rPr>
        <w:t>The Status of Women and Girls with Disability in Australia</w:t>
      </w:r>
      <w:r w:rsidRPr="000770B6">
        <w:rPr>
          <w:rFonts w:ascii="Avenir Book" w:hAnsi="Avenir Book" w:cstheme="minorHAnsi"/>
          <w:sz w:val="16"/>
          <w:szCs w:val="16"/>
        </w:rPr>
        <w:t xml:space="preserve">, Position Statement to the Commission on the Status of Women (CSW) Twenty-Fifth Anniversary of the Fourth World Conference on Women and the Beijing Declaration and Platform for Action 1995, Women With Disabilities Australia, 2019, pages 23-28. Available at: </w:t>
      </w:r>
      <w:hyperlink r:id="rId43" w:history="1">
        <w:r w:rsidRPr="000770B6">
          <w:rPr>
            <w:rStyle w:val="Hyperlink"/>
            <w:rFonts w:ascii="Avenir Book" w:hAnsi="Avenir Book" w:cstheme="minorHAnsi"/>
            <w:sz w:val="16"/>
            <w:szCs w:val="16"/>
          </w:rPr>
          <w:t>http://wwda.org.au/wp-content/uploads/2019/12/The-Status-of-Women-and-Girls-with-Disability-Asutralia.pdf</w:t>
        </w:r>
      </w:hyperlink>
      <w:r w:rsidRPr="000770B6">
        <w:rPr>
          <w:rFonts w:ascii="Avenir Book" w:hAnsi="Avenir Book" w:cstheme="minorHAnsi"/>
          <w:sz w:val="16"/>
          <w:szCs w:val="16"/>
        </w:rPr>
        <w:t xml:space="preserve"> </w:t>
      </w:r>
    </w:p>
  </w:footnote>
  <w:footnote w:id="74">
    <w:p w14:paraId="7C13EA26" w14:textId="24F9E020" w:rsidR="00640BE6" w:rsidRPr="000770B6" w:rsidRDefault="00640BE6" w:rsidP="00D15DCE">
      <w:pPr>
        <w:pStyle w:val="FootnoteText"/>
        <w:rPr>
          <w:rFonts w:ascii="Avenir Book" w:hAnsi="Avenir Book"/>
          <w:sz w:val="16"/>
          <w:szCs w:val="16"/>
        </w:rPr>
      </w:pPr>
      <w:r w:rsidRPr="000770B6">
        <w:rPr>
          <w:rStyle w:val="FootnoteReference"/>
          <w:rFonts w:ascii="Avenir Book" w:hAnsi="Avenir Book"/>
          <w:sz w:val="16"/>
          <w:szCs w:val="16"/>
        </w:rPr>
        <w:footnoteRef/>
      </w:r>
      <w:r w:rsidRPr="000770B6">
        <w:rPr>
          <w:rFonts w:ascii="Avenir Book" w:hAnsi="Avenir Book"/>
          <w:sz w:val="16"/>
          <w:szCs w:val="16"/>
        </w:rPr>
        <w:t xml:space="preserve"> See e.g., </w:t>
      </w:r>
      <w:r w:rsidRPr="000770B6">
        <w:rPr>
          <w:rFonts w:ascii="Avenir Book" w:hAnsi="Avenir Book" w:cs="Calibri"/>
          <w:color w:val="000000" w:themeColor="text1"/>
          <w:sz w:val="16"/>
          <w:szCs w:val="16"/>
          <w:lang w:val="en-AU"/>
        </w:rPr>
        <w:t xml:space="preserve">Women with Disabilities Australia (2013) </w:t>
      </w:r>
      <w:r w:rsidRPr="000770B6">
        <w:rPr>
          <w:rFonts w:ascii="Avenir Book" w:hAnsi="Avenir Book" w:cs="Calibri"/>
          <w:i/>
          <w:color w:val="000000" w:themeColor="text1"/>
          <w:sz w:val="16"/>
          <w:szCs w:val="16"/>
          <w:lang w:val="en-AU"/>
        </w:rPr>
        <w:t>Stop the Violence Project, Report of the Proceedings and Outcomes, National Symposium on Violence Against Women and Girls with Disabilities</w:t>
      </w:r>
      <w:r w:rsidRPr="000770B6">
        <w:rPr>
          <w:rFonts w:ascii="Avenir Book" w:hAnsi="Avenir Book" w:cs="Calibri"/>
          <w:color w:val="000000" w:themeColor="text1"/>
          <w:sz w:val="16"/>
          <w:szCs w:val="16"/>
          <w:lang w:val="en-AU"/>
        </w:rPr>
        <w:t xml:space="preserve">, Hobart: WWDA. Available at: </w:t>
      </w:r>
      <w:hyperlink r:id="rId44" w:history="1">
        <w:r w:rsidRPr="000770B6">
          <w:rPr>
            <w:rStyle w:val="Hyperlink"/>
            <w:rFonts w:ascii="Avenir Book" w:hAnsi="Avenir Book" w:cs="Calibri"/>
            <w:sz w:val="16"/>
            <w:szCs w:val="16"/>
            <w:lang w:val="en-AU"/>
          </w:rPr>
          <w:t>http://wwda.org.au/wp-content/uploads/2013/12/STV_Outcomes_Paper.pdf</w:t>
        </w:r>
      </w:hyperlink>
      <w:r w:rsidRPr="000770B6">
        <w:rPr>
          <w:rFonts w:ascii="Avenir Book" w:hAnsi="Avenir Book" w:cs="Calibri"/>
          <w:color w:val="000000" w:themeColor="text1"/>
          <w:sz w:val="16"/>
          <w:szCs w:val="16"/>
          <w:lang w:val="en-AU"/>
        </w:rPr>
        <w:t xml:space="preserve">; </w:t>
      </w:r>
      <w:r w:rsidRPr="000770B6">
        <w:rPr>
          <w:rFonts w:ascii="Avenir Book" w:hAnsi="Avenir Book"/>
          <w:sz w:val="16"/>
          <w:szCs w:val="16"/>
          <w:lang w:val="en-AU"/>
        </w:rPr>
        <w:t xml:space="preserve">Frawley, P; Dyson, S; Robinson, S, op. cit.; </w:t>
      </w:r>
      <w:r w:rsidRPr="000770B6">
        <w:rPr>
          <w:rFonts w:ascii="Avenir Book" w:hAnsi="Avenir Book" w:cs="Calibri"/>
          <w:color w:val="000000" w:themeColor="text1"/>
          <w:sz w:val="16"/>
          <w:szCs w:val="16"/>
          <w:lang w:val="en-AU"/>
        </w:rPr>
        <w:t xml:space="preserve">Maher, J. M., </w:t>
      </w:r>
      <w:r w:rsidRPr="000770B6">
        <w:rPr>
          <w:rFonts w:ascii="Avenir Book" w:hAnsi="Avenir Book" w:cs="Calibri"/>
          <w:color w:val="000000" w:themeColor="text1"/>
          <w:sz w:val="16"/>
          <w:szCs w:val="16"/>
          <w:lang w:val="en-AU"/>
        </w:rPr>
        <w:t xml:space="preserve">Spivakovsky, C., McCulloch, J., McGowan, J., Beavis, K., Lea, M., Cadwallader, J., Sands, T., op. cit. </w:t>
      </w:r>
    </w:p>
  </w:footnote>
  <w:footnote w:id="75">
    <w:p w14:paraId="2F576868" w14:textId="1C3B2148" w:rsidR="00640BE6" w:rsidRPr="000770B6" w:rsidRDefault="00640BE6" w:rsidP="00D15DCE">
      <w:pPr>
        <w:pStyle w:val="FootnoteText"/>
        <w:rPr>
          <w:rFonts w:ascii="Avenir Book" w:hAnsi="Avenir Book"/>
          <w:sz w:val="16"/>
          <w:szCs w:val="16"/>
          <w:lang w:val="en-AU"/>
        </w:rPr>
      </w:pPr>
      <w:r w:rsidRPr="000770B6">
        <w:rPr>
          <w:rStyle w:val="FootnoteReference"/>
          <w:rFonts w:ascii="Avenir Book" w:hAnsi="Avenir Book"/>
          <w:sz w:val="16"/>
          <w:szCs w:val="16"/>
        </w:rPr>
        <w:footnoteRef/>
      </w:r>
      <w:r w:rsidRPr="000770B6">
        <w:rPr>
          <w:rFonts w:ascii="Avenir Book" w:hAnsi="Avenir Book"/>
          <w:sz w:val="16"/>
          <w:szCs w:val="16"/>
        </w:rPr>
        <w:t xml:space="preserve"> </w:t>
      </w:r>
      <w:r w:rsidRPr="000770B6">
        <w:rPr>
          <w:rFonts w:ascii="Avenir Book" w:hAnsi="Avenir Book" w:cstheme="minorHAnsi"/>
          <w:sz w:val="16"/>
          <w:szCs w:val="16"/>
        </w:rPr>
        <w:t>Disabled People’s Organisations Australia and the National Women’s Alliances, op. cit.</w:t>
      </w:r>
    </w:p>
  </w:footnote>
  <w:footnote w:id="76">
    <w:p w14:paraId="43E0DA4F" w14:textId="485317A8" w:rsidR="00640BE6" w:rsidRPr="000770B6" w:rsidRDefault="00640BE6" w:rsidP="00D15DCE">
      <w:pPr>
        <w:pStyle w:val="FootnoteText"/>
        <w:rPr>
          <w:rFonts w:ascii="Avenir Book" w:hAnsi="Avenir Book"/>
          <w:sz w:val="16"/>
          <w:szCs w:val="16"/>
          <w:lang w:val="en-AU"/>
        </w:rPr>
      </w:pPr>
      <w:r w:rsidRPr="000770B6">
        <w:rPr>
          <w:rStyle w:val="FootnoteReference"/>
          <w:rFonts w:ascii="Avenir Book" w:hAnsi="Avenir Book"/>
          <w:sz w:val="16"/>
          <w:szCs w:val="16"/>
        </w:rPr>
        <w:footnoteRef/>
      </w:r>
      <w:r w:rsidRPr="000770B6">
        <w:rPr>
          <w:rFonts w:ascii="Avenir Book" w:hAnsi="Avenir Book"/>
          <w:sz w:val="16"/>
          <w:szCs w:val="16"/>
        </w:rPr>
        <w:t xml:space="preserve"> </w:t>
      </w:r>
      <w:r w:rsidRPr="000770B6">
        <w:rPr>
          <w:rFonts w:ascii="Avenir Book" w:hAnsi="Avenir Book"/>
          <w:sz w:val="16"/>
          <w:szCs w:val="16"/>
          <w:lang w:val="en-AU"/>
        </w:rPr>
        <w:t>Ibid, page 12</w:t>
      </w:r>
    </w:p>
  </w:footnote>
  <w:footnote w:id="77">
    <w:p w14:paraId="1F68E84C" w14:textId="1474F588" w:rsidR="00640BE6" w:rsidRPr="000770B6" w:rsidRDefault="00640BE6" w:rsidP="00D15DCE">
      <w:pPr>
        <w:pStyle w:val="FootnoteText"/>
        <w:rPr>
          <w:rFonts w:ascii="Avenir Book" w:hAnsi="Avenir Book"/>
          <w:sz w:val="16"/>
          <w:szCs w:val="16"/>
          <w:lang w:val="en-AU"/>
        </w:rPr>
      </w:pPr>
      <w:r w:rsidRPr="000770B6">
        <w:rPr>
          <w:rStyle w:val="FootnoteReference"/>
          <w:rFonts w:ascii="Avenir Book" w:hAnsi="Avenir Book"/>
          <w:sz w:val="16"/>
          <w:szCs w:val="16"/>
        </w:rPr>
        <w:footnoteRef/>
      </w:r>
      <w:r w:rsidRPr="000770B6">
        <w:rPr>
          <w:rFonts w:ascii="Avenir Book" w:hAnsi="Avenir Book"/>
          <w:sz w:val="16"/>
          <w:szCs w:val="16"/>
        </w:rPr>
        <w:t xml:space="preserve"> Australian Institute of Health and Welfare, </w:t>
      </w:r>
      <w:hyperlink r:id="rId45" w:history="1">
        <w:r w:rsidRPr="000770B6">
          <w:rPr>
            <w:rStyle w:val="Hyperlink"/>
            <w:rFonts w:ascii="Avenir Book" w:hAnsi="Avenir Book"/>
            <w:sz w:val="16"/>
            <w:szCs w:val="16"/>
          </w:rPr>
          <w:t>https://www.aihw.gov.au/reports/disability/people-with-disability-in-australia/education-and-skills</w:t>
        </w:r>
      </w:hyperlink>
      <w:r w:rsidRPr="000770B6">
        <w:rPr>
          <w:rFonts w:ascii="Avenir Book" w:hAnsi="Avenir Book"/>
          <w:sz w:val="16"/>
          <w:szCs w:val="16"/>
        </w:rPr>
        <w:t xml:space="preserve"> </w:t>
      </w:r>
    </w:p>
  </w:footnote>
  <w:footnote w:id="78">
    <w:p w14:paraId="4864E680" w14:textId="47AD0A17" w:rsidR="00640BE6" w:rsidRPr="000770B6" w:rsidRDefault="00640BE6">
      <w:pPr>
        <w:pStyle w:val="FootnoteText"/>
        <w:rPr>
          <w:rFonts w:ascii="Avenir Book" w:hAnsi="Avenir Book"/>
          <w:sz w:val="16"/>
          <w:szCs w:val="16"/>
          <w:lang w:val="en-AU"/>
        </w:rPr>
      </w:pPr>
      <w:r w:rsidRPr="000770B6">
        <w:rPr>
          <w:rStyle w:val="FootnoteReference"/>
          <w:rFonts w:ascii="Avenir Book" w:hAnsi="Avenir Book"/>
          <w:sz w:val="16"/>
          <w:szCs w:val="16"/>
        </w:rPr>
        <w:footnoteRef/>
      </w:r>
      <w:r w:rsidRPr="000770B6">
        <w:rPr>
          <w:rFonts w:ascii="Avenir Book" w:hAnsi="Avenir Book"/>
          <w:sz w:val="16"/>
          <w:szCs w:val="16"/>
        </w:rPr>
        <w:t xml:space="preserve"> </w:t>
      </w:r>
      <w:r w:rsidRPr="000770B6">
        <w:rPr>
          <w:rFonts w:ascii="Avenir Book" w:hAnsi="Avenir Book"/>
          <w:sz w:val="16"/>
          <w:szCs w:val="16"/>
          <w:lang w:val="en-AU"/>
        </w:rPr>
        <w:t>Australian Civil Society Shadow Report Working Group, op. cit.,</w:t>
      </w:r>
      <w:r w:rsidRPr="000770B6">
        <w:rPr>
          <w:rFonts w:ascii="Avenir Book" w:hAnsi="Avenir Book"/>
          <w:i/>
          <w:sz w:val="16"/>
          <w:szCs w:val="16"/>
          <w:lang w:val="en-AU"/>
        </w:rPr>
        <w:t xml:space="preserve"> </w:t>
      </w:r>
      <w:r w:rsidRPr="000770B6">
        <w:rPr>
          <w:rFonts w:ascii="Avenir Book" w:hAnsi="Avenir Book"/>
          <w:sz w:val="16"/>
          <w:szCs w:val="16"/>
          <w:lang w:val="en-AU"/>
        </w:rPr>
        <w:t xml:space="preserve">page 35. </w:t>
      </w:r>
    </w:p>
  </w:footnote>
  <w:footnote w:id="79">
    <w:p w14:paraId="009341D5" w14:textId="2EFD9C09" w:rsidR="00640BE6" w:rsidRPr="00774952" w:rsidRDefault="00640BE6" w:rsidP="002B29E2">
      <w:pPr>
        <w:pStyle w:val="EndnoteText"/>
        <w:rPr>
          <w:rFonts w:ascii="Avenir Book" w:hAnsi="Avenir Book" w:cstheme="minorHAnsi"/>
          <w:sz w:val="16"/>
          <w:szCs w:val="16"/>
        </w:rPr>
      </w:pPr>
      <w:r w:rsidRPr="00774952">
        <w:rPr>
          <w:rStyle w:val="FootnoteReference"/>
          <w:rFonts w:ascii="Avenir Book" w:hAnsi="Avenir Book" w:cstheme="minorHAnsi"/>
          <w:sz w:val="16"/>
          <w:szCs w:val="16"/>
        </w:rPr>
        <w:footnoteRef/>
      </w:r>
      <w:r w:rsidRPr="00774952">
        <w:rPr>
          <w:rFonts w:ascii="Avenir Book" w:hAnsi="Avenir Book" w:cstheme="minorHAnsi"/>
          <w:sz w:val="16"/>
          <w:szCs w:val="16"/>
        </w:rPr>
        <w:t xml:space="preserve"> </w:t>
      </w:r>
      <w:r w:rsidRPr="00774952">
        <w:rPr>
          <w:rFonts w:ascii="Avenir Book" w:hAnsi="Avenir Book" w:cstheme="minorHAnsi"/>
          <w:sz w:val="16"/>
          <w:szCs w:val="16"/>
          <w:lang w:val="en-AU"/>
        </w:rPr>
        <w:t>See e.g., Children and Young People with Disability Australia, Education Survey 2017,</w:t>
      </w:r>
      <w:r w:rsidRPr="00774952">
        <w:rPr>
          <w:rFonts w:ascii="Avenir Book" w:hAnsi="Avenir Book" w:cstheme="minorHAnsi"/>
          <w:sz w:val="16"/>
          <w:szCs w:val="16"/>
        </w:rPr>
        <w:t xml:space="preserve"> CYDA, Melbourne, Victoria. Available at: </w:t>
      </w:r>
      <w:hyperlink r:id="rId46" w:history="1">
        <w:r w:rsidRPr="00774952">
          <w:rPr>
            <w:rStyle w:val="Hyperlink"/>
            <w:rFonts w:ascii="Avenir Book" w:hAnsi="Avenir Book" w:cstheme="minorHAnsi"/>
            <w:sz w:val="16"/>
            <w:szCs w:val="16"/>
          </w:rPr>
          <w:t>https://www.cyda.org.au/education-survey-results-2017</w:t>
        </w:r>
      </w:hyperlink>
      <w:r w:rsidRPr="00774952">
        <w:rPr>
          <w:rFonts w:ascii="Avenir Book" w:hAnsi="Avenir Book" w:cstheme="minorHAnsi"/>
          <w:sz w:val="16"/>
          <w:szCs w:val="16"/>
        </w:rPr>
        <w:t xml:space="preserve"> </w:t>
      </w:r>
    </w:p>
  </w:footnote>
  <w:footnote w:id="80">
    <w:p w14:paraId="41A95BB2" w14:textId="77777777" w:rsidR="00640BE6" w:rsidRPr="00774952" w:rsidRDefault="00640BE6" w:rsidP="00935E4C">
      <w:pPr>
        <w:pStyle w:val="NormalWeb"/>
        <w:spacing w:before="0" w:beforeAutospacing="0" w:after="0" w:afterAutospacing="0"/>
        <w:rPr>
          <w:rFonts w:ascii="Avenir Book" w:hAnsi="Avenir Book" w:cstheme="minorHAnsi"/>
          <w:sz w:val="16"/>
          <w:szCs w:val="16"/>
          <w:lang w:eastAsia="en-US"/>
        </w:rPr>
      </w:pPr>
      <w:r w:rsidRPr="00774952">
        <w:rPr>
          <w:rStyle w:val="FootnoteReference"/>
          <w:rFonts w:ascii="Avenir Book" w:hAnsi="Avenir Book" w:cstheme="minorHAnsi"/>
          <w:sz w:val="16"/>
          <w:szCs w:val="16"/>
        </w:rPr>
        <w:footnoteRef/>
      </w:r>
      <w:r w:rsidRPr="00774952">
        <w:rPr>
          <w:rFonts w:ascii="Avenir Book" w:hAnsi="Avenir Book" w:cstheme="minorHAnsi"/>
          <w:sz w:val="16"/>
          <w:szCs w:val="16"/>
        </w:rPr>
        <w:t xml:space="preserve"> These reports were provided to the UN Special Rapporteur on the Rights of Persons with Disabilities as a communication (complaint), and relayed in a letter to the Australian Government by the </w:t>
      </w:r>
      <w:r w:rsidRPr="00774952">
        <w:rPr>
          <w:rFonts w:ascii="Avenir Book" w:hAnsi="Avenir Book" w:cstheme="minorHAnsi"/>
          <w:sz w:val="16"/>
          <w:szCs w:val="16"/>
          <w:lang w:eastAsia="en-US"/>
        </w:rPr>
        <w:t xml:space="preserve">Mandates of the Working Group on Arbitrary Detention; the Special Rapporteur on the rights of persons with disabilities; the Special Rapporteur on the sale of children, child prostitution and child pornography; the Special Rapporteur on torture and other cruel, inhuman or degrading treatment or punishment; and the Special Rapporteur on the right to education, 22 March 2017. Available at: </w:t>
      </w:r>
      <w:hyperlink r:id="rId47" w:history="1">
        <w:r w:rsidRPr="00774952">
          <w:rPr>
            <w:rStyle w:val="Hyperlink"/>
            <w:rFonts w:ascii="Avenir Book" w:hAnsi="Avenir Book" w:cstheme="minorHAnsi"/>
            <w:sz w:val="16"/>
            <w:szCs w:val="16"/>
            <w:lang w:eastAsia="en-US"/>
          </w:rPr>
          <w:t>https://spcommreports.ohchr.org/TMResultsBase/DownLoadPublicCommunicationFile?gId=23020</w:t>
        </w:r>
      </w:hyperlink>
      <w:r w:rsidRPr="00774952">
        <w:rPr>
          <w:rFonts w:ascii="Avenir Book" w:hAnsi="Avenir Book" w:cstheme="minorHAnsi"/>
          <w:sz w:val="16"/>
          <w:szCs w:val="16"/>
          <w:lang w:eastAsia="en-US"/>
        </w:rPr>
        <w:t xml:space="preserve">  </w:t>
      </w:r>
    </w:p>
  </w:footnote>
  <w:footnote w:id="81">
    <w:p w14:paraId="27993E74" w14:textId="4B582BEB" w:rsidR="00640BE6" w:rsidRPr="00774952" w:rsidRDefault="00640BE6">
      <w:pPr>
        <w:pStyle w:val="FootnoteText"/>
        <w:rPr>
          <w:rFonts w:ascii="Avenir Book" w:hAnsi="Avenir Book"/>
          <w:sz w:val="16"/>
          <w:szCs w:val="16"/>
          <w:lang w:val="en-AU"/>
        </w:rPr>
      </w:pPr>
      <w:r w:rsidRPr="00774952">
        <w:rPr>
          <w:rStyle w:val="FootnoteReference"/>
          <w:rFonts w:ascii="Avenir Book" w:hAnsi="Avenir Book"/>
          <w:sz w:val="16"/>
          <w:szCs w:val="16"/>
        </w:rPr>
        <w:footnoteRef/>
      </w:r>
      <w:r w:rsidRPr="00774952">
        <w:rPr>
          <w:rFonts w:ascii="Avenir Book" w:hAnsi="Avenir Book"/>
          <w:sz w:val="16"/>
          <w:szCs w:val="16"/>
        </w:rPr>
        <w:t xml:space="preserve"> </w:t>
      </w:r>
      <w:r w:rsidRPr="00774952">
        <w:rPr>
          <w:rFonts w:ascii="Avenir Book" w:hAnsi="Avenir Book"/>
          <w:sz w:val="16"/>
          <w:szCs w:val="16"/>
          <w:lang w:val="en-AU"/>
        </w:rPr>
        <w:t xml:space="preserve">Royal Commission into Violence, Abuse, Neglect and Exploitation of People with Disability, </w:t>
      </w:r>
      <w:r w:rsidRPr="00774952">
        <w:rPr>
          <w:rFonts w:ascii="Avenir Book" w:hAnsi="Avenir Book"/>
          <w:i/>
          <w:sz w:val="16"/>
          <w:szCs w:val="16"/>
          <w:lang w:val="en-AU"/>
        </w:rPr>
        <w:t>Transcript of Proceedings, Townsville Hearing</w:t>
      </w:r>
      <w:r w:rsidRPr="00774952">
        <w:rPr>
          <w:rFonts w:ascii="Avenir Book" w:hAnsi="Avenir Book"/>
          <w:sz w:val="16"/>
          <w:szCs w:val="16"/>
          <w:lang w:val="en-AU"/>
        </w:rPr>
        <w:t xml:space="preserve">, 4 November 2019, story related by Ms. K. </w:t>
      </w:r>
      <w:r w:rsidRPr="00774952">
        <w:rPr>
          <w:rFonts w:ascii="Avenir Book" w:hAnsi="Avenir Book"/>
          <w:sz w:val="16"/>
          <w:szCs w:val="16"/>
          <w:lang w:val="en-AU"/>
        </w:rPr>
        <w:t xml:space="preserve">Mellifont QC, page 11. Available at: </w:t>
      </w:r>
      <w:hyperlink r:id="rId48" w:history="1">
        <w:r w:rsidRPr="00774952">
          <w:rPr>
            <w:rStyle w:val="Hyperlink"/>
            <w:rFonts w:ascii="Avenir Book" w:hAnsi="Avenir Book"/>
            <w:sz w:val="16"/>
            <w:szCs w:val="16"/>
            <w:lang w:val="en-AU"/>
          </w:rPr>
          <w:t>https://disability.royalcommission.gov.au/sites/default/files/2019-12/transcript-4-november-2019.pdf</w:t>
        </w:r>
      </w:hyperlink>
      <w:r w:rsidRPr="00774952">
        <w:rPr>
          <w:rFonts w:ascii="Avenir Book" w:hAnsi="Avenir Book"/>
          <w:sz w:val="16"/>
          <w:szCs w:val="16"/>
          <w:lang w:val="en-AU"/>
        </w:rPr>
        <w:t xml:space="preserve"> </w:t>
      </w:r>
    </w:p>
  </w:footnote>
  <w:footnote w:id="82">
    <w:p w14:paraId="181C084E" w14:textId="5F9A248B" w:rsidR="00640BE6" w:rsidRPr="00774952" w:rsidRDefault="00640BE6">
      <w:pPr>
        <w:pStyle w:val="FootnoteText"/>
        <w:rPr>
          <w:rFonts w:ascii="Avenir Book" w:hAnsi="Avenir Book"/>
          <w:sz w:val="16"/>
          <w:szCs w:val="16"/>
          <w:lang w:val="en-AU"/>
        </w:rPr>
      </w:pPr>
      <w:r w:rsidRPr="00774952">
        <w:rPr>
          <w:rStyle w:val="FootnoteReference"/>
          <w:rFonts w:ascii="Avenir Book" w:hAnsi="Avenir Book"/>
          <w:sz w:val="16"/>
          <w:szCs w:val="16"/>
        </w:rPr>
        <w:footnoteRef/>
      </w:r>
      <w:r w:rsidRPr="00774952">
        <w:rPr>
          <w:rFonts w:ascii="Avenir Book" w:hAnsi="Avenir Book"/>
          <w:sz w:val="16"/>
          <w:szCs w:val="16"/>
        </w:rPr>
        <w:t xml:space="preserve"> </w:t>
      </w:r>
      <w:r w:rsidRPr="00774952">
        <w:rPr>
          <w:rFonts w:ascii="Avenir Book" w:hAnsi="Avenir Book"/>
          <w:sz w:val="16"/>
          <w:szCs w:val="16"/>
          <w:lang w:val="en-AU"/>
        </w:rPr>
        <w:t xml:space="preserve">Committee on the Rights of Persons with Disabilities, </w:t>
      </w:r>
      <w:r w:rsidRPr="00774952">
        <w:rPr>
          <w:rFonts w:ascii="Avenir Book" w:hAnsi="Avenir Book"/>
          <w:i/>
          <w:sz w:val="16"/>
          <w:szCs w:val="16"/>
          <w:lang w:val="en-AU"/>
        </w:rPr>
        <w:t xml:space="preserve">General comment No. 4 (2016) </w:t>
      </w:r>
      <w:r w:rsidRPr="00774952">
        <w:rPr>
          <w:rFonts w:ascii="Avenir Book" w:hAnsi="Avenir Book"/>
          <w:sz w:val="16"/>
          <w:szCs w:val="16"/>
          <w:lang w:val="en-AU"/>
        </w:rPr>
        <w:t>op. cit., para 51.</w:t>
      </w:r>
    </w:p>
  </w:footnote>
  <w:footnote w:id="83">
    <w:p w14:paraId="01740928" w14:textId="3E2BEDAF" w:rsidR="00640BE6" w:rsidRPr="00774952" w:rsidRDefault="00640BE6">
      <w:pPr>
        <w:pStyle w:val="FootnoteText"/>
        <w:rPr>
          <w:rFonts w:ascii="Avenir Book" w:hAnsi="Avenir Book"/>
          <w:sz w:val="16"/>
          <w:szCs w:val="16"/>
          <w:lang w:val="en-AU"/>
        </w:rPr>
      </w:pPr>
      <w:r w:rsidRPr="00774952">
        <w:rPr>
          <w:rStyle w:val="FootnoteReference"/>
          <w:rFonts w:ascii="Avenir Book" w:hAnsi="Avenir Book"/>
          <w:sz w:val="16"/>
          <w:szCs w:val="16"/>
        </w:rPr>
        <w:footnoteRef/>
      </w:r>
      <w:r w:rsidRPr="00774952">
        <w:rPr>
          <w:rFonts w:ascii="Avenir Book" w:hAnsi="Avenir Book"/>
          <w:sz w:val="16"/>
          <w:szCs w:val="16"/>
        </w:rPr>
        <w:t xml:space="preserve"> </w:t>
      </w:r>
      <w:r w:rsidRPr="00774952">
        <w:rPr>
          <w:rFonts w:ascii="Avenir Book" w:hAnsi="Avenir Book"/>
          <w:sz w:val="16"/>
          <w:szCs w:val="16"/>
          <w:lang w:val="en-AU"/>
        </w:rPr>
        <w:t xml:space="preserve">Australian Human Rights Commission, </w:t>
      </w:r>
      <w:r w:rsidRPr="00774952">
        <w:rPr>
          <w:rFonts w:ascii="Avenir Book" w:hAnsi="Avenir Book"/>
          <w:i/>
          <w:sz w:val="16"/>
          <w:szCs w:val="16"/>
          <w:lang w:val="en-AU"/>
        </w:rPr>
        <w:t xml:space="preserve">Change the course: National report on sexual assault and sexual harassment in Australian universities, </w:t>
      </w:r>
      <w:r w:rsidRPr="00774952">
        <w:rPr>
          <w:rFonts w:ascii="Avenir Book" w:hAnsi="Avenir Book"/>
          <w:sz w:val="16"/>
          <w:szCs w:val="16"/>
          <w:lang w:val="en-AU"/>
        </w:rPr>
        <w:t xml:space="preserve">2017. Available at: </w:t>
      </w:r>
      <w:hyperlink r:id="rId49" w:history="1">
        <w:r w:rsidRPr="00774952">
          <w:rPr>
            <w:rStyle w:val="Hyperlink"/>
            <w:rFonts w:ascii="Avenir Book" w:hAnsi="Avenir Book"/>
            <w:sz w:val="16"/>
            <w:szCs w:val="16"/>
            <w:lang w:val="en-AU"/>
          </w:rPr>
          <w:t>https://www.humanrights.gov.au/our-work/sex-discrimination/publications/change-course-national-report-sexual-assault-and-sexual</w:t>
        </w:r>
      </w:hyperlink>
      <w:r w:rsidRPr="00774952">
        <w:rPr>
          <w:rFonts w:ascii="Avenir Book" w:hAnsi="Avenir Book"/>
          <w:sz w:val="16"/>
          <w:szCs w:val="16"/>
          <w:lang w:val="en-AU"/>
        </w:rPr>
        <w:t xml:space="preserve"> </w:t>
      </w:r>
    </w:p>
  </w:footnote>
  <w:footnote w:id="84">
    <w:p w14:paraId="73B53721" w14:textId="26C129C5" w:rsidR="00640BE6" w:rsidRPr="00774952" w:rsidRDefault="00640BE6">
      <w:pPr>
        <w:pStyle w:val="FootnoteText"/>
        <w:rPr>
          <w:rFonts w:ascii="Avenir Book" w:hAnsi="Avenir Book"/>
          <w:sz w:val="16"/>
          <w:szCs w:val="16"/>
          <w:lang w:val="en-AU"/>
        </w:rPr>
      </w:pPr>
      <w:r w:rsidRPr="00774952">
        <w:rPr>
          <w:rStyle w:val="FootnoteReference"/>
          <w:rFonts w:ascii="Avenir Book" w:hAnsi="Avenir Book"/>
          <w:sz w:val="16"/>
          <w:szCs w:val="16"/>
        </w:rPr>
        <w:footnoteRef/>
      </w:r>
      <w:r w:rsidRPr="00774952">
        <w:rPr>
          <w:rFonts w:ascii="Avenir Book" w:hAnsi="Avenir Book"/>
          <w:sz w:val="16"/>
          <w:szCs w:val="16"/>
        </w:rPr>
        <w:t xml:space="preserve"> </w:t>
      </w:r>
      <w:r w:rsidRPr="00774952">
        <w:rPr>
          <w:rFonts w:ascii="Avenir Book" w:hAnsi="Avenir Book"/>
          <w:sz w:val="16"/>
          <w:szCs w:val="16"/>
          <w:lang w:val="en-AU"/>
        </w:rPr>
        <w:t>Ibid, page 42</w:t>
      </w:r>
    </w:p>
  </w:footnote>
  <w:footnote w:id="85">
    <w:p w14:paraId="0F67FA6E" w14:textId="42D3D2EC" w:rsidR="00640BE6" w:rsidRPr="00774952" w:rsidRDefault="00640BE6">
      <w:pPr>
        <w:pStyle w:val="FootnoteText"/>
        <w:rPr>
          <w:rFonts w:ascii="Avenir Book" w:hAnsi="Avenir Book"/>
          <w:sz w:val="16"/>
          <w:szCs w:val="16"/>
          <w:lang w:val="en-AU"/>
        </w:rPr>
      </w:pPr>
      <w:r w:rsidRPr="00774952">
        <w:rPr>
          <w:rStyle w:val="FootnoteReference"/>
          <w:rFonts w:ascii="Avenir Book" w:hAnsi="Avenir Book"/>
          <w:sz w:val="16"/>
          <w:szCs w:val="16"/>
        </w:rPr>
        <w:footnoteRef/>
      </w:r>
      <w:r w:rsidRPr="00774952">
        <w:rPr>
          <w:rFonts w:ascii="Avenir Book" w:hAnsi="Avenir Book"/>
          <w:sz w:val="16"/>
          <w:szCs w:val="16"/>
        </w:rPr>
        <w:t xml:space="preserve"> </w:t>
      </w:r>
      <w:r w:rsidRPr="00774952">
        <w:rPr>
          <w:rFonts w:ascii="Avenir Book" w:hAnsi="Avenir Book"/>
          <w:sz w:val="16"/>
          <w:szCs w:val="16"/>
          <w:lang w:val="en-AU"/>
        </w:rPr>
        <w:t>Ibid, page 51</w:t>
      </w:r>
    </w:p>
  </w:footnote>
  <w:footnote w:id="86">
    <w:p w14:paraId="2EAB9777" w14:textId="6774068A" w:rsidR="00640BE6" w:rsidRPr="00D813CA" w:rsidRDefault="00640BE6">
      <w:pPr>
        <w:pStyle w:val="FootnoteText"/>
        <w:rPr>
          <w:rFonts w:ascii="Avenir Book" w:hAnsi="Avenir Book"/>
          <w:sz w:val="16"/>
          <w:szCs w:val="16"/>
          <w:lang w:val="en-AU"/>
        </w:rPr>
      </w:pPr>
      <w:r w:rsidRPr="00D813CA">
        <w:rPr>
          <w:rStyle w:val="FootnoteReference"/>
          <w:rFonts w:ascii="Avenir Book" w:hAnsi="Avenir Book"/>
          <w:sz w:val="16"/>
          <w:szCs w:val="16"/>
        </w:rPr>
        <w:footnoteRef/>
      </w:r>
      <w:r w:rsidRPr="00D813CA">
        <w:rPr>
          <w:rFonts w:ascii="Avenir Book" w:hAnsi="Avenir Book"/>
          <w:sz w:val="16"/>
          <w:szCs w:val="16"/>
        </w:rPr>
        <w:t xml:space="preserve"> </w:t>
      </w:r>
      <w:r w:rsidRPr="00D813CA">
        <w:rPr>
          <w:rFonts w:ascii="Avenir Book" w:hAnsi="Avenir Book"/>
          <w:sz w:val="16"/>
          <w:szCs w:val="16"/>
          <w:lang w:val="en-AU"/>
        </w:rPr>
        <w:t xml:space="preserve">Committee on the Rights of Persons with Disabilities, </w:t>
      </w:r>
      <w:r w:rsidRPr="00D813CA">
        <w:rPr>
          <w:rFonts w:ascii="Avenir Book" w:hAnsi="Avenir Book"/>
          <w:i/>
          <w:sz w:val="16"/>
          <w:szCs w:val="16"/>
          <w:lang w:val="en-AU"/>
        </w:rPr>
        <w:t xml:space="preserve">General comment No. 1 (2014) – Article 12: Equal recognition before the law, </w:t>
      </w:r>
      <w:r w:rsidRPr="00D813CA">
        <w:rPr>
          <w:rFonts w:ascii="Avenir Book" w:hAnsi="Avenir Book"/>
          <w:sz w:val="16"/>
          <w:szCs w:val="16"/>
          <w:lang w:val="en-AU"/>
        </w:rPr>
        <w:t xml:space="preserve">19 May 2014, UN Doc: CRPD/C/GC/1, para 16. Available at: </w:t>
      </w:r>
      <w:hyperlink r:id="rId50" w:history="1">
        <w:r w:rsidRPr="00D813CA">
          <w:rPr>
            <w:rStyle w:val="Hyperlink"/>
            <w:rFonts w:ascii="Avenir Book" w:hAnsi="Avenir Book"/>
            <w:sz w:val="16"/>
            <w:szCs w:val="16"/>
            <w:lang w:val="en-AU"/>
          </w:rPr>
          <w:t>https://www.ohchr.org/EN/HRBodies/CRPD/Pages/GC.aspx</w:t>
        </w:r>
      </w:hyperlink>
    </w:p>
  </w:footnote>
  <w:footnote w:id="87">
    <w:p w14:paraId="24D1BACF" w14:textId="24DC9C75" w:rsidR="00640BE6" w:rsidRPr="00D813CA" w:rsidRDefault="00640BE6">
      <w:pPr>
        <w:pStyle w:val="FootnoteText"/>
        <w:rPr>
          <w:rFonts w:ascii="Avenir Book" w:hAnsi="Avenir Book"/>
          <w:sz w:val="16"/>
          <w:szCs w:val="16"/>
          <w:lang w:val="en-AU"/>
        </w:rPr>
      </w:pPr>
      <w:r w:rsidRPr="00D813CA">
        <w:rPr>
          <w:rStyle w:val="FootnoteReference"/>
          <w:rFonts w:ascii="Avenir Book" w:hAnsi="Avenir Book"/>
          <w:sz w:val="16"/>
          <w:szCs w:val="16"/>
        </w:rPr>
        <w:footnoteRef/>
      </w:r>
      <w:r w:rsidRPr="00D813CA">
        <w:rPr>
          <w:rFonts w:ascii="Avenir Book" w:hAnsi="Avenir Book"/>
          <w:sz w:val="16"/>
          <w:szCs w:val="16"/>
        </w:rPr>
        <w:t xml:space="preserve"> </w:t>
      </w:r>
      <w:r w:rsidRPr="00D813CA">
        <w:rPr>
          <w:rFonts w:ascii="Avenir Book" w:hAnsi="Avenir Book"/>
          <w:sz w:val="16"/>
          <w:szCs w:val="16"/>
          <w:lang w:val="en-AU"/>
        </w:rPr>
        <w:t xml:space="preserve">Ibid, para 35; Committee on the Rights of Persons with Disabilities, </w:t>
      </w:r>
      <w:r w:rsidRPr="00D813CA">
        <w:rPr>
          <w:rFonts w:ascii="Avenir Book" w:hAnsi="Avenir Book"/>
          <w:i/>
          <w:sz w:val="16"/>
          <w:szCs w:val="16"/>
          <w:lang w:val="en-AU"/>
        </w:rPr>
        <w:t>General comment No.3 (2016) on women and girls with disabilities</w:t>
      </w:r>
      <w:r w:rsidRPr="00D813CA">
        <w:rPr>
          <w:rFonts w:ascii="Avenir Book" w:hAnsi="Avenir Book"/>
          <w:sz w:val="16"/>
          <w:szCs w:val="16"/>
          <w:lang w:val="en-AU"/>
        </w:rPr>
        <w:t>, op. cit., para 51</w:t>
      </w:r>
    </w:p>
  </w:footnote>
  <w:footnote w:id="88">
    <w:p w14:paraId="3F2A7AAA" w14:textId="66849B79" w:rsidR="00640BE6" w:rsidRPr="00D813CA" w:rsidRDefault="00640BE6">
      <w:pPr>
        <w:pStyle w:val="FootnoteText"/>
        <w:rPr>
          <w:rFonts w:ascii="Avenir Book" w:hAnsi="Avenir Book"/>
          <w:sz w:val="16"/>
          <w:szCs w:val="16"/>
          <w:lang w:val="en-AU"/>
        </w:rPr>
      </w:pPr>
      <w:r w:rsidRPr="00D813CA">
        <w:rPr>
          <w:rStyle w:val="FootnoteReference"/>
          <w:rFonts w:ascii="Avenir Book" w:hAnsi="Avenir Book"/>
          <w:sz w:val="16"/>
          <w:szCs w:val="16"/>
        </w:rPr>
        <w:footnoteRef/>
      </w:r>
      <w:r w:rsidRPr="00D813CA">
        <w:rPr>
          <w:rFonts w:ascii="Avenir Book" w:hAnsi="Avenir Book"/>
          <w:sz w:val="16"/>
          <w:szCs w:val="16"/>
        </w:rPr>
        <w:t xml:space="preserve"> </w:t>
      </w:r>
      <w:r w:rsidRPr="00D813CA">
        <w:rPr>
          <w:rFonts w:ascii="Avenir Book" w:hAnsi="Avenir Book"/>
          <w:sz w:val="16"/>
          <w:szCs w:val="16"/>
          <w:lang w:val="en-AU"/>
        </w:rPr>
        <w:t xml:space="preserve">Committee on the Rights of Persons with Disabilities, </w:t>
      </w:r>
      <w:r w:rsidRPr="00D813CA">
        <w:rPr>
          <w:rFonts w:ascii="Avenir Book" w:hAnsi="Avenir Book"/>
          <w:i/>
          <w:sz w:val="16"/>
          <w:szCs w:val="16"/>
          <w:lang w:val="en-AU"/>
        </w:rPr>
        <w:t>General comment No. 1 (2014) – Article 12: Equal recognition before the law</w:t>
      </w:r>
      <w:r w:rsidRPr="00D813CA">
        <w:rPr>
          <w:rFonts w:ascii="Avenir Book" w:hAnsi="Avenir Book"/>
          <w:sz w:val="16"/>
          <w:szCs w:val="16"/>
          <w:lang w:val="en-AU"/>
        </w:rPr>
        <w:t>, Ibid, para 31</w:t>
      </w:r>
    </w:p>
  </w:footnote>
  <w:footnote w:id="89">
    <w:p w14:paraId="23CBD494" w14:textId="367E5E23" w:rsidR="00640BE6" w:rsidRPr="00D813CA" w:rsidRDefault="00640BE6">
      <w:pPr>
        <w:pStyle w:val="FootnoteText"/>
        <w:rPr>
          <w:rFonts w:ascii="Avenir Book" w:hAnsi="Avenir Book"/>
          <w:sz w:val="16"/>
          <w:szCs w:val="16"/>
          <w:lang w:val="en-AU"/>
        </w:rPr>
      </w:pPr>
      <w:r w:rsidRPr="00D813CA">
        <w:rPr>
          <w:rStyle w:val="FootnoteReference"/>
          <w:rFonts w:ascii="Avenir Book" w:hAnsi="Avenir Book"/>
          <w:sz w:val="16"/>
          <w:szCs w:val="16"/>
        </w:rPr>
        <w:footnoteRef/>
      </w:r>
      <w:r w:rsidRPr="00D813CA">
        <w:rPr>
          <w:rFonts w:ascii="Avenir Book" w:hAnsi="Avenir Book"/>
          <w:sz w:val="16"/>
          <w:szCs w:val="16"/>
        </w:rPr>
        <w:t xml:space="preserve"> </w:t>
      </w:r>
      <w:r w:rsidRPr="00D813CA">
        <w:rPr>
          <w:rFonts w:ascii="Avenir Book" w:hAnsi="Avenir Book"/>
          <w:i/>
          <w:sz w:val="16"/>
          <w:szCs w:val="16"/>
        </w:rPr>
        <w:t>Convention on the Rights of Persons with Disabilities</w:t>
      </w:r>
      <w:r w:rsidRPr="00D813CA">
        <w:rPr>
          <w:rFonts w:ascii="Avenir Book" w:hAnsi="Avenir Book"/>
          <w:sz w:val="16"/>
          <w:szCs w:val="16"/>
        </w:rPr>
        <w:t xml:space="preserve">, [2008] ATS 12, article 3(h) </w:t>
      </w:r>
    </w:p>
  </w:footnote>
  <w:footnote w:id="90">
    <w:p w14:paraId="49E3D4F2" w14:textId="7FECE59D" w:rsidR="00640BE6" w:rsidRPr="00D813CA" w:rsidRDefault="00640BE6">
      <w:pPr>
        <w:pStyle w:val="FootnoteText"/>
        <w:rPr>
          <w:rFonts w:ascii="Avenir Book" w:hAnsi="Avenir Book"/>
          <w:sz w:val="16"/>
          <w:szCs w:val="16"/>
          <w:lang w:val="en-AU"/>
        </w:rPr>
      </w:pPr>
      <w:r w:rsidRPr="00D813CA">
        <w:rPr>
          <w:rStyle w:val="FootnoteReference"/>
          <w:rFonts w:ascii="Avenir Book" w:hAnsi="Avenir Book"/>
          <w:sz w:val="16"/>
          <w:szCs w:val="16"/>
        </w:rPr>
        <w:footnoteRef/>
      </w:r>
      <w:r w:rsidRPr="00D813CA">
        <w:rPr>
          <w:rFonts w:ascii="Avenir Book" w:hAnsi="Avenir Book"/>
          <w:sz w:val="16"/>
          <w:szCs w:val="16"/>
        </w:rPr>
        <w:t xml:space="preserve"> Ibid, article 7(3)</w:t>
      </w:r>
    </w:p>
  </w:footnote>
  <w:footnote w:id="91">
    <w:p w14:paraId="0BB4C78A" w14:textId="4D74F4A9" w:rsidR="00640BE6" w:rsidRPr="00D813CA" w:rsidRDefault="00640BE6">
      <w:pPr>
        <w:pStyle w:val="FootnoteText"/>
        <w:rPr>
          <w:rFonts w:ascii="Avenir Book" w:hAnsi="Avenir Book"/>
          <w:sz w:val="16"/>
          <w:szCs w:val="16"/>
          <w:lang w:val="en-AU"/>
        </w:rPr>
      </w:pPr>
      <w:r w:rsidRPr="00D813CA">
        <w:rPr>
          <w:rStyle w:val="FootnoteReference"/>
          <w:rFonts w:ascii="Avenir Book" w:hAnsi="Avenir Book"/>
          <w:sz w:val="16"/>
          <w:szCs w:val="16"/>
        </w:rPr>
        <w:footnoteRef/>
      </w:r>
      <w:r w:rsidRPr="00D813CA">
        <w:rPr>
          <w:rFonts w:ascii="Avenir Book" w:hAnsi="Avenir Book"/>
          <w:sz w:val="16"/>
          <w:szCs w:val="16"/>
        </w:rPr>
        <w:t xml:space="preserve"> </w:t>
      </w:r>
      <w:r w:rsidRPr="00D813CA">
        <w:rPr>
          <w:rFonts w:ascii="Avenir Book" w:hAnsi="Avenir Book"/>
          <w:sz w:val="16"/>
          <w:szCs w:val="16"/>
          <w:lang w:val="en-AU"/>
        </w:rPr>
        <w:t xml:space="preserve">Committee on the Rights of Persons with Disabilities, </w:t>
      </w:r>
      <w:r w:rsidRPr="00D813CA">
        <w:rPr>
          <w:rFonts w:ascii="Avenir Book" w:hAnsi="Avenir Book"/>
          <w:i/>
          <w:sz w:val="16"/>
          <w:szCs w:val="16"/>
          <w:lang w:val="en-AU"/>
        </w:rPr>
        <w:t xml:space="preserve">General comment No. 4 (2016) </w:t>
      </w:r>
      <w:r w:rsidRPr="00D813CA">
        <w:rPr>
          <w:rFonts w:ascii="Avenir Book" w:hAnsi="Avenir Book"/>
          <w:sz w:val="16"/>
          <w:szCs w:val="16"/>
          <w:lang w:val="en-AU"/>
        </w:rPr>
        <w:t>op. cit., para 50</w:t>
      </w:r>
    </w:p>
  </w:footnote>
  <w:footnote w:id="92">
    <w:p w14:paraId="2420F0D8" w14:textId="4219F054"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sz w:val="16"/>
          <w:szCs w:val="16"/>
          <w:lang w:val="en-AU"/>
        </w:rPr>
        <w:t>Ibid, para 51</w:t>
      </w:r>
    </w:p>
  </w:footnote>
  <w:footnote w:id="93">
    <w:p w14:paraId="750E231E" w14:textId="2797DCDF"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sz w:val="16"/>
          <w:szCs w:val="16"/>
          <w:lang w:val="en-AU"/>
        </w:rPr>
        <w:t xml:space="preserve">Our Watch, </w:t>
      </w:r>
      <w:r w:rsidRPr="001310B3">
        <w:rPr>
          <w:rFonts w:ascii="Avenir Book" w:hAnsi="Avenir Book"/>
          <w:i/>
          <w:sz w:val="16"/>
          <w:szCs w:val="16"/>
          <w:lang w:val="en-AU"/>
        </w:rPr>
        <w:t>Respectful Relationships Education in Schools: The Beginnings of Change, Final Evaluation Report</w:t>
      </w:r>
      <w:r w:rsidRPr="001310B3">
        <w:rPr>
          <w:rFonts w:ascii="Avenir Book" w:hAnsi="Avenir Book"/>
          <w:sz w:val="16"/>
          <w:szCs w:val="16"/>
          <w:lang w:val="en-AU"/>
        </w:rPr>
        <w:t xml:space="preserve">, February 2016, Our Watch. Available at: </w:t>
      </w:r>
      <w:hyperlink r:id="rId51" w:history="1">
        <w:r w:rsidRPr="001310B3">
          <w:rPr>
            <w:rStyle w:val="Hyperlink"/>
            <w:rFonts w:ascii="Avenir Book" w:hAnsi="Avenir Book"/>
            <w:sz w:val="16"/>
            <w:szCs w:val="16"/>
            <w:lang w:val="en-AU"/>
          </w:rPr>
          <w:t>https://www.ourwatch.org.au/getmedia/634efd9c-dd7d-4e66-ba2c-5dc4780cff2f/RREiS_R3_Final_AA.pdf.aspx</w:t>
        </w:r>
      </w:hyperlink>
      <w:r w:rsidRPr="001310B3">
        <w:rPr>
          <w:rFonts w:ascii="Avenir Book" w:hAnsi="Avenir Book"/>
          <w:sz w:val="16"/>
          <w:szCs w:val="16"/>
          <w:lang w:val="en-AU"/>
        </w:rPr>
        <w:t xml:space="preserve">; Amanda Keddie, Debbie </w:t>
      </w:r>
      <w:r w:rsidRPr="001310B3">
        <w:rPr>
          <w:rFonts w:ascii="Avenir Book" w:hAnsi="Avenir Book"/>
          <w:sz w:val="16"/>
          <w:szCs w:val="16"/>
          <w:lang w:val="en-AU"/>
        </w:rPr>
        <w:t xml:space="preserve">Ollis, ‘Let’s make it mandatory to teach respectful relationships in every Australian school’, </w:t>
      </w:r>
      <w:r w:rsidRPr="001310B3">
        <w:rPr>
          <w:rFonts w:ascii="Avenir Book" w:hAnsi="Avenir Book"/>
          <w:i/>
          <w:sz w:val="16"/>
          <w:szCs w:val="16"/>
          <w:lang w:val="en-AU"/>
        </w:rPr>
        <w:t>The Conversation</w:t>
      </w:r>
      <w:r w:rsidRPr="001310B3">
        <w:rPr>
          <w:rFonts w:ascii="Avenir Book" w:hAnsi="Avenir Book"/>
          <w:sz w:val="16"/>
          <w:szCs w:val="16"/>
          <w:lang w:val="en-AU"/>
        </w:rPr>
        <w:t xml:space="preserve">, 27 May 2019. Available at: </w:t>
      </w:r>
      <w:hyperlink r:id="rId52" w:history="1">
        <w:r w:rsidRPr="001310B3">
          <w:rPr>
            <w:rStyle w:val="Hyperlink"/>
            <w:rFonts w:ascii="Avenir Book" w:hAnsi="Avenir Book"/>
            <w:sz w:val="16"/>
            <w:szCs w:val="16"/>
            <w:lang w:val="en-AU"/>
          </w:rPr>
          <w:t>http://theconversation.com/lets-make-it-mandatory-to-teach-respectful-relationships-in-every-australian-school-117659</w:t>
        </w:r>
      </w:hyperlink>
      <w:r w:rsidRPr="001310B3">
        <w:rPr>
          <w:rFonts w:ascii="Avenir Book" w:hAnsi="Avenir Book"/>
          <w:sz w:val="16"/>
          <w:szCs w:val="16"/>
          <w:lang w:val="en-AU"/>
        </w:rPr>
        <w:t xml:space="preserve">; Department of Education, ‘Respectful Relationships: Teaching and Learning Package’, Tasmania Government, 2017.  Available at: </w:t>
      </w:r>
      <w:hyperlink r:id="rId53" w:history="1">
        <w:r w:rsidRPr="001310B3">
          <w:rPr>
            <w:rStyle w:val="Hyperlink"/>
            <w:rFonts w:ascii="Avenir Book" w:hAnsi="Avenir Book"/>
            <w:sz w:val="16"/>
            <w:szCs w:val="16"/>
            <w:lang w:val="en-AU"/>
          </w:rPr>
          <w:t>https://publicdocumentcentre.education.tas.gov.au/Documents/Respectful-Relationships-Teaching-Learning-Package-Mobile.pdf</w:t>
        </w:r>
      </w:hyperlink>
      <w:r w:rsidRPr="001310B3">
        <w:rPr>
          <w:rFonts w:ascii="Avenir Book" w:hAnsi="Avenir Book"/>
          <w:sz w:val="16"/>
          <w:szCs w:val="16"/>
          <w:lang w:val="en-AU"/>
        </w:rPr>
        <w:t xml:space="preserve">  </w:t>
      </w:r>
    </w:p>
  </w:footnote>
  <w:footnote w:id="94">
    <w:p w14:paraId="15B36C8F" w14:textId="4F6B4F40"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cstheme="minorHAnsi"/>
          <w:sz w:val="16"/>
          <w:szCs w:val="16"/>
        </w:rPr>
        <w:t>Disabled People’s Organisations Australia and the National Women’s Alliances, op. cit., page 13</w:t>
      </w:r>
    </w:p>
  </w:footnote>
  <w:footnote w:id="95">
    <w:p w14:paraId="7A8AA6BD" w14:textId="73777FDB"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sz w:val="16"/>
          <w:szCs w:val="16"/>
          <w:lang w:val="en-AU"/>
        </w:rPr>
        <w:t>Ibid</w:t>
      </w:r>
    </w:p>
  </w:footnote>
  <w:footnote w:id="96">
    <w:p w14:paraId="622BD46A" w14:textId="4097372E"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sz w:val="16"/>
          <w:szCs w:val="16"/>
          <w:lang w:val="en-AU"/>
        </w:rPr>
        <w:t xml:space="preserve">Committee on the Rights of Persons with Disabilities, </w:t>
      </w:r>
      <w:r w:rsidRPr="001310B3">
        <w:rPr>
          <w:rFonts w:ascii="Avenir Book" w:hAnsi="Avenir Book"/>
          <w:i/>
          <w:sz w:val="16"/>
          <w:szCs w:val="16"/>
          <w:lang w:val="en-AU"/>
        </w:rPr>
        <w:t>General comment No.3 (2016) on women and girls with disabilities</w:t>
      </w:r>
      <w:r w:rsidRPr="001310B3">
        <w:rPr>
          <w:rFonts w:ascii="Avenir Book" w:hAnsi="Avenir Book"/>
          <w:sz w:val="16"/>
          <w:szCs w:val="16"/>
          <w:lang w:val="en-AU"/>
        </w:rPr>
        <w:t>, op. cit., para 56</w:t>
      </w:r>
    </w:p>
  </w:footnote>
  <w:footnote w:id="97">
    <w:p w14:paraId="58041F2C" w14:textId="7A1C2282"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sz w:val="16"/>
          <w:szCs w:val="16"/>
          <w:lang w:val="en-AU"/>
        </w:rPr>
        <w:t xml:space="preserve">See e.g., People with Disability Australia, ‘Sexuality and Respectful Relationships’ training programs, </w:t>
      </w:r>
      <w:hyperlink r:id="rId54" w:history="1">
        <w:r w:rsidRPr="001310B3">
          <w:rPr>
            <w:rStyle w:val="Hyperlink"/>
            <w:rFonts w:ascii="Avenir Book" w:hAnsi="Avenir Book"/>
            <w:sz w:val="16"/>
            <w:szCs w:val="16"/>
            <w:lang w:val="en-AU"/>
          </w:rPr>
          <w:t>https://pwd.org.au/services/training/sexuality-and-respectful-relationships/</w:t>
        </w:r>
      </w:hyperlink>
      <w:r w:rsidRPr="001310B3">
        <w:rPr>
          <w:rFonts w:ascii="Avenir Book" w:hAnsi="Avenir Book"/>
          <w:sz w:val="16"/>
          <w:szCs w:val="16"/>
          <w:lang w:val="en-AU"/>
        </w:rPr>
        <w:t xml:space="preserve">; Deakin University, ‘Sexual Lives &amp; Respectful Relationships’, </w:t>
      </w:r>
      <w:hyperlink r:id="rId55" w:history="1">
        <w:r w:rsidRPr="001310B3">
          <w:rPr>
            <w:rStyle w:val="Hyperlink"/>
            <w:rFonts w:ascii="Avenir Book" w:hAnsi="Avenir Book"/>
            <w:sz w:val="16"/>
            <w:szCs w:val="16"/>
            <w:lang w:val="en-AU"/>
          </w:rPr>
          <w:t>https://www.slrr.com.au</w:t>
        </w:r>
      </w:hyperlink>
      <w:r w:rsidRPr="001310B3">
        <w:rPr>
          <w:rFonts w:ascii="Avenir Book" w:hAnsi="Avenir Book"/>
          <w:sz w:val="16"/>
          <w:szCs w:val="16"/>
          <w:lang w:val="en-AU"/>
        </w:rPr>
        <w:t xml:space="preserve">   </w:t>
      </w:r>
    </w:p>
  </w:footnote>
  <w:footnote w:id="98">
    <w:p w14:paraId="2B02E0DA" w14:textId="1A108246" w:rsidR="00640BE6" w:rsidRPr="001310B3" w:rsidRDefault="00640BE6">
      <w:pPr>
        <w:pStyle w:val="FootnoteText"/>
        <w:rPr>
          <w:rFonts w:ascii="Avenir Book" w:hAnsi="Avenir Book"/>
          <w:sz w:val="16"/>
          <w:szCs w:val="16"/>
          <w:lang w:val="en-AU"/>
        </w:rPr>
      </w:pPr>
      <w:r w:rsidRPr="001310B3">
        <w:rPr>
          <w:rStyle w:val="FootnoteReference"/>
          <w:rFonts w:ascii="Avenir Book" w:hAnsi="Avenir Book"/>
          <w:sz w:val="16"/>
          <w:szCs w:val="16"/>
        </w:rPr>
        <w:footnoteRef/>
      </w:r>
      <w:r w:rsidRPr="001310B3">
        <w:rPr>
          <w:rFonts w:ascii="Avenir Book" w:hAnsi="Avenir Book"/>
          <w:sz w:val="16"/>
          <w:szCs w:val="16"/>
        </w:rPr>
        <w:t xml:space="preserve"> </w:t>
      </w:r>
      <w:r w:rsidRPr="001310B3">
        <w:rPr>
          <w:rFonts w:ascii="Avenir Book" w:hAnsi="Avenir Book"/>
          <w:sz w:val="16"/>
          <w:szCs w:val="16"/>
          <w:lang w:val="en-AU"/>
        </w:rPr>
        <w:t xml:space="preserve">Committee on the Rights of Persons with Disabilities, </w:t>
      </w:r>
      <w:r w:rsidRPr="001310B3">
        <w:rPr>
          <w:rFonts w:ascii="Avenir Book" w:hAnsi="Avenir Book"/>
          <w:i/>
          <w:sz w:val="16"/>
          <w:szCs w:val="16"/>
          <w:lang w:val="en-AU"/>
        </w:rPr>
        <w:t xml:space="preserve">General comment No. 4 (2016) </w:t>
      </w:r>
      <w:r w:rsidRPr="001310B3">
        <w:rPr>
          <w:rFonts w:ascii="Avenir Book" w:hAnsi="Avenir Book"/>
          <w:sz w:val="16"/>
          <w:szCs w:val="16"/>
          <w:lang w:val="en-AU"/>
        </w:rPr>
        <w:t>op. cit., para 12(e)</w:t>
      </w:r>
    </w:p>
  </w:footnote>
  <w:footnote w:id="99">
    <w:p w14:paraId="61CE3D77" w14:textId="518C3C38" w:rsidR="00640BE6" w:rsidRPr="004F1353" w:rsidRDefault="00640BE6" w:rsidP="00531053">
      <w:pPr>
        <w:pStyle w:val="EndnoteText"/>
        <w:rPr>
          <w:rFonts w:ascii="Avenir Book" w:hAnsi="Avenir Book" w:cstheme="minorHAnsi"/>
          <w:sz w:val="16"/>
          <w:szCs w:val="16"/>
        </w:rPr>
      </w:pPr>
      <w:r w:rsidRPr="004F1353">
        <w:rPr>
          <w:rStyle w:val="FootnoteReference"/>
          <w:rFonts w:ascii="Avenir Book" w:hAnsi="Avenir Book" w:cstheme="minorHAnsi"/>
          <w:sz w:val="16"/>
          <w:szCs w:val="16"/>
        </w:rPr>
        <w:footnoteRef/>
      </w:r>
      <w:r w:rsidRPr="004F1353">
        <w:rPr>
          <w:rFonts w:ascii="Avenir Book" w:hAnsi="Avenir Book" w:cstheme="minorHAnsi"/>
          <w:sz w:val="16"/>
          <w:szCs w:val="16"/>
        </w:rPr>
        <w:t xml:space="preserve"> Committee on the Rights of Persons with Disabilities (2019) </w:t>
      </w:r>
      <w:hyperlink r:id="rId56" w:history="1">
        <w:r w:rsidRPr="004F1353">
          <w:rPr>
            <w:rStyle w:val="Hyperlink"/>
            <w:rFonts w:ascii="Avenir Book" w:hAnsi="Avenir Book" w:cstheme="minorHAnsi"/>
            <w:sz w:val="16"/>
            <w:szCs w:val="16"/>
          </w:rPr>
          <w:t>Concluding observations on the combined second and third periodic reports of Australia</w:t>
        </w:r>
      </w:hyperlink>
      <w:r w:rsidRPr="004F1353">
        <w:rPr>
          <w:rFonts w:ascii="Avenir Book" w:hAnsi="Avenir Book" w:cstheme="minorHAnsi"/>
          <w:sz w:val="16"/>
          <w:szCs w:val="16"/>
        </w:rPr>
        <w:t>, adopted by the Committee at its 511</w:t>
      </w:r>
      <w:r w:rsidRPr="004F1353">
        <w:rPr>
          <w:rFonts w:ascii="Avenir Book" w:hAnsi="Avenir Book" w:cstheme="minorHAnsi"/>
          <w:sz w:val="16"/>
          <w:szCs w:val="16"/>
          <w:vertAlign w:val="superscript"/>
        </w:rPr>
        <w:t>th</w:t>
      </w:r>
      <w:r w:rsidRPr="004F1353">
        <w:rPr>
          <w:rFonts w:ascii="Avenir Book" w:hAnsi="Avenir Book" w:cstheme="minorHAnsi"/>
          <w:sz w:val="16"/>
          <w:szCs w:val="16"/>
        </w:rPr>
        <w:t xml:space="preserve"> meeting (20 September 2019) of the 22</w:t>
      </w:r>
      <w:r w:rsidRPr="004F1353">
        <w:rPr>
          <w:rFonts w:ascii="Avenir Book" w:hAnsi="Avenir Book" w:cstheme="minorHAnsi"/>
          <w:sz w:val="16"/>
          <w:szCs w:val="16"/>
          <w:vertAlign w:val="superscript"/>
        </w:rPr>
        <w:t>nd</w:t>
      </w:r>
      <w:r w:rsidRPr="004F1353">
        <w:rPr>
          <w:rFonts w:ascii="Avenir Book" w:hAnsi="Avenir Book" w:cstheme="minorHAnsi"/>
          <w:sz w:val="16"/>
          <w:szCs w:val="16"/>
        </w:rPr>
        <w:t xml:space="preserve"> session; UN Doc. CRPD/C/AUS/CO/2-3.</w:t>
      </w:r>
    </w:p>
  </w:footnote>
  <w:footnote w:id="100">
    <w:p w14:paraId="0F21D3D5" w14:textId="7FF76936" w:rsidR="00640BE6" w:rsidRPr="004F1353" w:rsidRDefault="00640BE6" w:rsidP="00531053">
      <w:pPr>
        <w:pStyle w:val="FootnoteText"/>
        <w:rPr>
          <w:rFonts w:ascii="Avenir Book" w:hAnsi="Avenir Book" w:cstheme="minorHAnsi"/>
          <w:sz w:val="16"/>
          <w:szCs w:val="16"/>
          <w:lang w:val="en-AU"/>
        </w:rPr>
      </w:pPr>
      <w:r w:rsidRPr="004F1353">
        <w:rPr>
          <w:rStyle w:val="FootnoteReference"/>
          <w:rFonts w:ascii="Avenir Book" w:hAnsi="Avenir Book" w:cstheme="minorHAnsi"/>
          <w:sz w:val="16"/>
          <w:szCs w:val="16"/>
        </w:rPr>
        <w:footnoteRef/>
      </w:r>
      <w:r w:rsidRPr="004F1353">
        <w:rPr>
          <w:rFonts w:ascii="Avenir Book" w:hAnsi="Avenir Book" w:cstheme="minorHAnsi"/>
          <w:sz w:val="16"/>
          <w:szCs w:val="16"/>
        </w:rPr>
        <w:t xml:space="preserve"> Committee on the Elimination of Discrimination against Women </w:t>
      </w:r>
      <w:hyperlink r:id="rId57" w:history="1">
        <w:r w:rsidRPr="004F1353">
          <w:rPr>
            <w:rStyle w:val="Hyperlink"/>
            <w:rFonts w:ascii="Avenir Book" w:hAnsi="Avenir Book" w:cstheme="minorHAnsi"/>
            <w:sz w:val="16"/>
            <w:szCs w:val="16"/>
          </w:rPr>
          <w:t>Concluding observations on the eighth periodic report of Australia</w:t>
        </w:r>
      </w:hyperlink>
      <w:r w:rsidRPr="004F1353">
        <w:rPr>
          <w:rFonts w:ascii="Avenir Book" w:hAnsi="Avenir Book" w:cstheme="minorHAnsi"/>
          <w:sz w:val="16"/>
          <w:szCs w:val="16"/>
        </w:rPr>
        <w:t>, 25 July 2018, UN Doc. CEDAW/C/AUS/CO/8</w:t>
      </w:r>
    </w:p>
  </w:footnote>
  <w:footnote w:id="101">
    <w:p w14:paraId="7FC1E04C" w14:textId="7EC04B5D" w:rsidR="00640BE6" w:rsidRPr="00C87712" w:rsidRDefault="00640BE6">
      <w:pPr>
        <w:pStyle w:val="FootnoteText"/>
        <w:rPr>
          <w:rFonts w:ascii="Avenir Book" w:hAnsi="Avenir Book" w:cstheme="minorHAnsi"/>
          <w:sz w:val="16"/>
          <w:szCs w:val="16"/>
          <w:lang w:val="en-AU"/>
        </w:rPr>
      </w:pPr>
      <w:r w:rsidRPr="00C87712">
        <w:rPr>
          <w:rStyle w:val="FootnoteReference"/>
          <w:rFonts w:ascii="Avenir Book" w:hAnsi="Avenir Book" w:cstheme="minorHAnsi"/>
          <w:sz w:val="16"/>
          <w:szCs w:val="16"/>
        </w:rPr>
        <w:footnoteRef/>
      </w:r>
      <w:r w:rsidRPr="00C87712">
        <w:rPr>
          <w:rFonts w:ascii="Avenir Book" w:hAnsi="Avenir Book" w:cstheme="minorHAnsi"/>
          <w:sz w:val="16"/>
          <w:szCs w:val="16"/>
        </w:rPr>
        <w:t xml:space="preserve"> Committee on the Rights of the Child, Consideration of reports submitted by States parties under article 44 of the Convention, </w:t>
      </w:r>
      <w:hyperlink r:id="rId58" w:history="1">
        <w:r w:rsidRPr="00C87712">
          <w:rPr>
            <w:rStyle w:val="Hyperlink"/>
            <w:rFonts w:ascii="Avenir Book" w:hAnsi="Avenir Book" w:cstheme="minorHAnsi"/>
            <w:sz w:val="16"/>
            <w:szCs w:val="16"/>
          </w:rPr>
          <w:t>Concluding observations: Australia</w:t>
        </w:r>
      </w:hyperlink>
      <w:r w:rsidRPr="00C87712">
        <w:rPr>
          <w:rFonts w:ascii="Avenir Book" w:hAnsi="Avenir Book" w:cstheme="minorHAnsi"/>
          <w:sz w:val="16"/>
          <w:szCs w:val="16"/>
        </w:rPr>
        <w:t>, 1 November 2019, UN Doc. CRC/C/AUS/CO/5-6.</w:t>
      </w:r>
    </w:p>
  </w:footnote>
  <w:footnote w:id="102">
    <w:p w14:paraId="7A4AF858" w14:textId="50FF33F4" w:rsidR="00640BE6" w:rsidRPr="00C87712" w:rsidRDefault="00640BE6" w:rsidP="00C13387">
      <w:pPr>
        <w:pStyle w:val="EndnoteText"/>
        <w:rPr>
          <w:rFonts w:ascii="Avenir Book" w:hAnsi="Avenir Book" w:cstheme="minorHAnsi"/>
          <w:sz w:val="16"/>
          <w:szCs w:val="16"/>
        </w:rPr>
      </w:pPr>
      <w:r w:rsidRPr="00C87712">
        <w:rPr>
          <w:rStyle w:val="FootnoteReference"/>
          <w:rFonts w:ascii="Avenir Book" w:hAnsi="Avenir Book" w:cstheme="minorHAnsi"/>
          <w:sz w:val="16"/>
          <w:szCs w:val="16"/>
        </w:rPr>
        <w:footnoteRef/>
      </w:r>
      <w:r w:rsidRPr="00C87712">
        <w:rPr>
          <w:rFonts w:ascii="Avenir Book" w:hAnsi="Avenir Book" w:cstheme="minorHAnsi"/>
          <w:sz w:val="16"/>
          <w:szCs w:val="16"/>
        </w:rPr>
        <w:t xml:space="preserve"> Committee on Economic, Social and Cultural Rights (2017) </w:t>
      </w:r>
      <w:hyperlink r:id="rId59" w:history="1">
        <w:r w:rsidRPr="00C87712">
          <w:rPr>
            <w:rStyle w:val="Hyperlink"/>
            <w:rFonts w:ascii="Avenir Book" w:hAnsi="Avenir Book" w:cstheme="minorHAnsi"/>
            <w:sz w:val="16"/>
            <w:szCs w:val="16"/>
          </w:rPr>
          <w:t>Concluding observations on the fifth periodic report of Australia</w:t>
        </w:r>
      </w:hyperlink>
      <w:r w:rsidRPr="00C87712">
        <w:rPr>
          <w:rFonts w:ascii="Avenir Book" w:hAnsi="Avenir Book" w:cstheme="minorHAnsi"/>
          <w:sz w:val="16"/>
          <w:szCs w:val="16"/>
        </w:rPr>
        <w:t>; 11 July 2017; UN Doc. E/C.12/AUS/CO/5.</w:t>
      </w:r>
    </w:p>
  </w:footnote>
  <w:footnote w:id="103">
    <w:p w14:paraId="689B9970" w14:textId="68FCD57F" w:rsidR="00640BE6" w:rsidRPr="00C87712" w:rsidRDefault="00640BE6">
      <w:pPr>
        <w:pStyle w:val="FootnoteText"/>
        <w:rPr>
          <w:rFonts w:ascii="Avenir Book" w:hAnsi="Avenir Book" w:cstheme="minorHAnsi"/>
          <w:sz w:val="16"/>
          <w:szCs w:val="16"/>
          <w:lang w:val="en-AU"/>
        </w:rPr>
      </w:pPr>
      <w:r w:rsidRPr="00C87712">
        <w:rPr>
          <w:rStyle w:val="FootnoteReference"/>
          <w:rFonts w:ascii="Avenir Book" w:hAnsi="Avenir Book" w:cstheme="minorHAnsi"/>
          <w:sz w:val="16"/>
          <w:szCs w:val="16"/>
        </w:rPr>
        <w:footnoteRef/>
      </w:r>
      <w:r w:rsidRPr="00C87712">
        <w:rPr>
          <w:rFonts w:ascii="Avenir Book" w:hAnsi="Avenir Book" w:cstheme="minorHAnsi"/>
          <w:sz w:val="16"/>
          <w:szCs w:val="16"/>
        </w:rPr>
        <w:t xml:space="preserve"> Human Rights Committee, International Covenant on Civil and Political Rights, </w:t>
      </w:r>
      <w:hyperlink r:id="rId60" w:history="1">
        <w:r w:rsidRPr="00C87712">
          <w:rPr>
            <w:rStyle w:val="Hyperlink"/>
            <w:rFonts w:ascii="Avenir Book" w:hAnsi="Avenir Book" w:cstheme="minorHAnsi"/>
            <w:sz w:val="16"/>
            <w:szCs w:val="16"/>
          </w:rPr>
          <w:t>Concluding observations on the sixth periodic report of Australia</w:t>
        </w:r>
      </w:hyperlink>
      <w:r w:rsidRPr="00C87712">
        <w:rPr>
          <w:rFonts w:ascii="Avenir Book" w:hAnsi="Avenir Book" w:cstheme="minorHAnsi"/>
          <w:sz w:val="16"/>
          <w:szCs w:val="16"/>
        </w:rPr>
        <w:t>; 1 December 2017, UN Doc CCPR/C/AUS/CO/6</w:t>
      </w:r>
    </w:p>
  </w:footnote>
  <w:footnote w:id="104">
    <w:p w14:paraId="6EE6EF75" w14:textId="265EAAC5" w:rsidR="00640BE6" w:rsidRPr="000319BA" w:rsidRDefault="00640BE6">
      <w:pPr>
        <w:pStyle w:val="FootnoteText"/>
        <w:rPr>
          <w:rFonts w:ascii="Avenir Book" w:hAnsi="Avenir Book"/>
          <w:sz w:val="16"/>
          <w:szCs w:val="16"/>
          <w:lang w:val="en-AU"/>
        </w:rPr>
      </w:pPr>
      <w:r w:rsidRPr="000319BA">
        <w:rPr>
          <w:rStyle w:val="FootnoteReference"/>
          <w:rFonts w:ascii="Avenir Book" w:hAnsi="Avenir Book" w:cstheme="minorHAnsi"/>
          <w:sz w:val="16"/>
          <w:szCs w:val="16"/>
        </w:rPr>
        <w:footnoteRef/>
      </w:r>
      <w:r w:rsidRPr="000319BA">
        <w:rPr>
          <w:rFonts w:ascii="Avenir Book" w:hAnsi="Avenir Book" w:cstheme="minorHAnsi"/>
          <w:sz w:val="16"/>
          <w:szCs w:val="16"/>
        </w:rPr>
        <w:t xml:space="preserve"> Committee against Torture, </w:t>
      </w:r>
      <w:hyperlink r:id="rId61" w:history="1">
        <w:r w:rsidRPr="000319BA">
          <w:rPr>
            <w:rStyle w:val="Hyperlink"/>
            <w:rFonts w:ascii="Avenir Book" w:hAnsi="Avenir Book" w:cstheme="minorHAnsi"/>
            <w:sz w:val="16"/>
            <w:szCs w:val="16"/>
          </w:rPr>
          <w:t>Concluding observations on the combined fourth and fifth periodic reports of Australia</w:t>
        </w:r>
      </w:hyperlink>
      <w:r w:rsidRPr="000319BA">
        <w:rPr>
          <w:rFonts w:ascii="Avenir Book" w:hAnsi="Avenir Book" w:cstheme="minorHAnsi"/>
          <w:sz w:val="16"/>
          <w:szCs w:val="16"/>
        </w:rPr>
        <w:t>; 23 December 2014; UN Doc. CAT/C/AUS/CO/4-5.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070"/>
    <w:multiLevelType w:val="multilevel"/>
    <w:tmpl w:val="C7164C86"/>
    <w:lvl w:ilvl="0">
      <w:start w:val="2"/>
      <w:numFmt w:val="decimal"/>
      <w:lvlText w:val="%1"/>
      <w:lvlJc w:val="left"/>
      <w:pPr>
        <w:ind w:left="360" w:hanging="360"/>
      </w:pPr>
      <w:rPr>
        <w:rFonts w:cstheme="minorBidi" w:hint="default"/>
      </w:rPr>
    </w:lvl>
    <w:lvl w:ilvl="1">
      <w:start w:val="1"/>
      <w:numFmt w:val="decimal"/>
      <w:lvlText w:val="%1.%2"/>
      <w:lvlJc w:val="left"/>
      <w:pPr>
        <w:ind w:left="1353" w:hanging="360"/>
      </w:pPr>
      <w:rPr>
        <w:rFonts w:cstheme="minorBidi" w:hint="default"/>
      </w:rPr>
    </w:lvl>
    <w:lvl w:ilvl="2">
      <w:start w:val="1"/>
      <w:numFmt w:val="decimal"/>
      <w:lvlText w:val="%1.%2.%3"/>
      <w:lvlJc w:val="left"/>
      <w:pPr>
        <w:ind w:left="2706" w:hanging="720"/>
      </w:pPr>
      <w:rPr>
        <w:rFonts w:cstheme="minorBidi" w:hint="default"/>
      </w:rPr>
    </w:lvl>
    <w:lvl w:ilvl="3">
      <w:start w:val="1"/>
      <w:numFmt w:val="decimal"/>
      <w:lvlText w:val="%1.%2.%3.%4"/>
      <w:lvlJc w:val="left"/>
      <w:pPr>
        <w:ind w:left="3699" w:hanging="720"/>
      </w:pPr>
      <w:rPr>
        <w:rFonts w:cstheme="minorBidi" w:hint="default"/>
      </w:rPr>
    </w:lvl>
    <w:lvl w:ilvl="4">
      <w:start w:val="1"/>
      <w:numFmt w:val="decimal"/>
      <w:lvlText w:val="%1.%2.%3.%4.%5"/>
      <w:lvlJc w:val="left"/>
      <w:pPr>
        <w:ind w:left="5052" w:hanging="1080"/>
      </w:pPr>
      <w:rPr>
        <w:rFonts w:cstheme="minorBidi" w:hint="default"/>
      </w:rPr>
    </w:lvl>
    <w:lvl w:ilvl="5">
      <w:start w:val="1"/>
      <w:numFmt w:val="decimal"/>
      <w:lvlText w:val="%1.%2.%3.%4.%5.%6"/>
      <w:lvlJc w:val="left"/>
      <w:pPr>
        <w:ind w:left="6045" w:hanging="1080"/>
      </w:pPr>
      <w:rPr>
        <w:rFonts w:cstheme="minorBidi" w:hint="default"/>
      </w:rPr>
    </w:lvl>
    <w:lvl w:ilvl="6">
      <w:start w:val="1"/>
      <w:numFmt w:val="decimal"/>
      <w:lvlText w:val="%1.%2.%3.%4.%5.%6.%7"/>
      <w:lvlJc w:val="left"/>
      <w:pPr>
        <w:ind w:left="7398" w:hanging="1440"/>
      </w:pPr>
      <w:rPr>
        <w:rFonts w:cstheme="minorBidi" w:hint="default"/>
      </w:rPr>
    </w:lvl>
    <w:lvl w:ilvl="7">
      <w:start w:val="1"/>
      <w:numFmt w:val="decimal"/>
      <w:lvlText w:val="%1.%2.%3.%4.%5.%6.%7.%8"/>
      <w:lvlJc w:val="left"/>
      <w:pPr>
        <w:ind w:left="8391" w:hanging="1440"/>
      </w:pPr>
      <w:rPr>
        <w:rFonts w:cstheme="minorBidi" w:hint="default"/>
      </w:rPr>
    </w:lvl>
    <w:lvl w:ilvl="8">
      <w:start w:val="1"/>
      <w:numFmt w:val="decimal"/>
      <w:lvlText w:val="%1.%2.%3.%4.%5.%6.%7.%8.%9"/>
      <w:lvlJc w:val="left"/>
      <w:pPr>
        <w:ind w:left="9744" w:hanging="1800"/>
      </w:pPr>
      <w:rPr>
        <w:rFonts w:cstheme="minorBidi" w:hint="default"/>
      </w:rPr>
    </w:lvl>
  </w:abstractNum>
  <w:abstractNum w:abstractNumId="1" w15:restartNumberingAfterBreak="0">
    <w:nsid w:val="00C54454"/>
    <w:multiLevelType w:val="multilevel"/>
    <w:tmpl w:val="19CE36E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5820F1E"/>
    <w:multiLevelType w:val="multilevel"/>
    <w:tmpl w:val="3AF88A9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F1980"/>
    <w:multiLevelType w:val="hybridMultilevel"/>
    <w:tmpl w:val="12DA7AEC"/>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66C11E6"/>
    <w:multiLevelType w:val="hybridMultilevel"/>
    <w:tmpl w:val="A29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F2409"/>
    <w:multiLevelType w:val="multilevel"/>
    <w:tmpl w:val="3ABE15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F7AF7"/>
    <w:multiLevelType w:val="hybridMultilevel"/>
    <w:tmpl w:val="4ACC0AE2"/>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7" w15:restartNumberingAfterBreak="0">
    <w:nsid w:val="0FFC61C0"/>
    <w:multiLevelType w:val="hybridMultilevel"/>
    <w:tmpl w:val="BC4670E2"/>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214"/>
    <w:multiLevelType w:val="multilevel"/>
    <w:tmpl w:val="B9D46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95A6B"/>
    <w:multiLevelType w:val="multilevel"/>
    <w:tmpl w:val="2EA003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1" w15:restartNumberingAfterBreak="0">
    <w:nsid w:val="1D807610"/>
    <w:multiLevelType w:val="hybridMultilevel"/>
    <w:tmpl w:val="3250B0EA"/>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1E5A1458"/>
    <w:multiLevelType w:val="hybridMultilevel"/>
    <w:tmpl w:val="6468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26A3D"/>
    <w:multiLevelType w:val="hybridMultilevel"/>
    <w:tmpl w:val="1072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736EE"/>
    <w:multiLevelType w:val="hybridMultilevel"/>
    <w:tmpl w:val="E7BA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61F11"/>
    <w:multiLevelType w:val="hybridMultilevel"/>
    <w:tmpl w:val="1C962568"/>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16" w15:restartNumberingAfterBreak="0">
    <w:nsid w:val="2ACF7EB0"/>
    <w:multiLevelType w:val="multilevel"/>
    <w:tmpl w:val="FC169D8C"/>
    <w:lvl w:ilvl="0">
      <w:start w:val="8"/>
      <w:numFmt w:val="decimal"/>
      <w:lvlText w:val="%1"/>
      <w:lvlJc w:val="left"/>
      <w:pPr>
        <w:ind w:left="360" w:hanging="360"/>
      </w:pPr>
      <w:rPr>
        <w:rFonts w:hint="default"/>
        <w:color w:val="191619"/>
      </w:rPr>
    </w:lvl>
    <w:lvl w:ilvl="1">
      <w:start w:val="1"/>
      <w:numFmt w:val="decimal"/>
      <w:lvlText w:val="%1.%2"/>
      <w:lvlJc w:val="left"/>
      <w:pPr>
        <w:ind w:left="360" w:hanging="360"/>
      </w:pPr>
      <w:rPr>
        <w:rFonts w:hint="default"/>
        <w:color w:val="191619"/>
      </w:rPr>
    </w:lvl>
    <w:lvl w:ilvl="2">
      <w:start w:val="1"/>
      <w:numFmt w:val="decimal"/>
      <w:lvlText w:val="%1.%2.%3"/>
      <w:lvlJc w:val="left"/>
      <w:pPr>
        <w:ind w:left="720" w:hanging="720"/>
      </w:pPr>
      <w:rPr>
        <w:rFonts w:hint="default"/>
        <w:color w:val="191619"/>
      </w:rPr>
    </w:lvl>
    <w:lvl w:ilvl="3">
      <w:start w:val="1"/>
      <w:numFmt w:val="decimal"/>
      <w:lvlText w:val="%1.%2.%3.%4"/>
      <w:lvlJc w:val="left"/>
      <w:pPr>
        <w:ind w:left="720" w:hanging="720"/>
      </w:pPr>
      <w:rPr>
        <w:rFonts w:hint="default"/>
        <w:color w:val="191619"/>
      </w:rPr>
    </w:lvl>
    <w:lvl w:ilvl="4">
      <w:start w:val="1"/>
      <w:numFmt w:val="decimal"/>
      <w:lvlText w:val="%1.%2.%3.%4.%5"/>
      <w:lvlJc w:val="left"/>
      <w:pPr>
        <w:ind w:left="1080" w:hanging="1080"/>
      </w:pPr>
      <w:rPr>
        <w:rFonts w:hint="default"/>
        <w:color w:val="191619"/>
      </w:rPr>
    </w:lvl>
    <w:lvl w:ilvl="5">
      <w:start w:val="1"/>
      <w:numFmt w:val="decimal"/>
      <w:lvlText w:val="%1.%2.%3.%4.%5.%6"/>
      <w:lvlJc w:val="left"/>
      <w:pPr>
        <w:ind w:left="1080" w:hanging="1080"/>
      </w:pPr>
      <w:rPr>
        <w:rFonts w:hint="default"/>
        <w:color w:val="191619"/>
      </w:rPr>
    </w:lvl>
    <w:lvl w:ilvl="6">
      <w:start w:val="1"/>
      <w:numFmt w:val="decimal"/>
      <w:lvlText w:val="%1.%2.%3.%4.%5.%6.%7"/>
      <w:lvlJc w:val="left"/>
      <w:pPr>
        <w:ind w:left="1440" w:hanging="1440"/>
      </w:pPr>
      <w:rPr>
        <w:rFonts w:hint="default"/>
        <w:color w:val="191619"/>
      </w:rPr>
    </w:lvl>
    <w:lvl w:ilvl="7">
      <w:start w:val="1"/>
      <w:numFmt w:val="decimal"/>
      <w:lvlText w:val="%1.%2.%3.%4.%5.%6.%7.%8"/>
      <w:lvlJc w:val="left"/>
      <w:pPr>
        <w:ind w:left="1440" w:hanging="1440"/>
      </w:pPr>
      <w:rPr>
        <w:rFonts w:hint="default"/>
        <w:color w:val="191619"/>
      </w:rPr>
    </w:lvl>
    <w:lvl w:ilvl="8">
      <w:start w:val="1"/>
      <w:numFmt w:val="decimal"/>
      <w:lvlText w:val="%1.%2.%3.%4.%5.%6.%7.%8.%9"/>
      <w:lvlJc w:val="left"/>
      <w:pPr>
        <w:ind w:left="1800" w:hanging="1800"/>
      </w:pPr>
      <w:rPr>
        <w:rFonts w:hint="default"/>
        <w:color w:val="191619"/>
      </w:rPr>
    </w:lvl>
  </w:abstractNum>
  <w:abstractNum w:abstractNumId="17" w15:restartNumberingAfterBreak="0">
    <w:nsid w:val="2D765101"/>
    <w:multiLevelType w:val="hybridMultilevel"/>
    <w:tmpl w:val="D4DEE7D2"/>
    <w:lvl w:ilvl="0" w:tplc="04090001">
      <w:start w:val="1"/>
      <w:numFmt w:val="bullet"/>
      <w:lvlText w:val=""/>
      <w:lvlJc w:val="left"/>
      <w:pPr>
        <w:ind w:left="1712" w:hanging="360"/>
      </w:pPr>
      <w:rPr>
        <w:rFonts w:ascii="Symbol" w:hAnsi="Symbol" w:hint="default"/>
      </w:rPr>
    </w:lvl>
    <w:lvl w:ilvl="1" w:tplc="04090003">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8" w15:restartNumberingAfterBreak="0">
    <w:nsid w:val="306A0197"/>
    <w:multiLevelType w:val="hybridMultilevel"/>
    <w:tmpl w:val="8B2C9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F6B61"/>
    <w:multiLevelType w:val="hybridMultilevel"/>
    <w:tmpl w:val="58AC313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95E8B"/>
    <w:multiLevelType w:val="hybridMultilevel"/>
    <w:tmpl w:val="6BAAB464"/>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21" w15:restartNumberingAfterBreak="0">
    <w:nsid w:val="393F5B59"/>
    <w:multiLevelType w:val="multilevel"/>
    <w:tmpl w:val="4642BF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3A2220"/>
    <w:multiLevelType w:val="hybridMultilevel"/>
    <w:tmpl w:val="A070750A"/>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4BFA013D"/>
    <w:multiLevelType w:val="hybridMultilevel"/>
    <w:tmpl w:val="7A7C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938CF"/>
    <w:multiLevelType w:val="multilevel"/>
    <w:tmpl w:val="7E60A46A"/>
    <w:lvl w:ilvl="0">
      <w:start w:val="1"/>
      <w:numFmt w:val="decimal"/>
      <w:lvlText w:val="%1."/>
      <w:lvlJc w:val="left"/>
      <w:pPr>
        <w:ind w:left="644"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43994"/>
    <w:multiLevelType w:val="hybridMultilevel"/>
    <w:tmpl w:val="FF920B2C"/>
    <w:lvl w:ilvl="0" w:tplc="66044212">
      <w:start w:val="2"/>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9119C"/>
    <w:multiLevelType w:val="hybridMultilevel"/>
    <w:tmpl w:val="7A242E04"/>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0DF1D71"/>
    <w:multiLevelType w:val="hybridMultilevel"/>
    <w:tmpl w:val="7D967688"/>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6CE972EF"/>
    <w:multiLevelType w:val="multilevel"/>
    <w:tmpl w:val="35BA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0D329E"/>
    <w:multiLevelType w:val="hybridMultilevel"/>
    <w:tmpl w:val="2E8E553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30" w15:restartNumberingAfterBreak="0">
    <w:nsid w:val="76903993"/>
    <w:multiLevelType w:val="hybridMultilevel"/>
    <w:tmpl w:val="F16419B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88C6BB3"/>
    <w:multiLevelType w:val="hybridMultilevel"/>
    <w:tmpl w:val="F3B0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E03D3"/>
    <w:multiLevelType w:val="hybridMultilevel"/>
    <w:tmpl w:val="17706C36"/>
    <w:lvl w:ilvl="0" w:tplc="04090001">
      <w:start w:val="1"/>
      <w:numFmt w:val="bullet"/>
      <w:lvlText w:val=""/>
      <w:lvlJc w:val="left"/>
      <w:pPr>
        <w:ind w:left="1761" w:hanging="360"/>
      </w:pPr>
      <w:rPr>
        <w:rFonts w:ascii="Symbol" w:hAnsi="Symbol"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33" w15:restartNumberingAfterBreak="0">
    <w:nsid w:val="7DC41575"/>
    <w:multiLevelType w:val="hybridMultilevel"/>
    <w:tmpl w:val="DE5E61B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num w:numId="1">
    <w:abstractNumId w:val="18"/>
  </w:num>
  <w:num w:numId="2">
    <w:abstractNumId w:val="10"/>
  </w:num>
  <w:num w:numId="3">
    <w:abstractNumId w:val="24"/>
  </w:num>
  <w:num w:numId="4">
    <w:abstractNumId w:val="4"/>
  </w:num>
  <w:num w:numId="5">
    <w:abstractNumId w:val="17"/>
  </w:num>
  <w:num w:numId="6">
    <w:abstractNumId w:val="32"/>
  </w:num>
  <w:num w:numId="7">
    <w:abstractNumId w:val="6"/>
  </w:num>
  <w:num w:numId="8">
    <w:abstractNumId w:val="12"/>
  </w:num>
  <w:num w:numId="9">
    <w:abstractNumId w:val="29"/>
  </w:num>
  <w:num w:numId="10">
    <w:abstractNumId w:val="26"/>
  </w:num>
  <w:num w:numId="11">
    <w:abstractNumId w:val="13"/>
  </w:num>
  <w:num w:numId="12">
    <w:abstractNumId w:val="33"/>
  </w:num>
  <w:num w:numId="13">
    <w:abstractNumId w:val="25"/>
  </w:num>
  <w:num w:numId="14">
    <w:abstractNumId w:val="0"/>
  </w:num>
  <w:num w:numId="15">
    <w:abstractNumId w:val="14"/>
  </w:num>
  <w:num w:numId="16">
    <w:abstractNumId w:val="27"/>
  </w:num>
  <w:num w:numId="17">
    <w:abstractNumId w:val="7"/>
  </w:num>
  <w:num w:numId="18">
    <w:abstractNumId w:val="30"/>
  </w:num>
  <w:num w:numId="19">
    <w:abstractNumId w:val="31"/>
  </w:num>
  <w:num w:numId="20">
    <w:abstractNumId w:val="23"/>
  </w:num>
  <w:num w:numId="21">
    <w:abstractNumId w:val="11"/>
  </w:num>
  <w:num w:numId="22">
    <w:abstractNumId w:val="28"/>
  </w:num>
  <w:num w:numId="23">
    <w:abstractNumId w:val="5"/>
  </w:num>
  <w:num w:numId="24">
    <w:abstractNumId w:val="8"/>
  </w:num>
  <w:num w:numId="25">
    <w:abstractNumId w:val="21"/>
  </w:num>
  <w:num w:numId="26">
    <w:abstractNumId w:val="1"/>
  </w:num>
  <w:num w:numId="27">
    <w:abstractNumId w:val="16"/>
  </w:num>
  <w:num w:numId="28">
    <w:abstractNumId w:val="9"/>
  </w:num>
  <w:num w:numId="29">
    <w:abstractNumId w:val="2"/>
  </w:num>
  <w:num w:numId="30">
    <w:abstractNumId w:val="20"/>
  </w:num>
  <w:num w:numId="31">
    <w:abstractNumId w:val="3"/>
  </w:num>
  <w:num w:numId="32">
    <w:abstractNumId w:val="15"/>
  </w:num>
  <w:num w:numId="33">
    <w:abstractNumId w:val="22"/>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131D"/>
    <w:rsid w:val="000034E3"/>
    <w:rsid w:val="00003BD0"/>
    <w:rsid w:val="0001508F"/>
    <w:rsid w:val="00020C84"/>
    <w:rsid w:val="000233A0"/>
    <w:rsid w:val="00023850"/>
    <w:rsid w:val="00023F30"/>
    <w:rsid w:val="000252F1"/>
    <w:rsid w:val="00026695"/>
    <w:rsid w:val="000275CB"/>
    <w:rsid w:val="00027C8F"/>
    <w:rsid w:val="000319BA"/>
    <w:rsid w:val="000358C1"/>
    <w:rsid w:val="00035DE0"/>
    <w:rsid w:val="000367C6"/>
    <w:rsid w:val="00036A5B"/>
    <w:rsid w:val="00036CC7"/>
    <w:rsid w:val="00036E7D"/>
    <w:rsid w:val="000422E8"/>
    <w:rsid w:val="000437DC"/>
    <w:rsid w:val="00046A85"/>
    <w:rsid w:val="0005244C"/>
    <w:rsid w:val="0005254A"/>
    <w:rsid w:val="00055F45"/>
    <w:rsid w:val="00061494"/>
    <w:rsid w:val="000626F7"/>
    <w:rsid w:val="00062B74"/>
    <w:rsid w:val="00063AD4"/>
    <w:rsid w:val="00064D97"/>
    <w:rsid w:val="00066509"/>
    <w:rsid w:val="00072C47"/>
    <w:rsid w:val="00076046"/>
    <w:rsid w:val="000770B6"/>
    <w:rsid w:val="000840B9"/>
    <w:rsid w:val="00091E78"/>
    <w:rsid w:val="000A02AF"/>
    <w:rsid w:val="000B2A36"/>
    <w:rsid w:val="000B33F6"/>
    <w:rsid w:val="000B5BD0"/>
    <w:rsid w:val="000B66F8"/>
    <w:rsid w:val="000C04C8"/>
    <w:rsid w:val="000C2E24"/>
    <w:rsid w:val="000C6228"/>
    <w:rsid w:val="000C6CCC"/>
    <w:rsid w:val="000D3E55"/>
    <w:rsid w:val="000D5372"/>
    <w:rsid w:val="000E2276"/>
    <w:rsid w:val="000E3188"/>
    <w:rsid w:val="000E3ED7"/>
    <w:rsid w:val="000E4092"/>
    <w:rsid w:val="000E657D"/>
    <w:rsid w:val="000E71C2"/>
    <w:rsid w:val="000F0464"/>
    <w:rsid w:val="000F10FA"/>
    <w:rsid w:val="000F4812"/>
    <w:rsid w:val="00104730"/>
    <w:rsid w:val="00107208"/>
    <w:rsid w:val="00107C26"/>
    <w:rsid w:val="001156C5"/>
    <w:rsid w:val="001173A5"/>
    <w:rsid w:val="00121094"/>
    <w:rsid w:val="00121931"/>
    <w:rsid w:val="00130F7A"/>
    <w:rsid w:val="001310B3"/>
    <w:rsid w:val="00132C55"/>
    <w:rsid w:val="00145193"/>
    <w:rsid w:val="00146078"/>
    <w:rsid w:val="00146969"/>
    <w:rsid w:val="00146FE7"/>
    <w:rsid w:val="001557E8"/>
    <w:rsid w:val="001610E9"/>
    <w:rsid w:val="0016288C"/>
    <w:rsid w:val="00166B1C"/>
    <w:rsid w:val="00171113"/>
    <w:rsid w:val="00171121"/>
    <w:rsid w:val="00172C86"/>
    <w:rsid w:val="00173176"/>
    <w:rsid w:val="00187D81"/>
    <w:rsid w:val="00194EF4"/>
    <w:rsid w:val="0019646C"/>
    <w:rsid w:val="001A3FE8"/>
    <w:rsid w:val="001A5866"/>
    <w:rsid w:val="001B582C"/>
    <w:rsid w:val="001B64B2"/>
    <w:rsid w:val="001B6DE4"/>
    <w:rsid w:val="001B7180"/>
    <w:rsid w:val="001B7338"/>
    <w:rsid w:val="001C5E14"/>
    <w:rsid w:val="001D62BE"/>
    <w:rsid w:val="001E1573"/>
    <w:rsid w:val="001E2544"/>
    <w:rsid w:val="001F0632"/>
    <w:rsid w:val="001F3DBB"/>
    <w:rsid w:val="001F42B6"/>
    <w:rsid w:val="002065F4"/>
    <w:rsid w:val="00215809"/>
    <w:rsid w:val="002161FB"/>
    <w:rsid w:val="00216C4A"/>
    <w:rsid w:val="00220013"/>
    <w:rsid w:val="002245C0"/>
    <w:rsid w:val="002262A9"/>
    <w:rsid w:val="00227B65"/>
    <w:rsid w:val="00230E51"/>
    <w:rsid w:val="00234364"/>
    <w:rsid w:val="002367F3"/>
    <w:rsid w:val="00237B03"/>
    <w:rsid w:val="0024165F"/>
    <w:rsid w:val="002453C7"/>
    <w:rsid w:val="0024787F"/>
    <w:rsid w:val="0026048E"/>
    <w:rsid w:val="00263664"/>
    <w:rsid w:val="00275320"/>
    <w:rsid w:val="00275A3E"/>
    <w:rsid w:val="0027735C"/>
    <w:rsid w:val="00285722"/>
    <w:rsid w:val="00285FF2"/>
    <w:rsid w:val="00293C78"/>
    <w:rsid w:val="00293CAF"/>
    <w:rsid w:val="00295DA3"/>
    <w:rsid w:val="00297BC1"/>
    <w:rsid w:val="002A38A7"/>
    <w:rsid w:val="002A3E6E"/>
    <w:rsid w:val="002A662F"/>
    <w:rsid w:val="002B2347"/>
    <w:rsid w:val="002B29E2"/>
    <w:rsid w:val="002B5934"/>
    <w:rsid w:val="002C05C3"/>
    <w:rsid w:val="002C1605"/>
    <w:rsid w:val="002C17C5"/>
    <w:rsid w:val="002C27AC"/>
    <w:rsid w:val="002D33B4"/>
    <w:rsid w:val="002D3F5D"/>
    <w:rsid w:val="002E2D5D"/>
    <w:rsid w:val="002E53F3"/>
    <w:rsid w:val="002E6D61"/>
    <w:rsid w:val="002E702C"/>
    <w:rsid w:val="002F184E"/>
    <w:rsid w:val="002F2ECC"/>
    <w:rsid w:val="002F440E"/>
    <w:rsid w:val="002F477B"/>
    <w:rsid w:val="002F5171"/>
    <w:rsid w:val="00302F6C"/>
    <w:rsid w:val="003033F3"/>
    <w:rsid w:val="00304D73"/>
    <w:rsid w:val="00310AC4"/>
    <w:rsid w:val="00311DC1"/>
    <w:rsid w:val="003139C3"/>
    <w:rsid w:val="00313DEA"/>
    <w:rsid w:val="00315CC5"/>
    <w:rsid w:val="0032598F"/>
    <w:rsid w:val="0032633E"/>
    <w:rsid w:val="003266F4"/>
    <w:rsid w:val="003326AF"/>
    <w:rsid w:val="0033434D"/>
    <w:rsid w:val="00335B68"/>
    <w:rsid w:val="00336F3E"/>
    <w:rsid w:val="003449E6"/>
    <w:rsid w:val="00352908"/>
    <w:rsid w:val="0035490A"/>
    <w:rsid w:val="00363830"/>
    <w:rsid w:val="00366944"/>
    <w:rsid w:val="00373B9C"/>
    <w:rsid w:val="00380E09"/>
    <w:rsid w:val="003827D8"/>
    <w:rsid w:val="00382F87"/>
    <w:rsid w:val="00387713"/>
    <w:rsid w:val="003974E8"/>
    <w:rsid w:val="003B1AFE"/>
    <w:rsid w:val="003B1B38"/>
    <w:rsid w:val="003B34E4"/>
    <w:rsid w:val="003B6044"/>
    <w:rsid w:val="003B7BB1"/>
    <w:rsid w:val="003C120F"/>
    <w:rsid w:val="003C1FF1"/>
    <w:rsid w:val="003C344B"/>
    <w:rsid w:val="003C49E9"/>
    <w:rsid w:val="003D2B68"/>
    <w:rsid w:val="003D526F"/>
    <w:rsid w:val="003D5A48"/>
    <w:rsid w:val="003E5226"/>
    <w:rsid w:val="003F0223"/>
    <w:rsid w:val="003F4532"/>
    <w:rsid w:val="003F6002"/>
    <w:rsid w:val="003F6CBF"/>
    <w:rsid w:val="003F72D8"/>
    <w:rsid w:val="0040289D"/>
    <w:rsid w:val="00403E8B"/>
    <w:rsid w:val="00404A98"/>
    <w:rsid w:val="00405BA5"/>
    <w:rsid w:val="004071B2"/>
    <w:rsid w:val="00411C1D"/>
    <w:rsid w:val="00412C21"/>
    <w:rsid w:val="00413003"/>
    <w:rsid w:val="00415C95"/>
    <w:rsid w:val="0041700F"/>
    <w:rsid w:val="004172CE"/>
    <w:rsid w:val="0042139D"/>
    <w:rsid w:val="00421F31"/>
    <w:rsid w:val="0042710A"/>
    <w:rsid w:val="00430D9C"/>
    <w:rsid w:val="00436AC9"/>
    <w:rsid w:val="00440E2B"/>
    <w:rsid w:val="00442937"/>
    <w:rsid w:val="004451D0"/>
    <w:rsid w:val="00445AF9"/>
    <w:rsid w:val="00445CCB"/>
    <w:rsid w:val="00450AEE"/>
    <w:rsid w:val="00452C04"/>
    <w:rsid w:val="00454256"/>
    <w:rsid w:val="00457ADB"/>
    <w:rsid w:val="00464B8C"/>
    <w:rsid w:val="0046610E"/>
    <w:rsid w:val="00466FDC"/>
    <w:rsid w:val="00471BE7"/>
    <w:rsid w:val="00471E94"/>
    <w:rsid w:val="00472D3B"/>
    <w:rsid w:val="004760CD"/>
    <w:rsid w:val="00477638"/>
    <w:rsid w:val="004777C1"/>
    <w:rsid w:val="0048565C"/>
    <w:rsid w:val="004879CE"/>
    <w:rsid w:val="00492BDE"/>
    <w:rsid w:val="00496A35"/>
    <w:rsid w:val="004A1C21"/>
    <w:rsid w:val="004A2693"/>
    <w:rsid w:val="004A5D47"/>
    <w:rsid w:val="004A79C4"/>
    <w:rsid w:val="004C095C"/>
    <w:rsid w:val="004C4470"/>
    <w:rsid w:val="004C69B3"/>
    <w:rsid w:val="004D09DC"/>
    <w:rsid w:val="004D0E80"/>
    <w:rsid w:val="004D1673"/>
    <w:rsid w:val="004E0FD2"/>
    <w:rsid w:val="004E1C57"/>
    <w:rsid w:val="004E25B1"/>
    <w:rsid w:val="004E26B9"/>
    <w:rsid w:val="004E2A5A"/>
    <w:rsid w:val="004E7079"/>
    <w:rsid w:val="004F1353"/>
    <w:rsid w:val="004F2F38"/>
    <w:rsid w:val="004F3C12"/>
    <w:rsid w:val="004F6DC4"/>
    <w:rsid w:val="00500250"/>
    <w:rsid w:val="00500F1A"/>
    <w:rsid w:val="00501882"/>
    <w:rsid w:val="0051341F"/>
    <w:rsid w:val="005248CC"/>
    <w:rsid w:val="00527C03"/>
    <w:rsid w:val="00531053"/>
    <w:rsid w:val="0053227A"/>
    <w:rsid w:val="0054343C"/>
    <w:rsid w:val="0054397D"/>
    <w:rsid w:val="00550493"/>
    <w:rsid w:val="00561B85"/>
    <w:rsid w:val="0056457F"/>
    <w:rsid w:val="005706D1"/>
    <w:rsid w:val="00570B11"/>
    <w:rsid w:val="005716FA"/>
    <w:rsid w:val="00574EC0"/>
    <w:rsid w:val="00583848"/>
    <w:rsid w:val="00584B4F"/>
    <w:rsid w:val="00591FF2"/>
    <w:rsid w:val="005921A2"/>
    <w:rsid w:val="005B124A"/>
    <w:rsid w:val="005C0393"/>
    <w:rsid w:val="005C0EC8"/>
    <w:rsid w:val="005C1EE0"/>
    <w:rsid w:val="005C1F8B"/>
    <w:rsid w:val="005D02BD"/>
    <w:rsid w:val="005D730C"/>
    <w:rsid w:val="005E0673"/>
    <w:rsid w:val="005E2989"/>
    <w:rsid w:val="005F24AC"/>
    <w:rsid w:val="005F6994"/>
    <w:rsid w:val="005F6D89"/>
    <w:rsid w:val="00600359"/>
    <w:rsid w:val="00601748"/>
    <w:rsid w:val="00601C50"/>
    <w:rsid w:val="00602227"/>
    <w:rsid w:val="00602D8C"/>
    <w:rsid w:val="00607E4D"/>
    <w:rsid w:val="00610B2C"/>
    <w:rsid w:val="00611F5B"/>
    <w:rsid w:val="00614D05"/>
    <w:rsid w:val="0062275D"/>
    <w:rsid w:val="00624C5C"/>
    <w:rsid w:val="00626C01"/>
    <w:rsid w:val="00627FD3"/>
    <w:rsid w:val="0063037A"/>
    <w:rsid w:val="00630383"/>
    <w:rsid w:val="0063051A"/>
    <w:rsid w:val="00640BE6"/>
    <w:rsid w:val="00643014"/>
    <w:rsid w:val="0064398D"/>
    <w:rsid w:val="00644DFF"/>
    <w:rsid w:val="00645ACA"/>
    <w:rsid w:val="00647728"/>
    <w:rsid w:val="0065265F"/>
    <w:rsid w:val="00654CC9"/>
    <w:rsid w:val="006551F2"/>
    <w:rsid w:val="00655DD7"/>
    <w:rsid w:val="00655EF1"/>
    <w:rsid w:val="006575D7"/>
    <w:rsid w:val="00657F1D"/>
    <w:rsid w:val="0067317A"/>
    <w:rsid w:val="00676FB1"/>
    <w:rsid w:val="0068032E"/>
    <w:rsid w:val="006805E5"/>
    <w:rsid w:val="00680822"/>
    <w:rsid w:val="00680C38"/>
    <w:rsid w:val="006811B8"/>
    <w:rsid w:val="00681FAE"/>
    <w:rsid w:val="006901C2"/>
    <w:rsid w:val="00692C45"/>
    <w:rsid w:val="006A1D7A"/>
    <w:rsid w:val="006A224F"/>
    <w:rsid w:val="006A40F9"/>
    <w:rsid w:val="006A6007"/>
    <w:rsid w:val="006A7C04"/>
    <w:rsid w:val="006B1585"/>
    <w:rsid w:val="006B7203"/>
    <w:rsid w:val="006C0968"/>
    <w:rsid w:val="006C146B"/>
    <w:rsid w:val="006C18B0"/>
    <w:rsid w:val="006C2B6B"/>
    <w:rsid w:val="006C2EDF"/>
    <w:rsid w:val="006D06E3"/>
    <w:rsid w:val="006D22F9"/>
    <w:rsid w:val="006D42CD"/>
    <w:rsid w:val="006D44D6"/>
    <w:rsid w:val="006D755C"/>
    <w:rsid w:val="006D7937"/>
    <w:rsid w:val="006E2B5C"/>
    <w:rsid w:val="006E2EC7"/>
    <w:rsid w:val="006E35B7"/>
    <w:rsid w:val="006E73AC"/>
    <w:rsid w:val="006F472C"/>
    <w:rsid w:val="006F4C8A"/>
    <w:rsid w:val="006F4E82"/>
    <w:rsid w:val="006F5241"/>
    <w:rsid w:val="007015FE"/>
    <w:rsid w:val="007022C5"/>
    <w:rsid w:val="00703A28"/>
    <w:rsid w:val="00705142"/>
    <w:rsid w:val="0070601E"/>
    <w:rsid w:val="00707DEE"/>
    <w:rsid w:val="0071331C"/>
    <w:rsid w:val="00722764"/>
    <w:rsid w:val="00722EAA"/>
    <w:rsid w:val="00727C4C"/>
    <w:rsid w:val="00731C65"/>
    <w:rsid w:val="00736A76"/>
    <w:rsid w:val="00736E59"/>
    <w:rsid w:val="00741557"/>
    <w:rsid w:val="00750326"/>
    <w:rsid w:val="00755A42"/>
    <w:rsid w:val="00757558"/>
    <w:rsid w:val="007616C9"/>
    <w:rsid w:val="00761F08"/>
    <w:rsid w:val="00764C27"/>
    <w:rsid w:val="0076777E"/>
    <w:rsid w:val="00767AA8"/>
    <w:rsid w:val="007738CA"/>
    <w:rsid w:val="00774952"/>
    <w:rsid w:val="00775EE7"/>
    <w:rsid w:val="00775F6C"/>
    <w:rsid w:val="00784E20"/>
    <w:rsid w:val="00787F38"/>
    <w:rsid w:val="00787F67"/>
    <w:rsid w:val="007919F5"/>
    <w:rsid w:val="00796C6F"/>
    <w:rsid w:val="007A053E"/>
    <w:rsid w:val="007A212B"/>
    <w:rsid w:val="007A27CF"/>
    <w:rsid w:val="007A4A8D"/>
    <w:rsid w:val="007A59EC"/>
    <w:rsid w:val="007A7BD8"/>
    <w:rsid w:val="007B1830"/>
    <w:rsid w:val="007B29CA"/>
    <w:rsid w:val="007B4BE5"/>
    <w:rsid w:val="007B4D10"/>
    <w:rsid w:val="007B5DE5"/>
    <w:rsid w:val="007C48E4"/>
    <w:rsid w:val="007C5A48"/>
    <w:rsid w:val="007C73F3"/>
    <w:rsid w:val="007C7638"/>
    <w:rsid w:val="007C7AB9"/>
    <w:rsid w:val="007C7C0D"/>
    <w:rsid w:val="007E0C2E"/>
    <w:rsid w:val="007F2418"/>
    <w:rsid w:val="007F2E2E"/>
    <w:rsid w:val="007F3E76"/>
    <w:rsid w:val="007F50B1"/>
    <w:rsid w:val="007F5A6D"/>
    <w:rsid w:val="007F750C"/>
    <w:rsid w:val="008117E8"/>
    <w:rsid w:val="00813E8D"/>
    <w:rsid w:val="0081537A"/>
    <w:rsid w:val="0083287C"/>
    <w:rsid w:val="0083635D"/>
    <w:rsid w:val="00840508"/>
    <w:rsid w:val="008442CB"/>
    <w:rsid w:val="00847BCB"/>
    <w:rsid w:val="008552FD"/>
    <w:rsid w:val="008627B5"/>
    <w:rsid w:val="008641D5"/>
    <w:rsid w:val="00866DCB"/>
    <w:rsid w:val="00867C3B"/>
    <w:rsid w:val="0087629B"/>
    <w:rsid w:val="008802B0"/>
    <w:rsid w:val="00884046"/>
    <w:rsid w:val="00886EBB"/>
    <w:rsid w:val="0089001B"/>
    <w:rsid w:val="008933AB"/>
    <w:rsid w:val="00894A14"/>
    <w:rsid w:val="00896999"/>
    <w:rsid w:val="00897D8F"/>
    <w:rsid w:val="008A2736"/>
    <w:rsid w:val="008A47FA"/>
    <w:rsid w:val="008A6565"/>
    <w:rsid w:val="008B3055"/>
    <w:rsid w:val="008C0734"/>
    <w:rsid w:val="008C4139"/>
    <w:rsid w:val="008C6D0E"/>
    <w:rsid w:val="008F538A"/>
    <w:rsid w:val="008F6236"/>
    <w:rsid w:val="0090137E"/>
    <w:rsid w:val="009058DB"/>
    <w:rsid w:val="00912AC0"/>
    <w:rsid w:val="0091389D"/>
    <w:rsid w:val="00913901"/>
    <w:rsid w:val="00920F69"/>
    <w:rsid w:val="0092248C"/>
    <w:rsid w:val="00922E33"/>
    <w:rsid w:val="00924A28"/>
    <w:rsid w:val="00924A4A"/>
    <w:rsid w:val="00925835"/>
    <w:rsid w:val="00926BD5"/>
    <w:rsid w:val="00930F62"/>
    <w:rsid w:val="0093373D"/>
    <w:rsid w:val="00935E4C"/>
    <w:rsid w:val="009370FB"/>
    <w:rsid w:val="00940EFA"/>
    <w:rsid w:val="009434AB"/>
    <w:rsid w:val="0094397F"/>
    <w:rsid w:val="00944977"/>
    <w:rsid w:val="00944D70"/>
    <w:rsid w:val="0094725A"/>
    <w:rsid w:val="009507E9"/>
    <w:rsid w:val="00950EB8"/>
    <w:rsid w:val="00951DC3"/>
    <w:rsid w:val="009560AD"/>
    <w:rsid w:val="00957C3B"/>
    <w:rsid w:val="0096362B"/>
    <w:rsid w:val="00970A05"/>
    <w:rsid w:val="00971D19"/>
    <w:rsid w:val="0097351B"/>
    <w:rsid w:val="009749A0"/>
    <w:rsid w:val="009802D8"/>
    <w:rsid w:val="009804B1"/>
    <w:rsid w:val="00994877"/>
    <w:rsid w:val="009A3A16"/>
    <w:rsid w:val="009B0622"/>
    <w:rsid w:val="009B584C"/>
    <w:rsid w:val="009C338A"/>
    <w:rsid w:val="009C52ED"/>
    <w:rsid w:val="009C5B2D"/>
    <w:rsid w:val="009D2DCA"/>
    <w:rsid w:val="009E199B"/>
    <w:rsid w:val="009E1E7B"/>
    <w:rsid w:val="009F2F56"/>
    <w:rsid w:val="00A009D2"/>
    <w:rsid w:val="00A02BC8"/>
    <w:rsid w:val="00A04351"/>
    <w:rsid w:val="00A131E4"/>
    <w:rsid w:val="00A16838"/>
    <w:rsid w:val="00A16A73"/>
    <w:rsid w:val="00A17D33"/>
    <w:rsid w:val="00A17F46"/>
    <w:rsid w:val="00A22968"/>
    <w:rsid w:val="00A352CE"/>
    <w:rsid w:val="00A35DAA"/>
    <w:rsid w:val="00A4498B"/>
    <w:rsid w:val="00A46158"/>
    <w:rsid w:val="00A55592"/>
    <w:rsid w:val="00A565CD"/>
    <w:rsid w:val="00A56DB8"/>
    <w:rsid w:val="00A64791"/>
    <w:rsid w:val="00A67E42"/>
    <w:rsid w:val="00A77A9D"/>
    <w:rsid w:val="00A923B1"/>
    <w:rsid w:val="00A92899"/>
    <w:rsid w:val="00A929F4"/>
    <w:rsid w:val="00AA1759"/>
    <w:rsid w:val="00AA3219"/>
    <w:rsid w:val="00AB2499"/>
    <w:rsid w:val="00AB278C"/>
    <w:rsid w:val="00AB7610"/>
    <w:rsid w:val="00AC3A5E"/>
    <w:rsid w:val="00AD0358"/>
    <w:rsid w:val="00AD319C"/>
    <w:rsid w:val="00AE502C"/>
    <w:rsid w:val="00AF1F70"/>
    <w:rsid w:val="00AF3C03"/>
    <w:rsid w:val="00AF563C"/>
    <w:rsid w:val="00B035FD"/>
    <w:rsid w:val="00B03F01"/>
    <w:rsid w:val="00B057A4"/>
    <w:rsid w:val="00B13C6E"/>
    <w:rsid w:val="00B158E3"/>
    <w:rsid w:val="00B16397"/>
    <w:rsid w:val="00B16667"/>
    <w:rsid w:val="00B229CF"/>
    <w:rsid w:val="00B2411F"/>
    <w:rsid w:val="00B24832"/>
    <w:rsid w:val="00B250A3"/>
    <w:rsid w:val="00B2616D"/>
    <w:rsid w:val="00B35330"/>
    <w:rsid w:val="00B3637E"/>
    <w:rsid w:val="00B403A5"/>
    <w:rsid w:val="00B42158"/>
    <w:rsid w:val="00B428B6"/>
    <w:rsid w:val="00B44532"/>
    <w:rsid w:val="00B45430"/>
    <w:rsid w:val="00B46AB3"/>
    <w:rsid w:val="00B54E85"/>
    <w:rsid w:val="00B567CD"/>
    <w:rsid w:val="00B628B7"/>
    <w:rsid w:val="00B63281"/>
    <w:rsid w:val="00B6548B"/>
    <w:rsid w:val="00B67ABA"/>
    <w:rsid w:val="00B7091B"/>
    <w:rsid w:val="00B71C58"/>
    <w:rsid w:val="00B73C8A"/>
    <w:rsid w:val="00B747FC"/>
    <w:rsid w:val="00B77382"/>
    <w:rsid w:val="00B853E2"/>
    <w:rsid w:val="00B87FAA"/>
    <w:rsid w:val="00B92A1F"/>
    <w:rsid w:val="00B92B03"/>
    <w:rsid w:val="00BA2D24"/>
    <w:rsid w:val="00BA4DB8"/>
    <w:rsid w:val="00BB113E"/>
    <w:rsid w:val="00BB3D0A"/>
    <w:rsid w:val="00BB4A8F"/>
    <w:rsid w:val="00BB7140"/>
    <w:rsid w:val="00BD106E"/>
    <w:rsid w:val="00BD1AD0"/>
    <w:rsid w:val="00BD37D3"/>
    <w:rsid w:val="00BE00DA"/>
    <w:rsid w:val="00BE01FB"/>
    <w:rsid w:val="00BE053D"/>
    <w:rsid w:val="00BE125A"/>
    <w:rsid w:val="00BE3470"/>
    <w:rsid w:val="00BE7753"/>
    <w:rsid w:val="00BF1474"/>
    <w:rsid w:val="00BF4A0F"/>
    <w:rsid w:val="00BF6403"/>
    <w:rsid w:val="00C01A38"/>
    <w:rsid w:val="00C12246"/>
    <w:rsid w:val="00C13387"/>
    <w:rsid w:val="00C13735"/>
    <w:rsid w:val="00C1400E"/>
    <w:rsid w:val="00C17550"/>
    <w:rsid w:val="00C179F3"/>
    <w:rsid w:val="00C30E3F"/>
    <w:rsid w:val="00C32C2D"/>
    <w:rsid w:val="00C408AF"/>
    <w:rsid w:val="00C420FC"/>
    <w:rsid w:val="00C427CF"/>
    <w:rsid w:val="00C449B1"/>
    <w:rsid w:val="00C5023B"/>
    <w:rsid w:val="00C50499"/>
    <w:rsid w:val="00C57C4D"/>
    <w:rsid w:val="00C623C5"/>
    <w:rsid w:val="00C6299A"/>
    <w:rsid w:val="00C632F9"/>
    <w:rsid w:val="00C6430D"/>
    <w:rsid w:val="00C6545A"/>
    <w:rsid w:val="00C65693"/>
    <w:rsid w:val="00C70D96"/>
    <w:rsid w:val="00C70FFC"/>
    <w:rsid w:val="00C7299E"/>
    <w:rsid w:val="00C76D57"/>
    <w:rsid w:val="00C77F5F"/>
    <w:rsid w:val="00C80F53"/>
    <w:rsid w:val="00C8106F"/>
    <w:rsid w:val="00C824C5"/>
    <w:rsid w:val="00C8338C"/>
    <w:rsid w:val="00C84B9B"/>
    <w:rsid w:val="00C85FEC"/>
    <w:rsid w:val="00C8651B"/>
    <w:rsid w:val="00C87628"/>
    <w:rsid w:val="00C87712"/>
    <w:rsid w:val="00C904A7"/>
    <w:rsid w:val="00C9105E"/>
    <w:rsid w:val="00C915D1"/>
    <w:rsid w:val="00C9187C"/>
    <w:rsid w:val="00C942E7"/>
    <w:rsid w:val="00CA4172"/>
    <w:rsid w:val="00CA4FF0"/>
    <w:rsid w:val="00CB00DD"/>
    <w:rsid w:val="00CB23C2"/>
    <w:rsid w:val="00CB585C"/>
    <w:rsid w:val="00CB6643"/>
    <w:rsid w:val="00CC1B29"/>
    <w:rsid w:val="00CC41A6"/>
    <w:rsid w:val="00CC4603"/>
    <w:rsid w:val="00CC74E7"/>
    <w:rsid w:val="00CD6641"/>
    <w:rsid w:val="00CE2157"/>
    <w:rsid w:val="00CE236E"/>
    <w:rsid w:val="00CE5814"/>
    <w:rsid w:val="00CE5FCD"/>
    <w:rsid w:val="00CF1469"/>
    <w:rsid w:val="00CF1F1D"/>
    <w:rsid w:val="00CF2AB6"/>
    <w:rsid w:val="00CF2EA7"/>
    <w:rsid w:val="00CF3CED"/>
    <w:rsid w:val="00CF430C"/>
    <w:rsid w:val="00CF4EA6"/>
    <w:rsid w:val="00D0023D"/>
    <w:rsid w:val="00D03365"/>
    <w:rsid w:val="00D0534A"/>
    <w:rsid w:val="00D15DAE"/>
    <w:rsid w:val="00D15DCE"/>
    <w:rsid w:val="00D16F37"/>
    <w:rsid w:val="00D24F9C"/>
    <w:rsid w:val="00D254B6"/>
    <w:rsid w:val="00D30507"/>
    <w:rsid w:val="00D349F1"/>
    <w:rsid w:val="00D40202"/>
    <w:rsid w:val="00D45893"/>
    <w:rsid w:val="00D46B54"/>
    <w:rsid w:val="00D47ABE"/>
    <w:rsid w:val="00D5386F"/>
    <w:rsid w:val="00D5442E"/>
    <w:rsid w:val="00D55076"/>
    <w:rsid w:val="00D55985"/>
    <w:rsid w:val="00D65996"/>
    <w:rsid w:val="00D7106F"/>
    <w:rsid w:val="00D76372"/>
    <w:rsid w:val="00D77FB5"/>
    <w:rsid w:val="00D813CA"/>
    <w:rsid w:val="00D81525"/>
    <w:rsid w:val="00D828D2"/>
    <w:rsid w:val="00D832F5"/>
    <w:rsid w:val="00D9080D"/>
    <w:rsid w:val="00D93CC0"/>
    <w:rsid w:val="00DA0CE3"/>
    <w:rsid w:val="00DA4323"/>
    <w:rsid w:val="00DA453A"/>
    <w:rsid w:val="00DA49FE"/>
    <w:rsid w:val="00DA770A"/>
    <w:rsid w:val="00DB340C"/>
    <w:rsid w:val="00DB3F90"/>
    <w:rsid w:val="00DC1041"/>
    <w:rsid w:val="00DC2EAF"/>
    <w:rsid w:val="00DC6EBE"/>
    <w:rsid w:val="00DC7DCF"/>
    <w:rsid w:val="00DD030E"/>
    <w:rsid w:val="00DD1C30"/>
    <w:rsid w:val="00DD3050"/>
    <w:rsid w:val="00DE081B"/>
    <w:rsid w:val="00DE4E8F"/>
    <w:rsid w:val="00DE5F7C"/>
    <w:rsid w:val="00DF108E"/>
    <w:rsid w:val="00DF2E16"/>
    <w:rsid w:val="00E042BC"/>
    <w:rsid w:val="00E05752"/>
    <w:rsid w:val="00E1031E"/>
    <w:rsid w:val="00E10FB8"/>
    <w:rsid w:val="00E1406B"/>
    <w:rsid w:val="00E15142"/>
    <w:rsid w:val="00E26382"/>
    <w:rsid w:val="00E31F5C"/>
    <w:rsid w:val="00E32407"/>
    <w:rsid w:val="00E353EB"/>
    <w:rsid w:val="00E35892"/>
    <w:rsid w:val="00E35B5C"/>
    <w:rsid w:val="00E35D3F"/>
    <w:rsid w:val="00E40E64"/>
    <w:rsid w:val="00E475FD"/>
    <w:rsid w:val="00E47D9E"/>
    <w:rsid w:val="00E528DD"/>
    <w:rsid w:val="00E5691A"/>
    <w:rsid w:val="00E5747A"/>
    <w:rsid w:val="00E6765F"/>
    <w:rsid w:val="00E70429"/>
    <w:rsid w:val="00E70586"/>
    <w:rsid w:val="00E73533"/>
    <w:rsid w:val="00E76145"/>
    <w:rsid w:val="00E76DA6"/>
    <w:rsid w:val="00E83C54"/>
    <w:rsid w:val="00E84BC7"/>
    <w:rsid w:val="00E902AE"/>
    <w:rsid w:val="00E9283F"/>
    <w:rsid w:val="00E977B3"/>
    <w:rsid w:val="00EA0169"/>
    <w:rsid w:val="00EA36D5"/>
    <w:rsid w:val="00EA3787"/>
    <w:rsid w:val="00EB254C"/>
    <w:rsid w:val="00EB50FA"/>
    <w:rsid w:val="00EB604E"/>
    <w:rsid w:val="00EB6CC9"/>
    <w:rsid w:val="00EC074E"/>
    <w:rsid w:val="00EC1BD8"/>
    <w:rsid w:val="00ED1483"/>
    <w:rsid w:val="00ED2AF6"/>
    <w:rsid w:val="00ED5334"/>
    <w:rsid w:val="00ED7072"/>
    <w:rsid w:val="00EE0328"/>
    <w:rsid w:val="00EE265D"/>
    <w:rsid w:val="00EE7B8A"/>
    <w:rsid w:val="00EE7E51"/>
    <w:rsid w:val="00EF5411"/>
    <w:rsid w:val="00EF7535"/>
    <w:rsid w:val="00F00AE0"/>
    <w:rsid w:val="00F015D4"/>
    <w:rsid w:val="00F02FAB"/>
    <w:rsid w:val="00F079A7"/>
    <w:rsid w:val="00F12461"/>
    <w:rsid w:val="00F137B0"/>
    <w:rsid w:val="00F174D2"/>
    <w:rsid w:val="00F229DA"/>
    <w:rsid w:val="00F22E4B"/>
    <w:rsid w:val="00F237A4"/>
    <w:rsid w:val="00F24EB6"/>
    <w:rsid w:val="00F30DD2"/>
    <w:rsid w:val="00F343F7"/>
    <w:rsid w:val="00F42993"/>
    <w:rsid w:val="00F45EAC"/>
    <w:rsid w:val="00F462F3"/>
    <w:rsid w:val="00F46324"/>
    <w:rsid w:val="00F55A3A"/>
    <w:rsid w:val="00F57741"/>
    <w:rsid w:val="00F60C09"/>
    <w:rsid w:val="00F63F8B"/>
    <w:rsid w:val="00F65525"/>
    <w:rsid w:val="00F743CA"/>
    <w:rsid w:val="00F763BA"/>
    <w:rsid w:val="00F82630"/>
    <w:rsid w:val="00F850F4"/>
    <w:rsid w:val="00F91124"/>
    <w:rsid w:val="00F91254"/>
    <w:rsid w:val="00F9633C"/>
    <w:rsid w:val="00FA5FD6"/>
    <w:rsid w:val="00FA761D"/>
    <w:rsid w:val="00FA77DE"/>
    <w:rsid w:val="00FA7A4A"/>
    <w:rsid w:val="00FB35AD"/>
    <w:rsid w:val="00FB52D1"/>
    <w:rsid w:val="00FC4BD0"/>
    <w:rsid w:val="00FC561C"/>
    <w:rsid w:val="00FC7FCA"/>
    <w:rsid w:val="00FD18F6"/>
    <w:rsid w:val="00FD31FF"/>
    <w:rsid w:val="00FD5178"/>
    <w:rsid w:val="00FD5BA0"/>
    <w:rsid w:val="00FD6769"/>
    <w:rsid w:val="00FE03F6"/>
    <w:rsid w:val="00FE09EF"/>
    <w:rsid w:val="00FE3D34"/>
    <w:rsid w:val="00FE4A92"/>
    <w:rsid w:val="00FF5C5F"/>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5CCD"/>
  <w14:defaultImageDpi w14:val="32767"/>
  <w15:chartTrackingRefBased/>
  <w15:docId w15:val="{63E232E6-2953-C949-A84B-D71BA08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020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B16397"/>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16397"/>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3">
    <w:name w:val="toc 3"/>
    <w:basedOn w:val="Normal"/>
    <w:next w:val="Normal"/>
    <w:autoRedefine/>
    <w:uiPriority w:val="39"/>
    <w:unhideWhenUsed/>
    <w:rsid w:val="0040289D"/>
    <w:pPr>
      <w:spacing w:after="100"/>
      <w:ind w:left="480"/>
    </w:pPr>
    <w:rPr>
      <w:rFonts w:asciiTheme="minorHAnsi" w:eastAsiaTheme="minorHAnsi" w:hAnsiTheme="minorHAnsi" w:cstheme="minorBidi"/>
      <w:lang w:val="en-GB"/>
    </w:r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link w:val="NoSpacingChar"/>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rPr>
      <w:sz w:val="20"/>
      <w:szCs w:val="20"/>
    </w:rPr>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sz w:val="20"/>
      <w:szCs w:val="20"/>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Distribution">
    <w:name w:val="Distribution"/>
    <w:next w:val="Normal"/>
    <w:rsid w:val="0081537A"/>
    <w:pPr>
      <w:spacing w:before="240"/>
    </w:pPr>
    <w:rPr>
      <w:rFonts w:ascii="Times New Roman" w:hAnsi="Times New Roman" w:cs="Times New Roman"/>
      <w:spacing w:val="4"/>
      <w:w w:val="103"/>
      <w:kern w:val="14"/>
      <w:sz w:val="20"/>
      <w:szCs w:val="20"/>
    </w:rPr>
  </w:style>
  <w:style w:type="paragraph" w:styleId="EndnoteText">
    <w:name w:val="endnote text"/>
    <w:basedOn w:val="Normal"/>
    <w:link w:val="EndnoteTextChar"/>
    <w:uiPriority w:val="99"/>
    <w:unhideWhenUsed/>
    <w:rsid w:val="00023F30"/>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iPriority w:val="99"/>
    <w:unhideWhenUsed/>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F343F7"/>
    <w:rPr>
      <w:rFonts w:asciiTheme="minorHAnsi" w:eastAsiaTheme="minorHAnsi" w:hAnsiTheme="minorHAnsi" w:cstheme="minorBidi"/>
      <w:sz w:val="20"/>
      <w:szCs w:val="20"/>
      <w:lang w:val="en-GB"/>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vertAlign w:val="superscript"/>
      <w:lang w:val="en-GB"/>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rsid w:val="00F343F7"/>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val="en-GB"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2"/>
      </w:numPr>
      <w:pBdr>
        <w:bottom w:val="single" w:sz="4" w:space="3" w:color="auto"/>
      </w:pBdr>
      <w:spacing w:before="360" w:line="312" w:lineRule="auto"/>
    </w:pPr>
    <w:rPr>
      <w:rFonts w:ascii="Caecilia LT Pro 55 Roman" w:hAnsi="Caecilia LT Pro 55 Roman"/>
      <w:sz w:val="36"/>
      <w:szCs w:val="20"/>
    </w:rPr>
  </w:style>
  <w:style w:type="paragraph" w:customStyle="1" w:styleId="AARHeading2">
    <w:name w:val="AAR Heading 2"/>
    <w:basedOn w:val="Normal"/>
    <w:next w:val="Normal"/>
    <w:rsid w:val="00A16838"/>
    <w:pPr>
      <w:keepNext/>
      <w:numPr>
        <w:ilvl w:val="1"/>
        <w:numId w:val="2"/>
      </w:numPr>
      <w:tabs>
        <w:tab w:val="clear" w:pos="709"/>
        <w:tab w:val="num" w:pos="1789"/>
      </w:tabs>
      <w:spacing w:before="200" w:line="312" w:lineRule="auto"/>
      <w:ind w:left="1789"/>
    </w:pPr>
    <w:rPr>
      <w:rFonts w:ascii="Arial" w:hAnsi="Arial"/>
      <w:b/>
      <w:sz w:val="20"/>
      <w:szCs w:val="20"/>
    </w:rPr>
  </w:style>
  <w:style w:type="paragraph" w:customStyle="1" w:styleId="AARHeading3">
    <w:name w:val="AAR Heading 3"/>
    <w:basedOn w:val="Normal"/>
    <w:rsid w:val="00A16838"/>
    <w:pPr>
      <w:numPr>
        <w:ilvl w:val="2"/>
        <w:numId w:val="2"/>
      </w:numPr>
      <w:spacing w:before="100" w:line="312" w:lineRule="auto"/>
      <w:outlineLvl w:val="2"/>
    </w:pPr>
    <w:rPr>
      <w:rFonts w:ascii="Arial" w:hAnsi="Arial"/>
      <w:b/>
      <w:i/>
      <w:sz w:val="20"/>
      <w:szCs w:val="20"/>
    </w:rPr>
  </w:style>
  <w:style w:type="paragraph" w:customStyle="1" w:styleId="AARHeading4">
    <w:name w:val="AAR Heading 4"/>
    <w:basedOn w:val="Normal"/>
    <w:rsid w:val="00A16838"/>
    <w:pPr>
      <w:numPr>
        <w:ilvl w:val="3"/>
        <w:numId w:val="2"/>
      </w:numPr>
      <w:spacing w:before="100" w:line="312" w:lineRule="auto"/>
      <w:outlineLvl w:val="3"/>
    </w:pPr>
    <w:rPr>
      <w:rFonts w:ascii="Arial" w:hAnsi="Arial"/>
      <w:b/>
      <w:sz w:val="20"/>
      <w:szCs w:val="20"/>
    </w:rPr>
  </w:style>
  <w:style w:type="paragraph" w:customStyle="1" w:styleId="AARHeading5">
    <w:name w:val="AAR Heading 5"/>
    <w:basedOn w:val="Normal"/>
    <w:rsid w:val="00A16838"/>
    <w:pPr>
      <w:numPr>
        <w:ilvl w:val="4"/>
        <w:numId w:val="2"/>
      </w:numPr>
      <w:spacing w:before="100" w:line="312" w:lineRule="auto"/>
      <w:outlineLvl w:val="4"/>
    </w:pPr>
    <w:rPr>
      <w:rFonts w:ascii="Arial" w:hAnsi="Arial"/>
      <w:i/>
      <w:sz w:val="20"/>
      <w:szCs w:val="20"/>
    </w:rPr>
  </w:style>
  <w:style w:type="paragraph" w:customStyle="1" w:styleId="AARHeading6">
    <w:name w:val="AAR Heading 6"/>
    <w:basedOn w:val="Normal"/>
    <w:rsid w:val="00A16838"/>
    <w:pPr>
      <w:numPr>
        <w:ilvl w:val="5"/>
        <w:numId w:val="2"/>
      </w:numPr>
      <w:spacing w:before="100" w:line="312" w:lineRule="auto"/>
      <w:outlineLvl w:val="5"/>
    </w:pPr>
    <w:rPr>
      <w:rFonts w:ascii="Arial" w:hAnsi="Arial"/>
      <w:sz w:val="20"/>
      <w:szCs w:val="20"/>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ListParagraph"/>
    <w:link w:val="QuoteChar"/>
    <w:uiPriority w:val="29"/>
    <w:qFormat/>
    <w:rsid w:val="00B35330"/>
    <w:pPr>
      <w:spacing w:before="360" w:after="360" w:line="276" w:lineRule="auto"/>
      <w:jc w:val="center"/>
    </w:pPr>
    <w:rPr>
      <w:rFonts w:ascii="Calibri" w:eastAsia="Calibri" w:hAnsi="Calibri" w:cs="Calibri"/>
      <w:iCs/>
      <w:color w:val="404040" w:themeColor="text1" w:themeTint="BF"/>
      <w:w w:val="105"/>
      <w:kern w:val="40"/>
      <w:szCs w:val="22"/>
    </w:rPr>
  </w:style>
  <w:style w:type="character" w:customStyle="1" w:styleId="QuoteChar">
    <w:name w:val="Quote Char"/>
    <w:aliases w:val="Quote 2 Char"/>
    <w:basedOn w:val="DefaultParagraphFont"/>
    <w:link w:val="Quote"/>
    <w:uiPriority w:val="29"/>
    <w:rsid w:val="00B35330"/>
    <w:rPr>
      <w:rFonts w:ascii="Calibri" w:eastAsia="Calibri" w:hAnsi="Calibri" w:cs="Calibri"/>
      <w:iCs/>
      <w:color w:val="404040" w:themeColor="text1" w:themeTint="BF"/>
      <w:w w:val="105"/>
      <w:kern w:val="40"/>
      <w:szCs w:val="22"/>
      <w:lang w:val="en-AU"/>
    </w:rPr>
  </w:style>
  <w:style w:type="table" w:styleId="TableGrid">
    <w:name w:val="Table Grid"/>
    <w:basedOn w:val="TableNormal"/>
    <w:uiPriority w:val="39"/>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4480591">
          <w:marLeft w:val="0"/>
          <w:marRight w:val="0"/>
          <w:marTop w:val="0"/>
          <w:marBottom w:val="0"/>
          <w:divBdr>
            <w:top w:val="none" w:sz="0" w:space="0" w:color="auto"/>
            <w:left w:val="none" w:sz="0" w:space="0" w:color="auto"/>
            <w:bottom w:val="none" w:sz="0" w:space="0" w:color="auto"/>
            <w:right w:val="none" w:sz="0" w:space="0" w:color="auto"/>
          </w:divBdr>
        </w:div>
        <w:div w:id="66611792">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sChild>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1783302880">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2098098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sChild>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2074619656">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61941511">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sChild>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1976598094">
          <w:marLeft w:val="0"/>
          <w:marRight w:val="0"/>
          <w:marTop w:val="0"/>
          <w:marBottom w:val="0"/>
          <w:divBdr>
            <w:top w:val="none" w:sz="0" w:space="0" w:color="auto"/>
            <w:left w:val="none" w:sz="0" w:space="0" w:color="auto"/>
            <w:bottom w:val="none" w:sz="0" w:space="0" w:color="auto"/>
            <w:right w:val="none" w:sz="0" w:space="0" w:color="auto"/>
          </w:divBdr>
        </w:div>
        <w:div w:id="549996358">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 w:id="646856311">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1733041535">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621607">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57975477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poa.org.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hyperlink" Target="http://wwda.org.au/wp-content/uploads/2019/12/The-Status-of-Women-and-Girls-with-Disability-Asutralia.pdf" TargetMode="External"/><Relationship Id="rId10" Type="http://schemas.openxmlformats.org/officeDocument/2006/relationships/hyperlink" Target="http://www.wwda.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3" Type="http://schemas.openxmlformats.org/officeDocument/2006/relationships/hyperlink" Target="https://www.anrows.org.au/publications/horizons/women-disability-and-violence-barriers-accessing-justice-final-report" TargetMode="External"/><Relationship Id="rId18" Type="http://schemas.openxmlformats.org/officeDocument/2006/relationships/hyperlink" Target="https://www.dss.gov.au/our-responsibilities/disability-and-carers/publications-articles/policy-research/national-disability-strategy-2010-2020" TargetMode="External"/><Relationship Id="rId26" Type="http://schemas.openxmlformats.org/officeDocument/2006/relationships/hyperlink" Target="https://www.ourwatch.org.au/What-We-Do" TargetMode="External"/><Relationship Id="rId39" Type="http://schemas.openxmlformats.org/officeDocument/2006/relationships/hyperlink" Target="https://dpoa.org.au/position-opcat-npm/" TargetMode="External"/><Relationship Id="rId21" Type="http://schemas.openxmlformats.org/officeDocument/2006/relationships/hyperlink" Target="https://disability.royalcommission.gov.au/hearings/Documents/transcripts/transcript-7-november-2019.pdf" TargetMode="External"/><Relationship Id="rId34" Type="http://schemas.openxmlformats.org/officeDocument/2006/relationships/hyperlink" Target="https://www.abc.net.au/7.30/school-accused-of-leaving-teen-with-autism-outside/7803478" TargetMode="External"/><Relationship Id="rId42" Type="http://schemas.openxmlformats.org/officeDocument/2006/relationships/hyperlink" Target="https://disability.royalcommission.gov.au/hearings/Documents/transcripts/transcript-7-november-2019.pdf" TargetMode="External"/><Relationship Id="rId47" Type="http://schemas.openxmlformats.org/officeDocument/2006/relationships/hyperlink" Target="https://spcommreports.ohchr.org/TMResultsBase/DownLoadPublicCommunicationFile?gId=23020" TargetMode="External"/><Relationship Id="rId50" Type="http://schemas.openxmlformats.org/officeDocument/2006/relationships/hyperlink" Target="https://www.ohchr.org/EN/HRBodies/CRPD/Pages/GC.aspx" TargetMode="External"/><Relationship Id="rId55" Type="http://schemas.openxmlformats.org/officeDocument/2006/relationships/hyperlink" Target="https://www.slrr.com.au" TargetMode="External"/><Relationship Id="rId7" Type="http://schemas.openxmlformats.org/officeDocument/2006/relationships/hyperlink" Target="https://disability.royalcommission.gov.au/publications/Pages/default.aspx" TargetMode="External"/><Relationship Id="rId2" Type="http://schemas.openxmlformats.org/officeDocument/2006/relationships/hyperlink" Target="http://dpoa.org.au/civil-society-statement-rc/" TargetMode="External"/><Relationship Id="rId16" Type="http://schemas.openxmlformats.org/officeDocument/2006/relationships/hyperlink" Target="https://www.ohchr.org/EN/HRBodies/CRPD/Pages/GC.aspx" TargetMode="External"/><Relationship Id="rId29" Type="http://schemas.openxmlformats.org/officeDocument/2006/relationships/hyperlink" Target="https://www.cyda.org.au/enabling-and-protecting" TargetMode="External"/><Relationship Id="rId11" Type="http://schemas.openxmlformats.org/officeDocument/2006/relationships/hyperlink" Target="http://wwda.org.au/wp-content/uploads/2013/12/STV_Background_Paper_FINAL.pdf" TargetMode="External"/><Relationship Id="rId24" Type="http://schemas.openxmlformats.org/officeDocument/2006/relationships/hyperlink" Target="https://www.ourwatch.org.au/Preventing-Violence/Women" TargetMode="External"/><Relationship Id="rId32" Type="http://schemas.openxmlformats.org/officeDocument/2006/relationships/hyperlink" Target="https://www.cyda.org.au/cyda-education-survey-2016" TargetMode="External"/><Relationship Id="rId37" Type="http://schemas.openxmlformats.org/officeDocument/2006/relationships/hyperlink" Target="https://www.aph.gov.au/Parliamentary_Business/Committees/Senate/Education_and_Employment/students_with_disability/Report" TargetMode="External"/><Relationship Id="rId40" Type="http://schemas.openxmlformats.org/officeDocument/2006/relationships/hyperlink" Target="https://www.ombudsman.gov.au/what-we-do/monitoring-places-of-detention-opcat" TargetMode="External"/><Relationship Id="rId45" Type="http://schemas.openxmlformats.org/officeDocument/2006/relationships/hyperlink" Target="https://www.aihw.gov.au/reports/disability/people-with-disability-in-australia/education-and-skills" TargetMode="External"/><Relationship Id="rId53" Type="http://schemas.openxmlformats.org/officeDocument/2006/relationships/hyperlink" Target="https://publicdocumentcentre.education.tas.gov.au/Documents/Respectful-Relationships-Teaching-Learning-Package-Mobile.pdf" TargetMode="External"/><Relationship Id="rId58" Type="http://schemas.openxmlformats.org/officeDocument/2006/relationships/hyperlink" Target="https://undocs.org/CRC/C/AUS/CO/5-6" TargetMode="External"/><Relationship Id="rId5" Type="http://schemas.openxmlformats.org/officeDocument/2006/relationships/hyperlink" Target="https://disability.royalcommission.gov.au/about/Pages/Terms-of-reference.aspx" TargetMode="External"/><Relationship Id="rId61" Type="http://schemas.openxmlformats.org/officeDocument/2006/relationships/hyperlink" Target="https://tbinternet.ohchr.org/_layouts/15/treatybodyexternal/Download.aspx?symbolno=CAT/C/AUS/CO/4-5&amp;Lang=En" TargetMode="External"/><Relationship Id="rId19" Type="http://schemas.openxmlformats.org/officeDocument/2006/relationships/hyperlink" Target="http://wwda.org.au/wp-content/uploads/2013/12/WWDA_Sub_NDS_Review2014.pdf" TargetMode="External"/><Relationship Id="rId14" Type="http://schemas.openxmlformats.org/officeDocument/2006/relationships/hyperlink" Target="http://wwda.org.au/papers/subs/subs2011/" TargetMode="External"/><Relationship Id="rId22" Type="http://schemas.openxmlformats.org/officeDocument/2006/relationships/hyperlink" Target="https://disability.royalcommission.gov.au/publications/Pages/default.aspx" TargetMode="External"/><Relationship Id="rId27" Type="http://schemas.openxmlformats.org/officeDocument/2006/relationships/hyperlink" Target="https://www.respect.gov.au" TargetMode="External"/><Relationship Id="rId30" Type="http://schemas.openxmlformats.org/officeDocument/2006/relationships/hyperlink" Target="https://www.researchgate.net/publication/309728772_Disability_and_child_sexual_abuse_in_institutional_contexts_Royal_Commission_into_Institutional_Responses_to_Child_Sexual_Abuse" TargetMode="External"/><Relationship Id="rId35" Type="http://schemas.openxmlformats.org/officeDocument/2006/relationships/hyperlink" Target="https://www.canberratimes.com.au/story/6045738/autism-cage-details-emerge-as-united-nations-investigates-abuse-of-children/" TargetMode="External"/><Relationship Id="rId43" Type="http://schemas.openxmlformats.org/officeDocument/2006/relationships/hyperlink" Target="http://wwda.org.au/wp-content/uploads/2019/12/The-Status-of-Women-and-Girls-with-Disability-Asutralia.pdf" TargetMode="External"/><Relationship Id="rId48" Type="http://schemas.openxmlformats.org/officeDocument/2006/relationships/hyperlink" Target="https://disability.royalcommission.gov.au/sites/default/files/2019-12/transcript-4-november-2019.pdf" TargetMode="External"/><Relationship Id="rId56" Type="http://schemas.openxmlformats.org/officeDocument/2006/relationships/hyperlink" Target="https://undocs.org/CRPD/C/AUS/CO/2-3" TargetMode="External"/><Relationship Id="rId8" Type="http://schemas.openxmlformats.org/officeDocument/2006/relationships/hyperlink" Target="https://dpoa.org.au/crpd-review-factsheets/" TargetMode="External"/><Relationship Id="rId51" Type="http://schemas.openxmlformats.org/officeDocument/2006/relationships/hyperlink" Target="https://www.ourwatch.org.au/getmedia/634efd9c-dd7d-4e66-ba2c-5dc4780cff2f/RREiS_R3_Final_AA.pdf.aspx" TargetMode="External"/><Relationship Id="rId3" Type="http://schemas.openxmlformats.org/officeDocument/2006/relationships/hyperlink" Target="https://www.aph.gov.au/Parliamentary_Business/Committees/Senate/Community_Affairs/Violence_abuse_neglect" TargetMode="External"/><Relationship Id="rId12" Type="http://schemas.openxmlformats.org/officeDocument/2006/relationships/hyperlink" Target="https://www.anrows.org.au/publication/whatever-it-takes-access-for-women-with-disabilities-to-domestic-and-family-violence-services-key-findings-and-future-directions/" TargetMode="External"/><Relationship Id="rId17" Type="http://schemas.openxmlformats.org/officeDocument/2006/relationships/hyperlink" Target="https://dpoa.org.au/rights-of-people-with-disability-routinely-ignored-new-report/" TargetMode="External"/><Relationship Id="rId25" Type="http://schemas.openxmlformats.org/officeDocument/2006/relationships/hyperlink" Target="https://www.dss.gov.au/women/programs-services/reducing-violence/the-national-plan-to-reduce-violence-against-women-and-their-children-2010-2022" TargetMode="External"/><Relationship Id="rId33" Type="http://schemas.openxmlformats.org/officeDocument/2006/relationships/hyperlink" Target="https://www.abc.net.au/7.30/school-investigated-after-claims-boy-with-autism/7749660" TargetMode="External"/><Relationship Id="rId38" Type="http://schemas.openxmlformats.org/officeDocument/2006/relationships/hyperlink" Target="https://spcommreports.ohchr.org/TMResultsBase/DownLoadPublicCommunicationFile?gId=23020" TargetMode="External"/><Relationship Id="rId46" Type="http://schemas.openxmlformats.org/officeDocument/2006/relationships/hyperlink" Target="https://www.cyda.org.au/education-survey-results-2017" TargetMode="External"/><Relationship Id="rId59" Type="http://schemas.openxmlformats.org/officeDocument/2006/relationships/hyperlink" Target="https://undocs.org/en/E/C.12/AUS/CO/5" TargetMode="External"/><Relationship Id="rId20" Type="http://schemas.openxmlformats.org/officeDocument/2006/relationships/hyperlink" Target="https://www.ohchr.org/Documents/Publications/FactSheet33en.pdf" TargetMode="External"/><Relationship Id="rId41" Type="http://schemas.openxmlformats.org/officeDocument/2006/relationships/hyperlink" Target="https://disability.royalcommission.gov.au/sites/default/files/2019-12/transcript-4-november-2019.pdf" TargetMode="External"/><Relationship Id="rId54" Type="http://schemas.openxmlformats.org/officeDocument/2006/relationships/hyperlink" Target="https://pwd.org.au/services/training/sexuality-and-respectful-relationships/" TargetMode="External"/><Relationship Id="rId1" Type="http://schemas.openxmlformats.org/officeDocument/2006/relationships/hyperlink" Target="https://dpoa.org.au/our-work/ending-violence/" TargetMode="External"/><Relationship Id="rId6" Type="http://schemas.openxmlformats.org/officeDocument/2006/relationships/hyperlink" Target="https://disability.royalcommission.gov.au/about/Pages/accessibility-inclusion-strategy.aspx" TargetMode="External"/><Relationship Id="rId15" Type="http://schemas.openxmlformats.org/officeDocument/2006/relationships/hyperlink" Target="http://wwda.org.au/wp-content/uploads/2013/12/Think_Piece_Revised_Edition.pdf" TargetMode="External"/><Relationship Id="rId23" Type="http://schemas.openxmlformats.org/officeDocument/2006/relationships/hyperlink" Target="https://www.ohchr.org/EN/HRBodies/CRPD/Pages/GC.aspx" TargetMode="External"/><Relationship Id="rId28" Type="http://schemas.openxmlformats.org/officeDocument/2006/relationships/hyperlink" Target="https://www.education.vic.gov.au/about/programs/Pages/respectfulrelationships.aspx" TargetMode="External"/><Relationship Id="rId36" Type="http://schemas.openxmlformats.org/officeDocument/2006/relationships/hyperlink" Target="https://www.aph.gov.au/Parliamentary_Business/Committees/Senate/Community_Affairs/Violence_abuse_neglect/Report" TargetMode="External"/><Relationship Id="rId49" Type="http://schemas.openxmlformats.org/officeDocument/2006/relationships/hyperlink" Target="https://www.humanrights.gov.au/our-work/sex-discrimination/publications/change-course-national-report-sexual-assault-and-sexual" TargetMode="External"/><Relationship Id="rId57" Type="http://schemas.openxmlformats.org/officeDocument/2006/relationships/hyperlink" Target="https://tbinternet.ohchr.org/_layouts/15/treatybodyexternal/Download.aspx?symbolno=CEDAW/C/AUS/CO/8&amp;Lang=En" TargetMode="External"/><Relationship Id="rId10" Type="http://schemas.openxmlformats.org/officeDocument/2006/relationships/hyperlink" Target="https://www.ohchr.org/EN/HRBodies/CRPD/Pages/GC.aspx" TargetMode="External"/><Relationship Id="rId31" Type="http://schemas.openxmlformats.org/officeDocument/2006/relationships/hyperlink" Target="https://reliefweb.int/report/australia/implementation-opcat-australia" TargetMode="External"/><Relationship Id="rId44" Type="http://schemas.openxmlformats.org/officeDocument/2006/relationships/hyperlink" Target="http://wwda.org.au/wp-content/uploads/2013/12/STV_Outcomes_Paper.pdf" TargetMode="External"/><Relationship Id="rId52" Type="http://schemas.openxmlformats.org/officeDocument/2006/relationships/hyperlink" Target="http://theconversation.com/lets-make-it-mandatory-to-teach-respectful-relationships-in-every-australian-school-117659" TargetMode="External"/><Relationship Id="rId60" Type="http://schemas.openxmlformats.org/officeDocument/2006/relationships/hyperlink" Target="https://undocs.org/en/CCPR/C/AUS/CO/6" TargetMode="External"/><Relationship Id="rId4" Type="http://schemas.openxmlformats.org/officeDocument/2006/relationships/hyperlink" Target="https://www.aph.gov.au/Parliamentary_Business/Committees/Senate/Community_Affairs/Violence_abuse_neglect/Report" TargetMode="External"/><Relationship Id="rId9" Type="http://schemas.openxmlformats.org/officeDocument/2006/relationships/hyperlink" Target="https://acie.org.au/2019/11/12/disability-royal-commission-general-frequently-asked-ques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B4B9-8110-4D47-8ABB-17621BF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40</Pages>
  <Words>13256</Words>
  <Characters>75561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Carolyn Frohmader</cp:lastModifiedBy>
  <cp:revision>89</cp:revision>
  <cp:lastPrinted>2018-06-11T02:39:00Z</cp:lastPrinted>
  <dcterms:created xsi:type="dcterms:W3CDTF">2020-02-24T00:12:00Z</dcterms:created>
  <dcterms:modified xsi:type="dcterms:W3CDTF">2020-04-05T23:39:00Z</dcterms:modified>
</cp:coreProperties>
</file>