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BCFD6" w14:textId="77777777" w:rsidR="00982C11" w:rsidRDefault="00982C11" w:rsidP="007C3F60">
      <w:pPr>
        <w:spacing w:after="0" w:line="240" w:lineRule="auto"/>
      </w:pPr>
      <w:bookmarkStart w:id="0" w:name="_GoBack"/>
      <w:bookmarkEnd w:id="0"/>
    </w:p>
    <w:p w14:paraId="4631167D" w14:textId="77777777" w:rsidR="00DB0054" w:rsidRDefault="00DB0054" w:rsidP="007C3F60">
      <w:pPr>
        <w:spacing w:after="0" w:line="240" w:lineRule="auto"/>
        <w:jc w:val="center"/>
      </w:pPr>
    </w:p>
    <w:p w14:paraId="643899C4" w14:textId="77777777" w:rsidR="00DB0054" w:rsidRDefault="00DB0054" w:rsidP="007C3F60">
      <w:pPr>
        <w:spacing w:after="0" w:line="240" w:lineRule="auto"/>
        <w:jc w:val="center"/>
      </w:pPr>
      <w:r>
        <w:rPr>
          <w:rFonts w:ascii="Cambria" w:hAnsi="Cambria"/>
          <w:b/>
          <w:noProof/>
          <w:color w:val="CC9900"/>
          <w:sz w:val="18"/>
          <w:szCs w:val="18"/>
          <w:lang w:val="en-US"/>
        </w:rPr>
        <w:drawing>
          <wp:inline distT="0" distB="0" distL="0" distR="0" wp14:anchorId="7FBDA034" wp14:editId="28B7F98E">
            <wp:extent cx="3520440" cy="3136205"/>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VPlogo2 copy.jpg"/>
                    <pic:cNvPicPr/>
                  </pic:nvPicPr>
                  <pic:blipFill>
                    <a:blip r:embed="rId9">
                      <a:extLst>
                        <a:ext uri="{28A0092B-C50C-407E-A947-70E740481C1C}">
                          <a14:useLocalDpi xmlns:a14="http://schemas.microsoft.com/office/drawing/2010/main" val="0"/>
                        </a:ext>
                      </a:extLst>
                    </a:blip>
                    <a:stretch>
                      <a:fillRect/>
                    </a:stretch>
                  </pic:blipFill>
                  <pic:spPr>
                    <a:xfrm>
                      <a:off x="0" y="0"/>
                      <a:ext cx="3524106" cy="3139471"/>
                    </a:xfrm>
                    <a:prstGeom prst="rect">
                      <a:avLst/>
                    </a:prstGeom>
                  </pic:spPr>
                </pic:pic>
              </a:graphicData>
            </a:graphic>
          </wp:inline>
        </w:drawing>
      </w:r>
    </w:p>
    <w:p w14:paraId="6A6FE4AB" w14:textId="77777777" w:rsidR="00DB0054" w:rsidRDefault="00DB0054" w:rsidP="007C3F60">
      <w:pPr>
        <w:spacing w:after="0" w:line="240" w:lineRule="auto"/>
        <w:jc w:val="center"/>
      </w:pPr>
    </w:p>
    <w:p w14:paraId="61A4669C" w14:textId="77777777" w:rsidR="00DB0054" w:rsidRDefault="00DB0054" w:rsidP="007C3F60">
      <w:pPr>
        <w:spacing w:after="0" w:line="240" w:lineRule="auto"/>
      </w:pPr>
    </w:p>
    <w:p w14:paraId="7B015D7D" w14:textId="77777777" w:rsidR="00DB0054" w:rsidRDefault="00DB0054" w:rsidP="007C3F60">
      <w:pPr>
        <w:spacing w:after="0" w:line="240" w:lineRule="auto"/>
      </w:pPr>
    </w:p>
    <w:p w14:paraId="665FB1AF" w14:textId="5545F5FE" w:rsidR="002A1B34" w:rsidRDefault="00DB0054" w:rsidP="007C3F60">
      <w:pPr>
        <w:spacing w:after="0" w:line="240" w:lineRule="auto"/>
        <w:jc w:val="center"/>
        <w:rPr>
          <w:rFonts w:ascii="Geneva" w:hAnsi="Geneva"/>
          <w:b/>
          <w:color w:val="000066"/>
          <w:sz w:val="36"/>
          <w:szCs w:val="36"/>
        </w:rPr>
      </w:pPr>
      <w:r w:rsidRPr="00B82EAA">
        <w:rPr>
          <w:rFonts w:ascii="Geneva" w:hAnsi="Geneva"/>
          <w:b/>
          <w:color w:val="000066"/>
          <w:sz w:val="36"/>
          <w:szCs w:val="36"/>
        </w:rPr>
        <w:t>Preventi</w:t>
      </w:r>
      <w:r w:rsidR="002A1B34">
        <w:rPr>
          <w:rFonts w:ascii="Geneva" w:hAnsi="Geneva"/>
          <w:b/>
          <w:color w:val="000066"/>
          <w:sz w:val="36"/>
          <w:szCs w:val="36"/>
        </w:rPr>
        <w:t>ng</w:t>
      </w:r>
      <w:r w:rsidRPr="00B82EAA">
        <w:rPr>
          <w:rFonts w:ascii="Geneva" w:hAnsi="Geneva"/>
          <w:b/>
          <w:color w:val="000066"/>
          <w:sz w:val="36"/>
          <w:szCs w:val="36"/>
        </w:rPr>
        <w:t xml:space="preserve"> Violence against Women and Girls with Disabilities</w:t>
      </w:r>
      <w:r w:rsidR="00306B8F">
        <w:rPr>
          <w:rFonts w:ascii="Geneva" w:hAnsi="Geneva"/>
          <w:b/>
          <w:color w:val="000066"/>
          <w:sz w:val="36"/>
          <w:szCs w:val="36"/>
        </w:rPr>
        <w:t xml:space="preserve">: </w:t>
      </w:r>
      <w:r w:rsidR="00FB4003">
        <w:rPr>
          <w:rFonts w:ascii="Geneva" w:hAnsi="Geneva"/>
          <w:b/>
          <w:color w:val="000066"/>
          <w:sz w:val="36"/>
          <w:szCs w:val="36"/>
        </w:rPr>
        <w:t xml:space="preserve">Integrating </w:t>
      </w:r>
      <w:r w:rsidR="002A1B34">
        <w:rPr>
          <w:rFonts w:ascii="Geneva" w:hAnsi="Geneva"/>
          <w:b/>
          <w:color w:val="000066"/>
          <w:sz w:val="36"/>
          <w:szCs w:val="36"/>
        </w:rPr>
        <w:t xml:space="preserve">A Human Rights </w:t>
      </w:r>
      <w:r w:rsidR="00FB4003">
        <w:rPr>
          <w:rFonts w:ascii="Geneva" w:hAnsi="Geneva"/>
          <w:b/>
          <w:color w:val="000066"/>
          <w:sz w:val="36"/>
          <w:szCs w:val="36"/>
        </w:rPr>
        <w:t>Perspective</w:t>
      </w:r>
    </w:p>
    <w:p w14:paraId="5C65435E" w14:textId="77777777" w:rsidR="002A1B34" w:rsidRDefault="002A1B34" w:rsidP="007C3F60">
      <w:pPr>
        <w:spacing w:after="0" w:line="240" w:lineRule="auto"/>
        <w:jc w:val="center"/>
        <w:rPr>
          <w:rFonts w:ascii="Geneva" w:hAnsi="Geneva"/>
          <w:b/>
          <w:color w:val="000066"/>
          <w:sz w:val="36"/>
          <w:szCs w:val="36"/>
        </w:rPr>
      </w:pPr>
    </w:p>
    <w:p w14:paraId="415076C0" w14:textId="77777777" w:rsidR="00DB0054" w:rsidRDefault="00DB0054" w:rsidP="007C3F60">
      <w:pPr>
        <w:spacing w:after="0" w:line="240" w:lineRule="auto"/>
      </w:pPr>
    </w:p>
    <w:p w14:paraId="46E8799E" w14:textId="289D9067" w:rsidR="00DB0054" w:rsidRDefault="00DB0054" w:rsidP="007C3F60">
      <w:pPr>
        <w:spacing w:after="0" w:line="240" w:lineRule="auto"/>
        <w:jc w:val="center"/>
      </w:pPr>
      <w:r>
        <w:rPr>
          <w:rFonts w:ascii="Geneva" w:hAnsi="Geneva"/>
          <w:b/>
          <w:color w:val="000066"/>
          <w:sz w:val="28"/>
          <w:szCs w:val="28"/>
        </w:rPr>
        <w:t>Think Piece</w:t>
      </w:r>
      <w:r w:rsidRPr="00B82EAA">
        <w:rPr>
          <w:rFonts w:ascii="Geneva" w:hAnsi="Geneva"/>
          <w:b/>
          <w:color w:val="000066"/>
          <w:sz w:val="28"/>
          <w:szCs w:val="28"/>
        </w:rPr>
        <w:t xml:space="preserve"> Document</w:t>
      </w:r>
      <w:r w:rsidR="004C2550">
        <w:rPr>
          <w:rFonts w:ascii="Geneva" w:hAnsi="Geneva"/>
          <w:b/>
          <w:color w:val="000066"/>
          <w:sz w:val="28"/>
          <w:szCs w:val="28"/>
        </w:rPr>
        <w:t xml:space="preserve"> for the Development of the National Framework to Prevent Violence Against Women</w:t>
      </w:r>
    </w:p>
    <w:p w14:paraId="5F8E8261" w14:textId="77777777" w:rsidR="00DB0054" w:rsidRDefault="00DB0054" w:rsidP="007C3F60">
      <w:pPr>
        <w:spacing w:after="0" w:line="240" w:lineRule="auto"/>
      </w:pPr>
    </w:p>
    <w:p w14:paraId="792CB739" w14:textId="77777777" w:rsidR="00DB0054" w:rsidRDefault="00DB0054" w:rsidP="007C3F60">
      <w:pPr>
        <w:spacing w:after="0" w:line="240" w:lineRule="auto"/>
      </w:pPr>
    </w:p>
    <w:p w14:paraId="437E0CCE" w14:textId="77777777" w:rsidR="00DB0054" w:rsidRDefault="00DB0054" w:rsidP="007C3F60">
      <w:pPr>
        <w:spacing w:after="0" w:line="240" w:lineRule="auto"/>
      </w:pPr>
    </w:p>
    <w:p w14:paraId="04FF9DB3" w14:textId="77777777" w:rsidR="00DB0054" w:rsidRDefault="00DB0054" w:rsidP="007C3F60">
      <w:pPr>
        <w:spacing w:after="0" w:line="240" w:lineRule="auto"/>
      </w:pPr>
    </w:p>
    <w:p w14:paraId="5D519725" w14:textId="77777777" w:rsidR="00DB0054" w:rsidRDefault="00DB0054" w:rsidP="007C3F60">
      <w:pPr>
        <w:pStyle w:val="NoSpacing"/>
        <w:jc w:val="center"/>
        <w:rPr>
          <w:rFonts w:ascii="Geneva" w:hAnsi="Geneva"/>
          <w:b/>
          <w:color w:val="000066"/>
        </w:rPr>
      </w:pPr>
      <w:r w:rsidRPr="00DB0054">
        <w:rPr>
          <w:rFonts w:ascii="Geneva" w:hAnsi="Geneva"/>
          <w:b/>
          <w:color w:val="000066"/>
        </w:rPr>
        <w:t>B</w:t>
      </w:r>
      <w:r w:rsidR="00356E84" w:rsidRPr="00DB0054">
        <w:rPr>
          <w:rFonts w:ascii="Geneva" w:hAnsi="Geneva"/>
          <w:b/>
          <w:color w:val="000066"/>
        </w:rPr>
        <w:t>y Carolyn Frohmader (</w:t>
      </w:r>
      <w:r w:rsidRPr="00DB0054">
        <w:rPr>
          <w:rFonts w:ascii="Geneva" w:hAnsi="Geneva"/>
          <w:b/>
          <w:bCs/>
          <w:color w:val="000066"/>
        </w:rPr>
        <w:t>Women With Disabilities Australia</w:t>
      </w:r>
      <w:r w:rsidR="00356E84" w:rsidRPr="00DB0054">
        <w:rPr>
          <w:rFonts w:ascii="Geneva" w:hAnsi="Geneva"/>
          <w:b/>
          <w:color w:val="000066"/>
        </w:rPr>
        <w:t xml:space="preserve">) </w:t>
      </w:r>
    </w:p>
    <w:p w14:paraId="1E204C59" w14:textId="77777777" w:rsidR="00DB0054" w:rsidRDefault="00356E84" w:rsidP="007C3F60">
      <w:pPr>
        <w:pStyle w:val="NoSpacing"/>
        <w:jc w:val="center"/>
        <w:rPr>
          <w:rFonts w:ascii="Geneva" w:hAnsi="Geneva"/>
          <w:b/>
          <w:color w:val="000066"/>
        </w:rPr>
      </w:pPr>
      <w:r w:rsidRPr="00DB0054">
        <w:rPr>
          <w:rFonts w:ascii="Geneva" w:hAnsi="Geneva"/>
          <w:b/>
          <w:color w:val="000066"/>
        </w:rPr>
        <w:t>Associate Professor Leanne Dowse (</w:t>
      </w:r>
      <w:r w:rsidR="00DB0054" w:rsidRPr="00DB0054">
        <w:rPr>
          <w:rFonts w:ascii="Geneva" w:hAnsi="Geneva"/>
          <w:b/>
          <w:color w:val="000066"/>
        </w:rPr>
        <w:t>University of New South Wales</w:t>
      </w:r>
      <w:r w:rsidRPr="00DB0054">
        <w:rPr>
          <w:rFonts w:ascii="Geneva" w:hAnsi="Geneva"/>
          <w:b/>
          <w:color w:val="000066"/>
        </w:rPr>
        <w:t xml:space="preserve">) </w:t>
      </w:r>
    </w:p>
    <w:p w14:paraId="581DA701" w14:textId="77777777" w:rsidR="00356E84" w:rsidRPr="00DB0054" w:rsidRDefault="00356E84" w:rsidP="007C3F60">
      <w:pPr>
        <w:pStyle w:val="NoSpacing"/>
        <w:jc w:val="center"/>
        <w:rPr>
          <w:rFonts w:ascii="Geneva" w:hAnsi="Geneva"/>
          <w:b/>
          <w:color w:val="000066"/>
        </w:rPr>
      </w:pPr>
      <w:r w:rsidRPr="00DB0054">
        <w:rPr>
          <w:rFonts w:ascii="Geneva" w:hAnsi="Geneva"/>
          <w:b/>
          <w:color w:val="000066"/>
        </w:rPr>
        <w:t>Dr Aminath Didi (</w:t>
      </w:r>
      <w:r w:rsidR="00DB0054" w:rsidRPr="00DB0054">
        <w:rPr>
          <w:rFonts w:ascii="Geneva" w:hAnsi="Geneva"/>
          <w:b/>
          <w:color w:val="000066"/>
        </w:rPr>
        <w:t>University of New South Wales</w:t>
      </w:r>
      <w:r w:rsidRPr="00DB0054">
        <w:rPr>
          <w:rFonts w:ascii="Geneva" w:hAnsi="Geneva"/>
          <w:b/>
          <w:color w:val="000066"/>
        </w:rPr>
        <w:t>)</w:t>
      </w:r>
    </w:p>
    <w:p w14:paraId="049CC5CE" w14:textId="77777777" w:rsidR="00356E84" w:rsidRPr="00DB0054" w:rsidRDefault="00356E84" w:rsidP="007C3F60">
      <w:pPr>
        <w:pStyle w:val="NoSpacing"/>
        <w:jc w:val="center"/>
        <w:rPr>
          <w:rFonts w:ascii="Geneva" w:hAnsi="Geneva" w:cs="Arial"/>
          <w:b/>
          <w:color w:val="000066"/>
        </w:rPr>
      </w:pPr>
    </w:p>
    <w:p w14:paraId="0D5D2DA8" w14:textId="77777777" w:rsidR="00356E84" w:rsidRPr="00DB0054" w:rsidRDefault="00356E84" w:rsidP="007C3F60">
      <w:pPr>
        <w:spacing w:after="0" w:line="240" w:lineRule="auto"/>
        <w:jc w:val="center"/>
        <w:rPr>
          <w:rFonts w:ascii="Geneva" w:hAnsi="Geneva" w:cs="Arial"/>
          <w:b/>
          <w:color w:val="000066"/>
          <w:sz w:val="18"/>
          <w:szCs w:val="18"/>
        </w:rPr>
      </w:pPr>
      <w:r w:rsidRPr="00DB0054">
        <w:rPr>
          <w:rFonts w:ascii="Geneva" w:hAnsi="Geneva" w:cs="Arial"/>
          <w:b/>
          <w:color w:val="000066"/>
          <w:sz w:val="18"/>
          <w:szCs w:val="18"/>
        </w:rPr>
        <w:t xml:space="preserve">January 2015 </w:t>
      </w:r>
    </w:p>
    <w:p w14:paraId="4AAD33E3" w14:textId="77777777" w:rsidR="00356E84" w:rsidRDefault="00356E84" w:rsidP="007C3F60">
      <w:pPr>
        <w:spacing w:after="0" w:line="240" w:lineRule="auto"/>
      </w:pPr>
    </w:p>
    <w:p w14:paraId="27476C15" w14:textId="77777777" w:rsidR="00356E84" w:rsidRDefault="00356E84" w:rsidP="007C3F60">
      <w:pPr>
        <w:spacing w:after="0" w:line="240" w:lineRule="auto"/>
      </w:pPr>
    </w:p>
    <w:p w14:paraId="7A0A36F8" w14:textId="77777777" w:rsidR="00356E84" w:rsidRDefault="00356E84" w:rsidP="007C3F60">
      <w:pPr>
        <w:spacing w:after="0" w:line="240" w:lineRule="auto"/>
      </w:pPr>
    </w:p>
    <w:p w14:paraId="74EBC406" w14:textId="77777777" w:rsidR="00356E84" w:rsidRDefault="00356E84" w:rsidP="007C3F60">
      <w:pPr>
        <w:spacing w:after="0" w:line="240" w:lineRule="auto"/>
      </w:pPr>
    </w:p>
    <w:p w14:paraId="13CC04CE" w14:textId="77777777" w:rsidR="00356E84" w:rsidRPr="00356E84" w:rsidRDefault="00356E84" w:rsidP="007C3F60">
      <w:pPr>
        <w:spacing w:after="0" w:line="240" w:lineRule="auto"/>
        <w:rPr>
          <w:sz w:val="18"/>
          <w:szCs w:val="18"/>
        </w:rPr>
      </w:pPr>
    </w:p>
    <w:tbl>
      <w:tblPr>
        <w:tblW w:w="0" w:type="auto"/>
        <w:tblLayout w:type="fixed"/>
        <w:tblLook w:val="04A0" w:firstRow="1" w:lastRow="0" w:firstColumn="1" w:lastColumn="0" w:noHBand="0" w:noVBand="1"/>
      </w:tblPr>
      <w:tblGrid>
        <w:gridCol w:w="5103"/>
        <w:gridCol w:w="5103"/>
      </w:tblGrid>
      <w:tr w:rsidR="00356E84" w:rsidRPr="00356E84" w14:paraId="3CF87F02" w14:textId="77777777" w:rsidTr="00356E84">
        <w:trPr>
          <w:trHeight w:val="742"/>
        </w:trPr>
        <w:tc>
          <w:tcPr>
            <w:tcW w:w="5103" w:type="dxa"/>
            <w:shd w:val="clear" w:color="auto" w:fill="auto"/>
          </w:tcPr>
          <w:p w14:paraId="14E11899" w14:textId="11327FD1" w:rsidR="00356E84" w:rsidRPr="00356E84" w:rsidRDefault="000C6F5B" w:rsidP="007C3F60">
            <w:pPr>
              <w:spacing w:after="0" w:line="240" w:lineRule="auto"/>
              <w:jc w:val="center"/>
              <w:rPr>
                <w:rFonts w:ascii="Cambria" w:hAnsi="Cambria"/>
                <w:b/>
                <w:bCs/>
                <w:sz w:val="18"/>
                <w:szCs w:val="18"/>
              </w:rPr>
            </w:pPr>
            <w:r>
              <w:rPr>
                <w:noProof/>
                <w:lang w:val="en-US"/>
              </w:rPr>
              <w:drawing>
                <wp:inline distT="0" distB="0" distL="0" distR="0" wp14:anchorId="595E2674" wp14:editId="347EDC58">
                  <wp:extent cx="910590" cy="475874"/>
                  <wp:effectExtent l="0" t="0" r="381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 small.jpg"/>
                          <pic:cNvPicPr/>
                        </pic:nvPicPr>
                        <pic:blipFill>
                          <a:blip r:embed="rId10">
                            <a:extLst>
                              <a:ext uri="{28A0092B-C50C-407E-A947-70E740481C1C}">
                                <a14:useLocalDpi xmlns:a14="http://schemas.microsoft.com/office/drawing/2010/main" val="0"/>
                              </a:ext>
                            </a:extLst>
                          </a:blip>
                          <a:stretch>
                            <a:fillRect/>
                          </a:stretch>
                        </pic:blipFill>
                        <pic:spPr>
                          <a:xfrm>
                            <a:off x="0" y="0"/>
                            <a:ext cx="911421" cy="476308"/>
                          </a:xfrm>
                          <a:prstGeom prst="rect">
                            <a:avLst/>
                          </a:prstGeom>
                        </pic:spPr>
                      </pic:pic>
                    </a:graphicData>
                  </a:graphic>
                </wp:inline>
              </w:drawing>
            </w:r>
          </w:p>
        </w:tc>
        <w:tc>
          <w:tcPr>
            <w:tcW w:w="5103" w:type="dxa"/>
            <w:shd w:val="clear" w:color="auto" w:fill="auto"/>
          </w:tcPr>
          <w:p w14:paraId="1A795D2E" w14:textId="77777777" w:rsidR="00356E84" w:rsidRPr="00356E84" w:rsidRDefault="00356E84" w:rsidP="007C3F60">
            <w:pPr>
              <w:spacing w:after="0" w:line="240" w:lineRule="auto"/>
              <w:jc w:val="center"/>
              <w:rPr>
                <w:rFonts w:ascii="Cambria" w:hAnsi="Cambria"/>
                <w:b/>
                <w:sz w:val="18"/>
                <w:szCs w:val="18"/>
              </w:rPr>
            </w:pPr>
            <w:r w:rsidRPr="00356E84">
              <w:rPr>
                <w:rFonts w:ascii="Cambria" w:hAnsi="Cambria"/>
                <w:b/>
                <w:noProof/>
                <w:sz w:val="18"/>
                <w:szCs w:val="18"/>
                <w:lang w:val="en-US"/>
              </w:rPr>
              <w:drawing>
                <wp:inline distT="0" distB="0" distL="0" distR="0" wp14:anchorId="32C00A34" wp14:editId="0C544383">
                  <wp:extent cx="416560" cy="4165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p>
        </w:tc>
      </w:tr>
      <w:tr w:rsidR="00356E84" w:rsidRPr="00356E84" w14:paraId="0E29523E" w14:textId="77777777" w:rsidTr="00356E84">
        <w:tc>
          <w:tcPr>
            <w:tcW w:w="5103" w:type="dxa"/>
            <w:shd w:val="clear" w:color="auto" w:fill="auto"/>
          </w:tcPr>
          <w:p w14:paraId="242D4CA4" w14:textId="77777777" w:rsidR="00356E84" w:rsidRPr="00356E84" w:rsidRDefault="00356E84" w:rsidP="007C3F60">
            <w:pPr>
              <w:spacing w:after="0" w:line="240" w:lineRule="auto"/>
              <w:jc w:val="center"/>
              <w:rPr>
                <w:rFonts w:ascii="Cambria" w:hAnsi="Cambria"/>
                <w:b/>
                <w:bCs/>
                <w:sz w:val="18"/>
                <w:szCs w:val="18"/>
              </w:rPr>
            </w:pPr>
            <w:r w:rsidRPr="00356E84">
              <w:rPr>
                <w:rFonts w:ascii="Cambria" w:hAnsi="Cambria"/>
                <w:b/>
                <w:bCs/>
                <w:sz w:val="18"/>
                <w:szCs w:val="18"/>
              </w:rPr>
              <w:t>Women With Disabilities Australia (WWDA)</w:t>
            </w:r>
          </w:p>
        </w:tc>
        <w:tc>
          <w:tcPr>
            <w:tcW w:w="5103" w:type="dxa"/>
            <w:shd w:val="clear" w:color="auto" w:fill="auto"/>
          </w:tcPr>
          <w:p w14:paraId="78E1EC0B"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b/>
                <w:sz w:val="18"/>
                <w:szCs w:val="18"/>
              </w:rPr>
              <w:t>The University of New South Wales (UNSW)</w:t>
            </w:r>
          </w:p>
        </w:tc>
      </w:tr>
      <w:tr w:rsidR="00356E84" w:rsidRPr="00356E84" w14:paraId="63CB1730" w14:textId="77777777" w:rsidTr="00356E84">
        <w:tc>
          <w:tcPr>
            <w:tcW w:w="5103" w:type="dxa"/>
            <w:shd w:val="clear" w:color="auto" w:fill="auto"/>
          </w:tcPr>
          <w:p w14:paraId="6244CBE5"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sz w:val="18"/>
                <w:szCs w:val="18"/>
              </w:rPr>
              <w:t>PO BOX 407 |LENAH VALLEY| TAS 7008 |AUSTRALIA</w:t>
            </w:r>
          </w:p>
        </w:tc>
        <w:tc>
          <w:tcPr>
            <w:tcW w:w="5103" w:type="dxa"/>
            <w:shd w:val="clear" w:color="auto" w:fill="auto"/>
          </w:tcPr>
          <w:p w14:paraId="044EF2F3"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sz w:val="18"/>
                <w:szCs w:val="18"/>
              </w:rPr>
              <w:t>SYDNEY | NSW 2052 | AUSTRALIA</w:t>
            </w:r>
          </w:p>
        </w:tc>
      </w:tr>
      <w:tr w:rsidR="00356E84" w:rsidRPr="00356E84" w14:paraId="7EAEB423" w14:textId="77777777" w:rsidTr="00356E84">
        <w:tc>
          <w:tcPr>
            <w:tcW w:w="5103" w:type="dxa"/>
            <w:shd w:val="clear" w:color="auto" w:fill="auto"/>
          </w:tcPr>
          <w:p w14:paraId="01456E26" w14:textId="0D3655D0" w:rsidR="00356E84" w:rsidRPr="00356E84" w:rsidRDefault="00356E84" w:rsidP="00580936">
            <w:pPr>
              <w:spacing w:after="0" w:line="240" w:lineRule="auto"/>
              <w:jc w:val="center"/>
              <w:rPr>
                <w:rFonts w:ascii="Cambria" w:hAnsi="Cambria"/>
                <w:sz w:val="18"/>
                <w:szCs w:val="18"/>
              </w:rPr>
            </w:pPr>
            <w:r w:rsidRPr="00356E84">
              <w:rPr>
                <w:rFonts w:ascii="Cambria" w:hAnsi="Cambria"/>
                <w:sz w:val="18"/>
                <w:szCs w:val="18"/>
              </w:rPr>
              <w:t>T</w:t>
            </w:r>
            <w:r w:rsidR="00580936">
              <w:rPr>
                <w:rFonts w:ascii="Cambria" w:hAnsi="Cambria"/>
                <w:sz w:val="18"/>
                <w:szCs w:val="18"/>
              </w:rPr>
              <w:t>:</w:t>
            </w:r>
            <w:r w:rsidRPr="00356E84">
              <w:rPr>
                <w:rFonts w:ascii="Cambria" w:hAnsi="Cambria"/>
                <w:sz w:val="18"/>
                <w:szCs w:val="18"/>
              </w:rPr>
              <w:t xml:space="preserve"> </w:t>
            </w:r>
            <w:r w:rsidR="00580936">
              <w:rPr>
                <w:rFonts w:ascii="Cambria" w:hAnsi="Cambria"/>
                <w:sz w:val="18"/>
                <w:szCs w:val="18"/>
              </w:rPr>
              <w:t>+61 438 535 123</w:t>
            </w:r>
          </w:p>
        </w:tc>
        <w:tc>
          <w:tcPr>
            <w:tcW w:w="5103" w:type="dxa"/>
            <w:shd w:val="clear" w:color="auto" w:fill="auto"/>
          </w:tcPr>
          <w:p w14:paraId="5F9F55E2"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sz w:val="18"/>
                <w:szCs w:val="18"/>
              </w:rPr>
              <w:t>T +61 (2) 9385 2608</w:t>
            </w:r>
          </w:p>
        </w:tc>
      </w:tr>
      <w:tr w:rsidR="00356E84" w:rsidRPr="00356E84" w14:paraId="270642ED" w14:textId="77777777" w:rsidTr="00356E84">
        <w:tc>
          <w:tcPr>
            <w:tcW w:w="5103" w:type="dxa"/>
            <w:shd w:val="clear" w:color="auto" w:fill="auto"/>
          </w:tcPr>
          <w:p w14:paraId="0F41A3BF"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sz w:val="18"/>
                <w:szCs w:val="18"/>
              </w:rPr>
              <w:t>E:  carolyn@wwda.org.au</w:t>
            </w:r>
          </w:p>
        </w:tc>
        <w:tc>
          <w:tcPr>
            <w:tcW w:w="5103" w:type="dxa"/>
            <w:shd w:val="clear" w:color="auto" w:fill="auto"/>
          </w:tcPr>
          <w:p w14:paraId="643381C5" w14:textId="77777777" w:rsidR="00356E84" w:rsidRPr="00356E84" w:rsidRDefault="00356E84" w:rsidP="007C3F60">
            <w:pPr>
              <w:spacing w:after="0" w:line="240" w:lineRule="auto"/>
              <w:jc w:val="center"/>
              <w:rPr>
                <w:rFonts w:ascii="Cambria" w:hAnsi="Cambria"/>
                <w:sz w:val="18"/>
                <w:szCs w:val="18"/>
              </w:rPr>
            </w:pPr>
            <w:r w:rsidRPr="00356E84">
              <w:rPr>
                <w:rFonts w:ascii="Cambria" w:hAnsi="Cambria"/>
                <w:sz w:val="18"/>
                <w:szCs w:val="18"/>
              </w:rPr>
              <w:t>E:  l.dowse@unsw.edu.au</w:t>
            </w:r>
          </w:p>
        </w:tc>
      </w:tr>
    </w:tbl>
    <w:p w14:paraId="36424834" w14:textId="77777777" w:rsidR="00356E84" w:rsidRDefault="00356E84" w:rsidP="007C3F60">
      <w:pPr>
        <w:spacing w:after="0" w:line="240" w:lineRule="auto"/>
      </w:pPr>
    </w:p>
    <w:p w14:paraId="27D8BF05" w14:textId="77777777" w:rsidR="00DB0054" w:rsidRDefault="00DB0054" w:rsidP="007C3F60">
      <w:pPr>
        <w:spacing w:after="0" w:line="240" w:lineRule="auto"/>
      </w:pPr>
      <w:r>
        <w:br w:type="page"/>
      </w:r>
    </w:p>
    <w:p w14:paraId="357770F1" w14:textId="17BE3CBD" w:rsidR="000C6F5B" w:rsidRPr="007C3F60" w:rsidRDefault="000C6F5B" w:rsidP="000C6F5B">
      <w:pPr>
        <w:pStyle w:val="NoSpacing"/>
        <w:rPr>
          <w:rFonts w:asciiTheme="minorHAnsi" w:hAnsiTheme="minorHAnsi"/>
          <w:color w:val="1F497D" w:themeColor="text2"/>
          <w:sz w:val="32"/>
          <w:szCs w:val="32"/>
        </w:rPr>
      </w:pPr>
      <w:r w:rsidRPr="000C6F5B">
        <w:rPr>
          <w:rFonts w:asciiTheme="minorHAnsi" w:hAnsiTheme="minorHAnsi"/>
          <w:color w:val="1F497D" w:themeColor="text2"/>
          <w:sz w:val="32"/>
          <w:szCs w:val="32"/>
        </w:rPr>
        <w:lastRenderedPageBreak/>
        <w:t>Publishing Information</w:t>
      </w:r>
    </w:p>
    <w:p w14:paraId="08D69861" w14:textId="77777777" w:rsidR="000C6F5B" w:rsidRPr="00BE68B8" w:rsidRDefault="000C6F5B" w:rsidP="000C6F5B">
      <w:pPr>
        <w:pStyle w:val="NoSpacing"/>
        <w:pBdr>
          <w:bottom w:val="single" w:sz="12" w:space="1" w:color="auto"/>
        </w:pBdr>
        <w:rPr>
          <w:sz w:val="16"/>
          <w:szCs w:val="16"/>
        </w:rPr>
      </w:pPr>
    </w:p>
    <w:p w14:paraId="2BA07218" w14:textId="77777777" w:rsidR="000C6F5B" w:rsidRPr="000C6F5B" w:rsidRDefault="000C6F5B" w:rsidP="000C6F5B">
      <w:pPr>
        <w:pStyle w:val="NoSpacing"/>
        <w:rPr>
          <w:rFonts w:asciiTheme="minorHAnsi" w:hAnsiTheme="minorHAnsi"/>
          <w:sz w:val="20"/>
          <w:szCs w:val="20"/>
        </w:rPr>
      </w:pPr>
    </w:p>
    <w:p w14:paraId="4545C6AE" w14:textId="495DB092" w:rsidR="000C6F5B" w:rsidRPr="000C6F5B" w:rsidRDefault="000C6F5B" w:rsidP="000C6F5B">
      <w:pPr>
        <w:pStyle w:val="NoSpacing"/>
        <w:rPr>
          <w:rFonts w:asciiTheme="minorHAnsi" w:hAnsiTheme="minorHAnsi"/>
          <w:i/>
          <w:sz w:val="20"/>
          <w:szCs w:val="20"/>
        </w:rPr>
      </w:pPr>
      <w:r w:rsidRPr="000C6F5B">
        <w:rPr>
          <w:rFonts w:asciiTheme="minorHAnsi" w:hAnsiTheme="minorHAnsi"/>
          <w:i/>
          <w:sz w:val="20"/>
          <w:szCs w:val="20"/>
        </w:rPr>
        <w:t>‘Preventing Violence against Women and Girls with Disabilities: Integrating A Human Rights Perspective’</w:t>
      </w:r>
    </w:p>
    <w:p w14:paraId="20E3D163" w14:textId="77777777" w:rsidR="000C6F5B" w:rsidRPr="000C6F5B" w:rsidRDefault="000C6F5B" w:rsidP="000C6F5B">
      <w:pPr>
        <w:pStyle w:val="NoSpacing"/>
        <w:rPr>
          <w:rFonts w:asciiTheme="minorHAnsi" w:hAnsiTheme="minorHAnsi"/>
          <w:sz w:val="20"/>
          <w:szCs w:val="20"/>
        </w:rPr>
      </w:pPr>
    </w:p>
    <w:p w14:paraId="47500D69" w14:textId="69B58171" w:rsidR="000C6F5B" w:rsidRPr="000C6F5B" w:rsidRDefault="000C6F5B" w:rsidP="000C6F5B">
      <w:pPr>
        <w:pStyle w:val="NoSpacing"/>
        <w:rPr>
          <w:rFonts w:asciiTheme="minorHAnsi" w:hAnsiTheme="minorHAnsi"/>
          <w:sz w:val="20"/>
          <w:szCs w:val="20"/>
        </w:rPr>
      </w:pPr>
      <w:r w:rsidRPr="000C6F5B">
        <w:rPr>
          <w:rFonts w:asciiTheme="minorHAnsi" w:hAnsiTheme="minorHAnsi"/>
          <w:sz w:val="20"/>
          <w:szCs w:val="20"/>
        </w:rPr>
        <w:t xml:space="preserve">By Carolyn Frohmader (Women With Disabilities Australia), Associate Professor Leanne Dowse (University of New South Wales) and Dr </w:t>
      </w:r>
      <w:proofErr w:type="spellStart"/>
      <w:r w:rsidRPr="000C6F5B">
        <w:rPr>
          <w:rFonts w:asciiTheme="minorHAnsi" w:hAnsiTheme="minorHAnsi"/>
          <w:sz w:val="20"/>
          <w:szCs w:val="20"/>
        </w:rPr>
        <w:t>Aminath</w:t>
      </w:r>
      <w:proofErr w:type="spellEnd"/>
      <w:r w:rsidRPr="000C6F5B">
        <w:rPr>
          <w:rFonts w:asciiTheme="minorHAnsi" w:hAnsiTheme="minorHAnsi"/>
          <w:sz w:val="20"/>
          <w:szCs w:val="20"/>
        </w:rPr>
        <w:t xml:space="preserve"> </w:t>
      </w:r>
      <w:proofErr w:type="spellStart"/>
      <w:r w:rsidRPr="000C6F5B">
        <w:rPr>
          <w:rFonts w:asciiTheme="minorHAnsi" w:hAnsiTheme="minorHAnsi"/>
          <w:sz w:val="20"/>
          <w:szCs w:val="20"/>
        </w:rPr>
        <w:t>Didi</w:t>
      </w:r>
      <w:proofErr w:type="spellEnd"/>
      <w:r w:rsidRPr="000C6F5B">
        <w:rPr>
          <w:rFonts w:asciiTheme="minorHAnsi" w:hAnsiTheme="minorHAnsi"/>
          <w:sz w:val="20"/>
          <w:szCs w:val="20"/>
        </w:rPr>
        <w:t xml:space="preserve"> (University of New South Wales)</w:t>
      </w:r>
    </w:p>
    <w:p w14:paraId="7FABC72F" w14:textId="77777777" w:rsidR="000C6F5B" w:rsidRPr="000C6F5B" w:rsidRDefault="000C6F5B" w:rsidP="000C6F5B">
      <w:pPr>
        <w:pStyle w:val="NoSpacing"/>
        <w:rPr>
          <w:rFonts w:asciiTheme="minorHAnsi" w:hAnsiTheme="minorHAnsi"/>
          <w:sz w:val="20"/>
          <w:szCs w:val="20"/>
        </w:rPr>
      </w:pPr>
    </w:p>
    <w:p w14:paraId="7C0540B2" w14:textId="26E91FF9" w:rsidR="000C6F5B" w:rsidRPr="000C6F5B" w:rsidRDefault="000C6F5B" w:rsidP="000C6F5B">
      <w:pPr>
        <w:pStyle w:val="NoSpacing"/>
        <w:rPr>
          <w:rFonts w:asciiTheme="minorHAnsi" w:hAnsiTheme="minorHAnsi"/>
          <w:sz w:val="20"/>
          <w:szCs w:val="20"/>
        </w:rPr>
      </w:pPr>
      <w:r w:rsidRPr="000C6F5B">
        <w:rPr>
          <w:rFonts w:asciiTheme="minorHAnsi" w:hAnsiTheme="minorHAnsi"/>
          <w:sz w:val="20"/>
          <w:szCs w:val="20"/>
        </w:rPr>
        <w:t>© Women With Disabilities Australia (WWDA January 201</w:t>
      </w:r>
      <w:r>
        <w:rPr>
          <w:rFonts w:asciiTheme="minorHAnsi" w:hAnsiTheme="minorHAnsi"/>
          <w:sz w:val="20"/>
          <w:szCs w:val="20"/>
        </w:rPr>
        <w:t>5</w:t>
      </w:r>
    </w:p>
    <w:p w14:paraId="708FD8C8" w14:textId="77777777" w:rsidR="000C6F5B" w:rsidRPr="000C6F5B" w:rsidRDefault="000C6F5B" w:rsidP="000C6F5B">
      <w:pPr>
        <w:spacing w:after="0" w:line="240" w:lineRule="auto"/>
        <w:rPr>
          <w:rFonts w:asciiTheme="minorHAnsi" w:hAnsiTheme="minorHAnsi"/>
          <w:sz w:val="20"/>
          <w:szCs w:val="20"/>
        </w:rPr>
      </w:pPr>
    </w:p>
    <w:p w14:paraId="597C750E" w14:textId="00ED5FD2" w:rsidR="000C6F5B" w:rsidRPr="000C6F5B" w:rsidRDefault="000C6F5B" w:rsidP="000C6F5B">
      <w:pPr>
        <w:spacing w:after="0" w:line="240" w:lineRule="auto"/>
        <w:rPr>
          <w:rFonts w:asciiTheme="minorHAnsi" w:hAnsiTheme="minorHAnsi"/>
          <w:sz w:val="20"/>
          <w:szCs w:val="20"/>
        </w:rPr>
      </w:pPr>
      <w:r w:rsidRPr="000C6F5B">
        <w:rPr>
          <w:rFonts w:asciiTheme="minorHAnsi" w:hAnsiTheme="minorHAnsi"/>
          <w:sz w:val="20"/>
          <w:szCs w:val="20"/>
        </w:rPr>
        <w:t>ISBN: 978-0-9585268-4-5</w:t>
      </w:r>
    </w:p>
    <w:p w14:paraId="16A3726E" w14:textId="77777777" w:rsidR="000C6F5B" w:rsidRPr="000C6F5B" w:rsidRDefault="000C6F5B" w:rsidP="000C6F5B">
      <w:pPr>
        <w:spacing w:after="0" w:line="240" w:lineRule="auto"/>
        <w:rPr>
          <w:rFonts w:asciiTheme="minorHAnsi" w:hAnsiTheme="minorHAnsi"/>
          <w:sz w:val="20"/>
          <w:szCs w:val="20"/>
        </w:rPr>
      </w:pPr>
    </w:p>
    <w:p w14:paraId="17699F5C" w14:textId="77777777" w:rsidR="000C6F5B" w:rsidRPr="000C6F5B" w:rsidRDefault="000C6F5B" w:rsidP="000C6F5B">
      <w:pPr>
        <w:spacing w:after="0" w:line="240" w:lineRule="auto"/>
        <w:jc w:val="both"/>
        <w:rPr>
          <w:rFonts w:asciiTheme="minorHAnsi" w:hAnsiTheme="minorHAnsi"/>
          <w:sz w:val="20"/>
          <w:szCs w:val="20"/>
        </w:rPr>
      </w:pPr>
      <w:r w:rsidRPr="000C6F5B">
        <w:rPr>
          <w:rFonts w:asciiTheme="minorHAnsi" w:hAnsiTheme="minorHAnsi" w:cs="Lucida Grande"/>
          <w:color w:val="000000"/>
          <w:sz w:val="20"/>
          <w:szCs w:val="20"/>
        </w:rPr>
        <w:t xml:space="preserve">© </w:t>
      </w:r>
      <w:r w:rsidRPr="000C6F5B">
        <w:rPr>
          <w:rFonts w:asciiTheme="minorHAnsi" w:hAnsiTheme="minorHAnsi"/>
          <w:sz w:val="20"/>
          <w:szCs w:val="20"/>
        </w:rPr>
        <w:t>This work is copyright. Apart from any use as permitted under the Copyright Act 1968, no part may be reproduced without written permission from Women With Disabilities Australia (WWDA).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6050632C" w14:textId="77777777" w:rsidR="000C6F5B" w:rsidRDefault="000C6F5B" w:rsidP="000C6F5B">
      <w:pPr>
        <w:spacing w:after="0" w:line="240" w:lineRule="auto"/>
        <w:rPr>
          <w:rFonts w:asciiTheme="minorHAnsi" w:hAnsiTheme="minorHAnsi"/>
          <w:sz w:val="20"/>
          <w:szCs w:val="20"/>
        </w:rPr>
      </w:pPr>
    </w:p>
    <w:p w14:paraId="02854498" w14:textId="570D4953" w:rsidR="000C6F5B" w:rsidRPr="000C6F5B" w:rsidRDefault="000C6F5B" w:rsidP="000C6F5B">
      <w:pPr>
        <w:pStyle w:val="NoSpacing"/>
        <w:rPr>
          <w:rFonts w:asciiTheme="minorHAnsi" w:hAnsiTheme="minorHAnsi"/>
          <w:color w:val="1F497D" w:themeColor="text2"/>
          <w:sz w:val="28"/>
          <w:szCs w:val="28"/>
        </w:rPr>
      </w:pPr>
      <w:r w:rsidRPr="000C6F5B">
        <w:rPr>
          <w:rFonts w:asciiTheme="minorHAnsi" w:hAnsiTheme="minorHAnsi"/>
          <w:color w:val="1F497D" w:themeColor="text2"/>
          <w:sz w:val="28"/>
          <w:szCs w:val="28"/>
        </w:rPr>
        <w:t>About Women With Disabilities Australia</w:t>
      </w:r>
    </w:p>
    <w:p w14:paraId="2BE9194A" w14:textId="77777777" w:rsidR="000C6F5B" w:rsidRPr="000C6F5B" w:rsidRDefault="000C6F5B" w:rsidP="000C6F5B">
      <w:pPr>
        <w:pBdr>
          <w:bottom w:val="single" w:sz="12" w:space="1" w:color="auto"/>
        </w:pBdr>
        <w:spacing w:after="0" w:line="240" w:lineRule="auto"/>
        <w:rPr>
          <w:rFonts w:asciiTheme="minorHAnsi" w:hAnsiTheme="minorHAnsi"/>
          <w:sz w:val="20"/>
          <w:szCs w:val="20"/>
        </w:rPr>
      </w:pPr>
    </w:p>
    <w:p w14:paraId="287BE74D" w14:textId="77777777" w:rsidR="000C6F5B" w:rsidRPr="000C6F5B" w:rsidRDefault="000C6F5B" w:rsidP="000C6F5B">
      <w:pPr>
        <w:spacing w:after="0" w:line="240" w:lineRule="auto"/>
        <w:jc w:val="both"/>
        <w:rPr>
          <w:rFonts w:asciiTheme="minorHAnsi" w:hAnsiTheme="minorHAnsi"/>
          <w:sz w:val="20"/>
          <w:szCs w:val="20"/>
        </w:rPr>
      </w:pPr>
    </w:p>
    <w:p w14:paraId="34655063" w14:textId="77777777" w:rsidR="000C6F5B" w:rsidRPr="000C6F5B" w:rsidRDefault="000C6F5B" w:rsidP="000C6F5B">
      <w:pPr>
        <w:pStyle w:val="NoSpacing"/>
        <w:jc w:val="both"/>
        <w:rPr>
          <w:rFonts w:asciiTheme="minorHAnsi" w:hAnsiTheme="minorHAnsi"/>
          <w:sz w:val="20"/>
          <w:szCs w:val="20"/>
        </w:rPr>
      </w:pPr>
      <w:r w:rsidRPr="000C6F5B">
        <w:rPr>
          <w:rFonts w:asciiTheme="minorHAnsi" w:hAnsiTheme="minorHAnsi"/>
          <w:sz w:val="20"/>
          <w:szCs w:val="20"/>
        </w:rPr>
        <w:t xml:space="preserve">Women With Disabilities Australia (WWDA) is the peak non-government organisation (NGO) for women with all types of disabilities in Australia. WWDA is run by women with disabilities, for women with disabilities, and represents more than 2 million disabled women in Australia. WWDA’s work is grounded in a rights based framework which links gender and disability issues to a full range of civil, political, economic, social and cultural rights. Promoting the reproductive rights of women and girls with disabilities, along with promoting their rights to freedom from violence and exploitation, and to freedom from torture or cruel, inhuman or degrading treatment are key policy priorities of WWDA. </w:t>
      </w:r>
    </w:p>
    <w:p w14:paraId="2DC9B085" w14:textId="77777777" w:rsidR="000C6F5B" w:rsidRPr="000C6F5B" w:rsidRDefault="000C6F5B" w:rsidP="000C6F5B">
      <w:pPr>
        <w:pStyle w:val="NoSpacing"/>
        <w:jc w:val="both"/>
        <w:rPr>
          <w:rFonts w:asciiTheme="minorHAnsi" w:hAnsiTheme="minorHAnsi"/>
          <w:sz w:val="20"/>
          <w:szCs w:val="20"/>
        </w:rPr>
      </w:pPr>
    </w:p>
    <w:p w14:paraId="2D85ADE4" w14:textId="77777777" w:rsidR="000C6F5B" w:rsidRPr="000C6F5B" w:rsidRDefault="000C6F5B" w:rsidP="000C6F5B">
      <w:pPr>
        <w:pStyle w:val="NoSpacing"/>
        <w:jc w:val="both"/>
        <w:rPr>
          <w:rFonts w:asciiTheme="minorHAnsi" w:hAnsiTheme="minorHAnsi"/>
          <w:sz w:val="20"/>
          <w:szCs w:val="20"/>
        </w:rPr>
      </w:pPr>
      <w:r w:rsidRPr="000C6F5B">
        <w:rPr>
          <w:rFonts w:asciiTheme="minorHAnsi" w:hAnsiTheme="minorHAnsi"/>
          <w:sz w:val="20"/>
          <w:szCs w:val="20"/>
        </w:rPr>
        <w:t xml:space="preserve">WWDA’s human rights based approach recognises that the international human rights normative framework, including the international human rights treaties and their optional protocols, and the general comments and recommendations adopted by the bodies monitoring their implementation, provide the framework to delineate the respective obligations and responsibilities of governments and other duty-bearers in relation to the human rights of women and girls with disabilities. It is this framework that WWDA utilises to promote and indeed demand, accountability from Governments and other duty bearers in relation to recognising and addressing the violations of human rights and fundamental freedoms experienced by women and girls with disabilities. </w:t>
      </w:r>
    </w:p>
    <w:p w14:paraId="7C6CD9EB" w14:textId="77777777" w:rsidR="000C6F5B" w:rsidRDefault="000C6F5B" w:rsidP="000C6F5B">
      <w:pPr>
        <w:spacing w:after="0" w:line="240" w:lineRule="auto"/>
        <w:jc w:val="both"/>
        <w:rPr>
          <w:rFonts w:asciiTheme="minorHAnsi" w:hAnsiTheme="minorHAnsi"/>
          <w:sz w:val="20"/>
          <w:szCs w:val="20"/>
        </w:rPr>
      </w:pPr>
    </w:p>
    <w:p w14:paraId="4B146759" w14:textId="333B6BA0" w:rsidR="000C6F5B" w:rsidRPr="000C6F5B" w:rsidRDefault="000C6F5B" w:rsidP="000C6F5B">
      <w:pPr>
        <w:spacing w:after="0" w:line="240" w:lineRule="auto"/>
        <w:rPr>
          <w:rFonts w:asciiTheme="minorHAnsi" w:hAnsiTheme="minorHAnsi"/>
          <w:sz w:val="28"/>
          <w:szCs w:val="28"/>
        </w:rPr>
      </w:pPr>
      <w:r w:rsidRPr="000C6F5B">
        <w:rPr>
          <w:rFonts w:asciiTheme="minorHAnsi" w:hAnsiTheme="minorHAnsi"/>
          <w:color w:val="1F497D" w:themeColor="text2"/>
          <w:sz w:val="28"/>
          <w:szCs w:val="28"/>
        </w:rPr>
        <w:t>Contact</w:t>
      </w:r>
    </w:p>
    <w:p w14:paraId="16CA289B" w14:textId="77777777" w:rsidR="000C6F5B" w:rsidRPr="00BE68B8" w:rsidRDefault="000C6F5B" w:rsidP="000C6F5B">
      <w:pPr>
        <w:pBdr>
          <w:bottom w:val="single" w:sz="12" w:space="1" w:color="auto"/>
        </w:pBdr>
        <w:spacing w:after="0" w:line="240" w:lineRule="auto"/>
        <w:rPr>
          <w:rFonts w:ascii="Calibri" w:hAnsi="Calibri"/>
          <w:sz w:val="16"/>
          <w:szCs w:val="16"/>
        </w:rPr>
      </w:pPr>
    </w:p>
    <w:p w14:paraId="64847DE0" w14:textId="77777777" w:rsidR="000C6F5B" w:rsidRPr="00BE68B8" w:rsidRDefault="000C6F5B" w:rsidP="000C6F5B">
      <w:pPr>
        <w:spacing w:after="0" w:line="240" w:lineRule="auto"/>
        <w:rPr>
          <w:szCs w:val="20"/>
        </w:rPr>
      </w:pPr>
    </w:p>
    <w:p w14:paraId="49DDE3B9" w14:textId="37E7D503" w:rsidR="000C6F5B" w:rsidRDefault="000C6F5B" w:rsidP="000C6F5B">
      <w:pPr>
        <w:spacing w:after="0" w:line="240" w:lineRule="auto"/>
        <w:rPr>
          <w:rFonts w:ascii="Calibri" w:hAnsi="Calibri"/>
        </w:rPr>
      </w:pPr>
      <w:r>
        <w:rPr>
          <w:noProof/>
          <w:lang w:val="en-US"/>
        </w:rPr>
        <w:drawing>
          <wp:inline distT="0" distB="0" distL="0" distR="0" wp14:anchorId="67398B8B" wp14:editId="0A841645">
            <wp:extent cx="1488440" cy="777857"/>
            <wp:effectExtent l="0" t="0" r="1016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 small.jpg"/>
                    <pic:cNvPicPr/>
                  </pic:nvPicPr>
                  <pic:blipFill>
                    <a:blip r:embed="rId10">
                      <a:extLst>
                        <a:ext uri="{28A0092B-C50C-407E-A947-70E740481C1C}">
                          <a14:useLocalDpi xmlns:a14="http://schemas.microsoft.com/office/drawing/2010/main" val="0"/>
                        </a:ext>
                      </a:extLst>
                    </a:blip>
                    <a:stretch>
                      <a:fillRect/>
                    </a:stretch>
                  </pic:blipFill>
                  <pic:spPr>
                    <a:xfrm>
                      <a:off x="0" y="0"/>
                      <a:ext cx="1488615" cy="777949"/>
                    </a:xfrm>
                    <a:prstGeom prst="rect">
                      <a:avLst/>
                    </a:prstGeom>
                  </pic:spPr>
                </pic:pic>
              </a:graphicData>
            </a:graphic>
          </wp:inline>
        </w:drawing>
      </w:r>
    </w:p>
    <w:p w14:paraId="607618E1" w14:textId="77777777" w:rsidR="000C6F5B" w:rsidRPr="000C6F5B" w:rsidRDefault="000C6F5B" w:rsidP="000C6F5B">
      <w:pPr>
        <w:spacing w:after="0" w:line="240" w:lineRule="auto"/>
        <w:rPr>
          <w:rFonts w:asciiTheme="minorHAnsi" w:hAnsiTheme="minorHAnsi"/>
        </w:rPr>
      </w:pPr>
    </w:p>
    <w:p w14:paraId="2DA5666D" w14:textId="77777777" w:rsidR="000C6F5B" w:rsidRPr="000C6F5B" w:rsidRDefault="000C6F5B" w:rsidP="000C6F5B">
      <w:pPr>
        <w:pStyle w:val="NoSpacing"/>
        <w:rPr>
          <w:rFonts w:asciiTheme="minorHAnsi" w:hAnsiTheme="minorHAnsi"/>
          <w:sz w:val="18"/>
          <w:szCs w:val="18"/>
        </w:rPr>
      </w:pPr>
      <w:r w:rsidRPr="000C6F5B">
        <w:rPr>
          <w:rFonts w:asciiTheme="minorHAnsi" w:hAnsiTheme="minorHAnsi"/>
          <w:sz w:val="18"/>
          <w:szCs w:val="18"/>
        </w:rPr>
        <w:t>Women With Disabilities Australia (WWDA)</w:t>
      </w:r>
    </w:p>
    <w:p w14:paraId="3D5732A6" w14:textId="7F784C50" w:rsidR="000C6F5B" w:rsidRPr="000C6F5B" w:rsidRDefault="000C6F5B" w:rsidP="000C6F5B">
      <w:pPr>
        <w:pStyle w:val="NoSpacing"/>
        <w:rPr>
          <w:rFonts w:asciiTheme="minorHAnsi" w:hAnsiTheme="minorHAnsi"/>
          <w:sz w:val="18"/>
          <w:szCs w:val="18"/>
        </w:rPr>
      </w:pPr>
      <w:r w:rsidRPr="000C6F5B">
        <w:rPr>
          <w:rFonts w:asciiTheme="minorHAnsi" w:hAnsiTheme="minorHAnsi"/>
          <w:sz w:val="18"/>
          <w:szCs w:val="18"/>
        </w:rPr>
        <w:t xml:space="preserve">PO Box </w:t>
      </w:r>
      <w:r>
        <w:rPr>
          <w:rFonts w:asciiTheme="minorHAnsi" w:hAnsiTheme="minorHAnsi"/>
          <w:sz w:val="18"/>
          <w:szCs w:val="18"/>
        </w:rPr>
        <w:t>407</w:t>
      </w:r>
      <w:r w:rsidRPr="000C6F5B">
        <w:rPr>
          <w:rFonts w:asciiTheme="minorHAnsi" w:hAnsiTheme="minorHAnsi"/>
          <w:sz w:val="18"/>
          <w:szCs w:val="18"/>
        </w:rPr>
        <w:t xml:space="preserve">, </w:t>
      </w:r>
      <w:r>
        <w:rPr>
          <w:rFonts w:asciiTheme="minorHAnsi" w:hAnsiTheme="minorHAnsi"/>
          <w:sz w:val="18"/>
          <w:szCs w:val="18"/>
        </w:rPr>
        <w:t>LENAH VALLEY</w:t>
      </w:r>
      <w:r w:rsidRPr="000C6F5B">
        <w:rPr>
          <w:rFonts w:asciiTheme="minorHAnsi" w:hAnsiTheme="minorHAnsi"/>
          <w:sz w:val="18"/>
          <w:szCs w:val="18"/>
        </w:rPr>
        <w:t xml:space="preserve"> 70</w:t>
      </w:r>
      <w:r>
        <w:rPr>
          <w:rFonts w:asciiTheme="minorHAnsi" w:hAnsiTheme="minorHAnsi"/>
          <w:sz w:val="18"/>
          <w:szCs w:val="18"/>
        </w:rPr>
        <w:t>0</w:t>
      </w:r>
      <w:r w:rsidRPr="000C6F5B">
        <w:rPr>
          <w:rFonts w:asciiTheme="minorHAnsi" w:hAnsiTheme="minorHAnsi"/>
          <w:sz w:val="18"/>
          <w:szCs w:val="18"/>
        </w:rPr>
        <w:t>8 TASMANIA, AUSTRALIA</w:t>
      </w:r>
    </w:p>
    <w:p w14:paraId="553ED5FB" w14:textId="42B2F297" w:rsidR="000C6F5B" w:rsidRPr="000C6F5B" w:rsidRDefault="000C6F5B" w:rsidP="000C6F5B">
      <w:pPr>
        <w:pStyle w:val="NoSpacing"/>
        <w:rPr>
          <w:rFonts w:asciiTheme="minorHAnsi" w:hAnsiTheme="minorHAnsi"/>
          <w:sz w:val="18"/>
          <w:szCs w:val="18"/>
        </w:rPr>
      </w:pPr>
      <w:proofErr w:type="spellStart"/>
      <w:r w:rsidRPr="000C6F5B">
        <w:rPr>
          <w:rFonts w:asciiTheme="minorHAnsi" w:hAnsiTheme="minorHAnsi"/>
          <w:sz w:val="18"/>
          <w:szCs w:val="18"/>
        </w:rPr>
        <w:t>Ph</w:t>
      </w:r>
      <w:proofErr w:type="spellEnd"/>
      <w:r w:rsidRPr="000C6F5B">
        <w:rPr>
          <w:rFonts w:asciiTheme="minorHAnsi" w:hAnsiTheme="minorHAnsi"/>
          <w:sz w:val="18"/>
          <w:szCs w:val="18"/>
        </w:rPr>
        <w:t xml:space="preserve">: +61 </w:t>
      </w:r>
      <w:r>
        <w:rPr>
          <w:rFonts w:asciiTheme="minorHAnsi" w:hAnsiTheme="minorHAnsi"/>
          <w:sz w:val="18"/>
          <w:szCs w:val="18"/>
        </w:rPr>
        <w:t>438 535 123</w:t>
      </w:r>
    </w:p>
    <w:p w14:paraId="66A3E98E" w14:textId="77777777" w:rsidR="000C6F5B" w:rsidRPr="000C6F5B" w:rsidRDefault="000C6F5B" w:rsidP="000C6F5B">
      <w:pPr>
        <w:pStyle w:val="NoSpacing"/>
        <w:rPr>
          <w:rFonts w:asciiTheme="minorHAnsi" w:hAnsiTheme="minorHAnsi"/>
          <w:sz w:val="18"/>
          <w:szCs w:val="18"/>
        </w:rPr>
      </w:pPr>
      <w:r w:rsidRPr="000C6F5B">
        <w:rPr>
          <w:rFonts w:asciiTheme="minorHAnsi" w:hAnsiTheme="minorHAnsi"/>
          <w:sz w:val="18"/>
          <w:szCs w:val="18"/>
        </w:rPr>
        <w:t xml:space="preserve">Email: </w:t>
      </w:r>
      <w:hyperlink r:id="rId12" w:history="1">
        <w:r w:rsidRPr="000C6F5B">
          <w:rPr>
            <w:rStyle w:val="Hyperlink"/>
            <w:rFonts w:asciiTheme="minorHAnsi" w:hAnsiTheme="minorHAnsi"/>
            <w:sz w:val="18"/>
            <w:szCs w:val="18"/>
          </w:rPr>
          <w:t>carolyn@wwda.org.au</w:t>
        </w:r>
      </w:hyperlink>
    </w:p>
    <w:p w14:paraId="3943D197" w14:textId="77777777" w:rsidR="000C6F5B" w:rsidRPr="000C6F5B" w:rsidRDefault="000C6F5B" w:rsidP="000C6F5B">
      <w:pPr>
        <w:pStyle w:val="NoSpacing"/>
        <w:rPr>
          <w:rFonts w:asciiTheme="minorHAnsi" w:hAnsiTheme="minorHAnsi"/>
          <w:sz w:val="18"/>
          <w:szCs w:val="18"/>
        </w:rPr>
      </w:pPr>
      <w:r w:rsidRPr="000C6F5B">
        <w:rPr>
          <w:rFonts w:asciiTheme="minorHAnsi" w:hAnsiTheme="minorHAnsi"/>
          <w:sz w:val="18"/>
          <w:szCs w:val="18"/>
        </w:rPr>
        <w:t xml:space="preserve">Email: </w:t>
      </w:r>
      <w:hyperlink r:id="rId13" w:history="1">
        <w:r w:rsidRPr="000C6F5B">
          <w:rPr>
            <w:rStyle w:val="Hyperlink"/>
            <w:rFonts w:asciiTheme="minorHAnsi" w:hAnsiTheme="minorHAnsi"/>
            <w:sz w:val="18"/>
            <w:szCs w:val="18"/>
          </w:rPr>
          <w:t>wwda@wwda.org.au</w:t>
        </w:r>
      </w:hyperlink>
    </w:p>
    <w:p w14:paraId="79CC61FF" w14:textId="77777777" w:rsidR="000C6F5B" w:rsidRPr="000C6F5B" w:rsidRDefault="000C6F5B" w:rsidP="000C6F5B">
      <w:pPr>
        <w:pStyle w:val="NoSpacing"/>
        <w:rPr>
          <w:rFonts w:asciiTheme="minorHAnsi" w:hAnsiTheme="minorHAnsi"/>
          <w:sz w:val="18"/>
          <w:szCs w:val="18"/>
        </w:rPr>
      </w:pPr>
      <w:r w:rsidRPr="000C6F5B">
        <w:rPr>
          <w:rFonts w:asciiTheme="minorHAnsi" w:hAnsiTheme="minorHAnsi"/>
          <w:sz w:val="18"/>
          <w:szCs w:val="18"/>
        </w:rPr>
        <w:t xml:space="preserve">Web: </w:t>
      </w:r>
      <w:hyperlink r:id="rId14" w:history="1">
        <w:r w:rsidRPr="000C6F5B">
          <w:rPr>
            <w:rStyle w:val="Hyperlink"/>
            <w:rFonts w:asciiTheme="minorHAnsi" w:hAnsiTheme="minorHAnsi"/>
            <w:sz w:val="18"/>
            <w:szCs w:val="18"/>
          </w:rPr>
          <w:t>www.wwda.org.au</w:t>
        </w:r>
      </w:hyperlink>
    </w:p>
    <w:p w14:paraId="30D8732A" w14:textId="77777777" w:rsidR="000C6F5B" w:rsidRPr="000C6F5B" w:rsidRDefault="000C6F5B" w:rsidP="000C6F5B">
      <w:pPr>
        <w:pStyle w:val="NoSpacing"/>
        <w:rPr>
          <w:rFonts w:asciiTheme="minorHAnsi" w:hAnsiTheme="minorHAnsi"/>
          <w:sz w:val="18"/>
          <w:szCs w:val="18"/>
        </w:rPr>
      </w:pPr>
      <w:r w:rsidRPr="000C6F5B">
        <w:rPr>
          <w:rFonts w:asciiTheme="minorHAnsi" w:hAnsiTheme="minorHAnsi"/>
          <w:sz w:val="18"/>
          <w:szCs w:val="18"/>
        </w:rPr>
        <w:t xml:space="preserve">Facebook: </w:t>
      </w:r>
      <w:hyperlink r:id="rId15" w:history="1">
        <w:r w:rsidRPr="000C6F5B">
          <w:rPr>
            <w:rStyle w:val="Hyperlink"/>
            <w:rFonts w:asciiTheme="minorHAnsi" w:hAnsiTheme="minorHAnsi"/>
            <w:sz w:val="18"/>
            <w:szCs w:val="18"/>
          </w:rPr>
          <w:t>www.facebook.com/WWDA.Australia</w:t>
        </w:r>
      </w:hyperlink>
    </w:p>
    <w:p w14:paraId="44E8C127" w14:textId="655A617B" w:rsidR="000C6F5B" w:rsidRDefault="000C6F5B" w:rsidP="000C6F5B">
      <w:pPr>
        <w:pStyle w:val="NoSpacing"/>
        <w:rPr>
          <w:rFonts w:asciiTheme="minorHAnsi" w:hAnsiTheme="minorHAnsi"/>
          <w:sz w:val="18"/>
          <w:szCs w:val="18"/>
        </w:rPr>
      </w:pPr>
      <w:r w:rsidRPr="000C6F5B">
        <w:rPr>
          <w:rFonts w:asciiTheme="minorHAnsi" w:hAnsiTheme="minorHAnsi"/>
          <w:sz w:val="18"/>
          <w:szCs w:val="18"/>
        </w:rPr>
        <w:t xml:space="preserve">Twitter: </w:t>
      </w:r>
      <w:hyperlink r:id="rId16" w:history="1">
        <w:r w:rsidRPr="000F5536">
          <w:rPr>
            <w:rStyle w:val="Hyperlink"/>
            <w:rFonts w:asciiTheme="minorHAnsi" w:hAnsiTheme="minorHAnsi"/>
            <w:sz w:val="18"/>
            <w:szCs w:val="18"/>
          </w:rPr>
          <w:t>https://twitter.com/WWDA_AU</w:t>
        </w:r>
      </w:hyperlink>
      <w:r>
        <w:rPr>
          <w:rFonts w:asciiTheme="minorHAnsi" w:hAnsiTheme="minorHAnsi"/>
          <w:sz w:val="18"/>
          <w:szCs w:val="18"/>
        </w:rPr>
        <w:t xml:space="preserve"> </w:t>
      </w:r>
    </w:p>
    <w:p w14:paraId="7AC6F216" w14:textId="77777777" w:rsidR="000C6F5B" w:rsidRPr="000C6F5B" w:rsidRDefault="000C6F5B" w:rsidP="000C6F5B">
      <w:pPr>
        <w:pStyle w:val="NoSpacing"/>
        <w:rPr>
          <w:rFonts w:asciiTheme="minorHAnsi" w:hAnsiTheme="minorHAnsi"/>
          <w:sz w:val="18"/>
          <w:szCs w:val="18"/>
        </w:rPr>
      </w:pPr>
      <w:r w:rsidRPr="000C6F5B">
        <w:rPr>
          <w:rFonts w:asciiTheme="minorHAnsi" w:hAnsiTheme="minorHAnsi"/>
          <w:sz w:val="18"/>
          <w:szCs w:val="18"/>
        </w:rPr>
        <w:t>Contact: Carolyn Frohmader, Executive Director</w:t>
      </w:r>
    </w:p>
    <w:p w14:paraId="3D424269" w14:textId="77777777" w:rsidR="000C6F5B" w:rsidRPr="000C6F5B" w:rsidRDefault="000C6F5B" w:rsidP="000C6F5B">
      <w:pPr>
        <w:pStyle w:val="NoSpacing"/>
        <w:rPr>
          <w:rFonts w:asciiTheme="minorHAnsi" w:hAnsiTheme="minorHAnsi"/>
          <w:sz w:val="24"/>
          <w:szCs w:val="24"/>
        </w:rPr>
      </w:pPr>
    </w:p>
    <w:p w14:paraId="31FA78E8" w14:textId="77777777" w:rsidR="000C6F5B" w:rsidRPr="000C6F5B" w:rsidRDefault="000C6F5B" w:rsidP="000C6F5B">
      <w:pPr>
        <w:pStyle w:val="NoSpacing"/>
        <w:rPr>
          <w:rFonts w:asciiTheme="minorHAnsi" w:hAnsiTheme="minorHAnsi"/>
          <w:i/>
          <w:sz w:val="16"/>
          <w:szCs w:val="16"/>
        </w:rPr>
      </w:pPr>
      <w:r w:rsidRPr="000C6F5B">
        <w:rPr>
          <w:rFonts w:asciiTheme="minorHAnsi" w:hAnsiTheme="minorHAnsi"/>
          <w:i/>
          <w:sz w:val="16"/>
          <w:szCs w:val="16"/>
        </w:rPr>
        <w:t>Winner, National Human Rights Award 2001</w:t>
      </w:r>
    </w:p>
    <w:p w14:paraId="70FD300C" w14:textId="77777777" w:rsidR="000C6F5B" w:rsidRPr="000C6F5B" w:rsidRDefault="000C6F5B" w:rsidP="000C6F5B">
      <w:pPr>
        <w:pStyle w:val="NoSpacing"/>
        <w:rPr>
          <w:rFonts w:asciiTheme="minorHAnsi" w:hAnsiTheme="minorHAnsi"/>
          <w:i/>
          <w:sz w:val="16"/>
          <w:szCs w:val="16"/>
        </w:rPr>
      </w:pPr>
      <w:r w:rsidRPr="000C6F5B">
        <w:rPr>
          <w:rFonts w:asciiTheme="minorHAnsi" w:hAnsiTheme="minorHAnsi"/>
          <w:i/>
          <w:sz w:val="16"/>
          <w:szCs w:val="16"/>
        </w:rPr>
        <w:t>Winner, National Violence Prevention Award 1999</w:t>
      </w:r>
    </w:p>
    <w:p w14:paraId="3C293F69" w14:textId="77777777" w:rsidR="000C6F5B" w:rsidRPr="000C6F5B" w:rsidRDefault="000C6F5B" w:rsidP="000C6F5B">
      <w:pPr>
        <w:pStyle w:val="NoSpacing"/>
        <w:rPr>
          <w:rFonts w:asciiTheme="minorHAnsi" w:hAnsiTheme="minorHAnsi"/>
          <w:i/>
          <w:sz w:val="16"/>
          <w:szCs w:val="16"/>
        </w:rPr>
      </w:pPr>
      <w:r w:rsidRPr="000C6F5B">
        <w:rPr>
          <w:rFonts w:asciiTheme="minorHAnsi" w:hAnsiTheme="minorHAnsi"/>
          <w:i/>
          <w:sz w:val="16"/>
          <w:szCs w:val="16"/>
        </w:rPr>
        <w:t>Winner, Tasmanian Women's Safety Award 2008</w:t>
      </w:r>
    </w:p>
    <w:p w14:paraId="15726D26" w14:textId="77777777" w:rsidR="000C6F5B" w:rsidRPr="000C6F5B" w:rsidRDefault="000C6F5B" w:rsidP="000C6F5B">
      <w:pPr>
        <w:pStyle w:val="NoSpacing"/>
        <w:rPr>
          <w:rFonts w:asciiTheme="minorHAnsi" w:hAnsiTheme="minorHAnsi"/>
          <w:i/>
          <w:sz w:val="16"/>
          <w:szCs w:val="16"/>
        </w:rPr>
      </w:pPr>
      <w:r w:rsidRPr="000C6F5B">
        <w:rPr>
          <w:rFonts w:asciiTheme="minorHAnsi" w:hAnsiTheme="minorHAnsi"/>
          <w:i/>
          <w:sz w:val="16"/>
          <w:szCs w:val="16"/>
        </w:rPr>
        <w:t>Certificate of Merit, Australian Crime &amp; Violence Prevention Awards 2008</w:t>
      </w:r>
    </w:p>
    <w:p w14:paraId="61D201A7" w14:textId="77777777" w:rsidR="000C6F5B" w:rsidRPr="000C6F5B" w:rsidRDefault="000C6F5B" w:rsidP="000C6F5B">
      <w:pPr>
        <w:pStyle w:val="NoSpacing"/>
        <w:rPr>
          <w:rFonts w:asciiTheme="minorHAnsi" w:hAnsiTheme="minorHAnsi"/>
          <w:i/>
          <w:sz w:val="16"/>
          <w:szCs w:val="16"/>
        </w:rPr>
      </w:pPr>
      <w:r w:rsidRPr="000C6F5B">
        <w:rPr>
          <w:rFonts w:asciiTheme="minorHAnsi" w:hAnsiTheme="minorHAnsi"/>
          <w:i/>
          <w:sz w:val="16"/>
          <w:szCs w:val="16"/>
        </w:rPr>
        <w:t>Nominee, French Republic's Human Rights Prize 2003</w:t>
      </w:r>
    </w:p>
    <w:p w14:paraId="50963C02" w14:textId="77777777" w:rsidR="000C6F5B" w:rsidRPr="000C6F5B" w:rsidRDefault="000C6F5B" w:rsidP="000C6F5B">
      <w:pPr>
        <w:pStyle w:val="NoSpacing"/>
        <w:rPr>
          <w:rFonts w:asciiTheme="minorHAnsi" w:hAnsiTheme="minorHAnsi"/>
          <w:i/>
          <w:sz w:val="18"/>
          <w:szCs w:val="18"/>
        </w:rPr>
      </w:pPr>
      <w:r w:rsidRPr="000C6F5B">
        <w:rPr>
          <w:rFonts w:asciiTheme="minorHAnsi" w:hAnsiTheme="minorHAnsi"/>
          <w:i/>
          <w:sz w:val="16"/>
          <w:szCs w:val="16"/>
        </w:rPr>
        <w:t>Nominee, UN Millennium Peace Prize for Women 2000</w:t>
      </w:r>
    </w:p>
    <w:p w14:paraId="52A3DE10" w14:textId="22774380" w:rsidR="000C6F5B" w:rsidRDefault="000C6F5B">
      <w:pPr>
        <w:spacing w:after="0" w:line="240" w:lineRule="auto"/>
        <w:rPr>
          <w:rFonts w:asciiTheme="minorHAnsi" w:hAnsiTheme="minorHAnsi"/>
        </w:rPr>
      </w:pPr>
      <w:r>
        <w:rPr>
          <w:rFonts w:asciiTheme="minorHAnsi" w:hAnsiTheme="minorHAnsi"/>
        </w:rPr>
        <w:br w:type="page"/>
      </w:r>
    </w:p>
    <w:p w14:paraId="738AE003" w14:textId="77777777" w:rsidR="00055E97" w:rsidRPr="007C3F60" w:rsidRDefault="00055E97" w:rsidP="007C3F60">
      <w:pPr>
        <w:pStyle w:val="NoSpacing"/>
        <w:rPr>
          <w:rFonts w:asciiTheme="minorHAnsi" w:hAnsiTheme="minorHAnsi"/>
          <w:color w:val="1F497D" w:themeColor="text2"/>
          <w:sz w:val="32"/>
          <w:szCs w:val="32"/>
        </w:rPr>
      </w:pPr>
      <w:r w:rsidRPr="007C3F60">
        <w:rPr>
          <w:rFonts w:asciiTheme="minorHAnsi" w:hAnsiTheme="minorHAnsi"/>
          <w:color w:val="1F497D" w:themeColor="text2"/>
          <w:sz w:val="32"/>
          <w:szCs w:val="32"/>
        </w:rPr>
        <w:lastRenderedPageBreak/>
        <w:t>Contents</w:t>
      </w:r>
    </w:p>
    <w:p w14:paraId="31C0BB17" w14:textId="77777777" w:rsidR="00055E97" w:rsidRPr="007C3F60" w:rsidRDefault="00055E97" w:rsidP="007C3F60">
      <w:pPr>
        <w:pBdr>
          <w:bottom w:val="single" w:sz="12" w:space="1" w:color="auto"/>
        </w:pBdr>
        <w:spacing w:after="0" w:line="240" w:lineRule="auto"/>
        <w:rPr>
          <w:rFonts w:asciiTheme="minorHAnsi" w:hAnsiTheme="minorHAnsi"/>
          <w:sz w:val="16"/>
          <w:szCs w:val="16"/>
        </w:rPr>
      </w:pPr>
    </w:p>
    <w:p w14:paraId="49D63FB1" w14:textId="77777777" w:rsidR="00055E97" w:rsidRDefault="00055E97" w:rsidP="007C3F60">
      <w:pPr>
        <w:spacing w:after="0" w:line="240" w:lineRule="auto"/>
        <w:jc w:val="both"/>
        <w:rPr>
          <w:rFonts w:asciiTheme="minorHAnsi" w:hAnsiTheme="minorHAnsi"/>
        </w:rPr>
      </w:pPr>
    </w:p>
    <w:p w14:paraId="3866B043" w14:textId="77777777" w:rsidR="00D61DF1" w:rsidRPr="00935CE5" w:rsidRDefault="00D61DF1" w:rsidP="007C3F60">
      <w:pPr>
        <w:spacing w:after="0" w:line="240" w:lineRule="auto"/>
        <w:jc w:val="both"/>
        <w:rPr>
          <w:rFonts w:asciiTheme="minorHAnsi" w:hAnsiTheme="minorHAnsi"/>
        </w:rPr>
      </w:pPr>
    </w:p>
    <w:p w14:paraId="7CAA48C3" w14:textId="7B04829D" w:rsidR="00935CE5" w:rsidRPr="00CE1471" w:rsidRDefault="00935CE5">
      <w:pPr>
        <w:pStyle w:val="TOC1"/>
        <w:tabs>
          <w:tab w:val="left" w:pos="440"/>
          <w:tab w:val="right" w:leader="dot" w:pos="9622"/>
        </w:tabs>
        <w:rPr>
          <w:rFonts w:asciiTheme="minorHAnsi" w:eastAsiaTheme="minorEastAsia" w:hAnsiTheme="minorHAnsi"/>
          <w:noProof/>
          <w:sz w:val="20"/>
          <w:szCs w:val="20"/>
          <w:lang w:eastAsia="en-AU"/>
        </w:rPr>
      </w:pPr>
      <w:r w:rsidRPr="00935CE5">
        <w:rPr>
          <w:rFonts w:asciiTheme="minorHAnsi" w:hAnsiTheme="minorHAnsi"/>
        </w:rPr>
        <w:fldChar w:fldCharType="begin"/>
      </w:r>
      <w:r w:rsidRPr="00935CE5">
        <w:rPr>
          <w:rFonts w:asciiTheme="minorHAnsi" w:hAnsiTheme="minorHAnsi"/>
        </w:rPr>
        <w:instrText xml:space="preserve"> TOC \o "1-3" \u </w:instrText>
      </w:r>
      <w:r w:rsidRPr="00935CE5">
        <w:rPr>
          <w:rFonts w:asciiTheme="minorHAnsi" w:hAnsiTheme="minorHAnsi"/>
        </w:rPr>
        <w:fldChar w:fldCharType="separate"/>
      </w:r>
      <w:r w:rsidRPr="00CE1471">
        <w:rPr>
          <w:rFonts w:asciiTheme="minorHAnsi" w:hAnsiTheme="minorHAnsi"/>
          <w:noProof/>
          <w:sz w:val="20"/>
          <w:szCs w:val="20"/>
        </w:rPr>
        <w:t>1.</w:t>
      </w:r>
      <w:r w:rsidRPr="00CE1471">
        <w:rPr>
          <w:rFonts w:asciiTheme="minorHAnsi" w:eastAsiaTheme="minorEastAsia" w:hAnsiTheme="minorHAnsi"/>
          <w:noProof/>
          <w:sz w:val="20"/>
          <w:szCs w:val="20"/>
          <w:lang w:eastAsia="en-AU"/>
        </w:rPr>
        <w:tab/>
      </w:r>
      <w:r w:rsidRPr="00CE1471">
        <w:rPr>
          <w:rFonts w:asciiTheme="minorHAnsi" w:hAnsiTheme="minorHAnsi"/>
          <w:noProof/>
          <w:sz w:val="20"/>
          <w:szCs w:val="20"/>
        </w:rPr>
        <w:t>Summary</w:t>
      </w:r>
      <w:r w:rsidRPr="00CE1471">
        <w:rPr>
          <w:rFonts w:asciiTheme="minorHAnsi" w:hAnsiTheme="minorHAnsi"/>
          <w:noProof/>
          <w:sz w:val="20"/>
          <w:szCs w:val="20"/>
        </w:rPr>
        <w:tab/>
      </w:r>
      <w:r w:rsidR="000C6F5B">
        <w:rPr>
          <w:rFonts w:asciiTheme="minorHAnsi" w:hAnsiTheme="minorHAnsi"/>
          <w:noProof/>
          <w:sz w:val="20"/>
          <w:szCs w:val="20"/>
        </w:rPr>
        <w:t>4</w:t>
      </w:r>
    </w:p>
    <w:p w14:paraId="2BB65967" w14:textId="4C19F0A2" w:rsidR="00935CE5" w:rsidRPr="00CE1471" w:rsidRDefault="00935CE5">
      <w:pPr>
        <w:pStyle w:val="TOC1"/>
        <w:tabs>
          <w:tab w:val="left" w:pos="440"/>
          <w:tab w:val="right" w:leader="dot" w:pos="9622"/>
        </w:tabs>
        <w:rPr>
          <w:rFonts w:asciiTheme="minorHAnsi" w:eastAsiaTheme="minorEastAsia" w:hAnsiTheme="minorHAnsi"/>
          <w:noProof/>
          <w:sz w:val="20"/>
          <w:szCs w:val="20"/>
          <w:lang w:eastAsia="en-AU"/>
        </w:rPr>
      </w:pPr>
      <w:r w:rsidRPr="00CE1471">
        <w:rPr>
          <w:rFonts w:asciiTheme="minorHAnsi" w:hAnsiTheme="minorHAnsi"/>
          <w:noProof/>
          <w:sz w:val="20"/>
          <w:szCs w:val="20"/>
        </w:rPr>
        <w:t>2.</w:t>
      </w:r>
      <w:r w:rsidRPr="00CE1471">
        <w:rPr>
          <w:rFonts w:asciiTheme="minorHAnsi" w:eastAsiaTheme="minorEastAsia" w:hAnsiTheme="minorHAnsi"/>
          <w:noProof/>
          <w:sz w:val="20"/>
          <w:szCs w:val="20"/>
          <w:lang w:eastAsia="en-AU"/>
        </w:rPr>
        <w:tab/>
      </w:r>
      <w:r w:rsidRPr="00CE1471">
        <w:rPr>
          <w:rFonts w:asciiTheme="minorHAnsi" w:hAnsiTheme="minorHAnsi"/>
          <w:noProof/>
          <w:sz w:val="20"/>
          <w:szCs w:val="20"/>
        </w:rPr>
        <w:t>Introduction and Context</w:t>
      </w:r>
      <w:r w:rsidRPr="00CE1471">
        <w:rPr>
          <w:rFonts w:asciiTheme="minorHAnsi" w:hAnsiTheme="minorHAnsi"/>
          <w:noProof/>
          <w:sz w:val="20"/>
          <w:szCs w:val="20"/>
        </w:rPr>
        <w:tab/>
      </w:r>
      <w:r w:rsidR="000C6F5B">
        <w:rPr>
          <w:rFonts w:asciiTheme="minorHAnsi" w:hAnsiTheme="minorHAnsi"/>
          <w:noProof/>
          <w:sz w:val="20"/>
          <w:szCs w:val="20"/>
        </w:rPr>
        <w:t>5</w:t>
      </w:r>
    </w:p>
    <w:p w14:paraId="0D9081F0" w14:textId="71E2DD1B" w:rsidR="00935CE5" w:rsidRPr="00CE1471" w:rsidRDefault="00935CE5">
      <w:pPr>
        <w:pStyle w:val="TOC1"/>
        <w:tabs>
          <w:tab w:val="left" w:pos="440"/>
          <w:tab w:val="right" w:leader="dot" w:pos="9622"/>
        </w:tabs>
        <w:rPr>
          <w:rFonts w:asciiTheme="minorHAnsi" w:eastAsiaTheme="minorEastAsia" w:hAnsiTheme="minorHAnsi"/>
          <w:noProof/>
          <w:sz w:val="20"/>
          <w:szCs w:val="20"/>
          <w:lang w:eastAsia="en-AU"/>
        </w:rPr>
      </w:pPr>
      <w:r w:rsidRPr="00CE1471">
        <w:rPr>
          <w:rFonts w:asciiTheme="minorHAnsi" w:hAnsiTheme="minorHAnsi"/>
          <w:noProof/>
          <w:sz w:val="20"/>
          <w:szCs w:val="20"/>
        </w:rPr>
        <w:t>3.</w:t>
      </w:r>
      <w:r w:rsidRPr="00CE1471">
        <w:rPr>
          <w:rFonts w:asciiTheme="minorHAnsi" w:eastAsiaTheme="minorEastAsia" w:hAnsiTheme="minorHAnsi"/>
          <w:noProof/>
          <w:sz w:val="20"/>
          <w:szCs w:val="20"/>
          <w:lang w:eastAsia="en-AU"/>
        </w:rPr>
        <w:tab/>
      </w:r>
      <w:r w:rsidRPr="00CE1471">
        <w:rPr>
          <w:rFonts w:asciiTheme="minorHAnsi" w:hAnsiTheme="minorHAnsi"/>
          <w:noProof/>
          <w:sz w:val="20"/>
          <w:szCs w:val="20"/>
        </w:rPr>
        <w:t>Understanding violence against women and girls with disabilities</w:t>
      </w:r>
      <w:r w:rsidRPr="00CE1471">
        <w:rPr>
          <w:rFonts w:asciiTheme="minorHAnsi" w:hAnsiTheme="minorHAnsi"/>
          <w:noProof/>
          <w:sz w:val="20"/>
          <w:szCs w:val="20"/>
        </w:rPr>
        <w:tab/>
      </w:r>
      <w:r w:rsidR="000C6F5B">
        <w:rPr>
          <w:rFonts w:asciiTheme="minorHAnsi" w:hAnsiTheme="minorHAnsi"/>
          <w:noProof/>
          <w:sz w:val="20"/>
          <w:szCs w:val="20"/>
        </w:rPr>
        <w:t>6</w:t>
      </w:r>
    </w:p>
    <w:p w14:paraId="7BD58C88" w14:textId="431B682A" w:rsidR="00935CE5" w:rsidRPr="00CE1471" w:rsidRDefault="00935CE5" w:rsidP="00CE1471">
      <w:pPr>
        <w:pStyle w:val="TOC2"/>
        <w:rPr>
          <w:rFonts w:eastAsiaTheme="minorEastAsia"/>
          <w:lang w:eastAsia="en-AU"/>
        </w:rPr>
      </w:pPr>
      <w:r w:rsidRPr="00CE1471">
        <w:rPr>
          <w:rFonts w:cs="Calibri"/>
          <w:lang w:val="en-US" w:eastAsia="en-AU"/>
        </w:rPr>
        <w:t>3.1.</w:t>
      </w:r>
      <w:r w:rsidRPr="00CE1471">
        <w:rPr>
          <w:rFonts w:eastAsiaTheme="minorEastAsia"/>
          <w:lang w:eastAsia="en-AU"/>
        </w:rPr>
        <w:tab/>
      </w:r>
      <w:r w:rsidRPr="00CE1471">
        <w:rPr>
          <w:rFonts w:cs="Calibri"/>
          <w:lang w:val="en-US" w:eastAsia="en-AU"/>
        </w:rPr>
        <w:t>Who are</w:t>
      </w:r>
      <w:r w:rsidRPr="00CE1471">
        <w:t xml:space="preserve"> women and girls with disabilities</w:t>
      </w:r>
      <w:r w:rsidRPr="00CE1471">
        <w:rPr>
          <w:rFonts w:cs="Calibri"/>
          <w:lang w:val="en-US" w:eastAsia="en-AU"/>
        </w:rPr>
        <w:t>?</w:t>
      </w:r>
      <w:r w:rsidRPr="00CE1471">
        <w:tab/>
      </w:r>
      <w:r w:rsidR="000C6F5B">
        <w:t>6</w:t>
      </w:r>
    </w:p>
    <w:p w14:paraId="4A7D2E06" w14:textId="4D6802E6" w:rsidR="00935CE5" w:rsidRPr="00CE1471" w:rsidRDefault="00935CE5" w:rsidP="00CE1471">
      <w:pPr>
        <w:pStyle w:val="TOC2"/>
        <w:rPr>
          <w:rFonts w:eastAsiaTheme="minorEastAsia"/>
          <w:lang w:eastAsia="en-AU"/>
        </w:rPr>
      </w:pPr>
      <w:r w:rsidRPr="00CE1471">
        <w:rPr>
          <w:rFonts w:cs="Calibri"/>
          <w:lang w:val="en-US" w:eastAsia="en-AU"/>
        </w:rPr>
        <w:t>3.2.</w:t>
      </w:r>
      <w:r w:rsidRPr="00CE1471">
        <w:rPr>
          <w:rFonts w:eastAsiaTheme="minorEastAsia"/>
          <w:lang w:eastAsia="en-AU"/>
        </w:rPr>
        <w:tab/>
      </w:r>
      <w:r w:rsidRPr="00CE1471">
        <w:rPr>
          <w:rFonts w:cs="Calibri"/>
          <w:lang w:val="en-US" w:eastAsia="en-AU"/>
        </w:rPr>
        <w:t xml:space="preserve">What is </w:t>
      </w:r>
      <w:r w:rsidRPr="00CE1471">
        <w:t>violence against women and girls with disabilities?</w:t>
      </w:r>
      <w:r w:rsidRPr="00CE1471">
        <w:tab/>
      </w:r>
      <w:r w:rsidR="000C6F5B">
        <w:t>6</w:t>
      </w:r>
    </w:p>
    <w:p w14:paraId="3F5B7652" w14:textId="1127FFD7" w:rsidR="00935CE5" w:rsidRPr="00CE1471" w:rsidRDefault="00935CE5" w:rsidP="00DE69A8">
      <w:pPr>
        <w:pStyle w:val="TOC2"/>
        <w:tabs>
          <w:tab w:val="clear" w:pos="851"/>
          <w:tab w:val="left" w:pos="993"/>
        </w:tabs>
        <w:ind w:left="284"/>
      </w:pPr>
      <w:r w:rsidRPr="00CE1471">
        <w:t>3.2.1.</w:t>
      </w:r>
      <w:r w:rsidRPr="00CE1471">
        <w:tab/>
        <w:t>A human rights approach to conceptualising violence against women</w:t>
      </w:r>
      <w:r w:rsidRPr="00CE1471">
        <w:tab/>
      </w:r>
      <w:r w:rsidR="000C6F5B">
        <w:t>7</w:t>
      </w:r>
    </w:p>
    <w:p w14:paraId="32D6EEF9" w14:textId="64AAAB30" w:rsidR="00935CE5" w:rsidRPr="00CE1471" w:rsidRDefault="00935CE5" w:rsidP="00CE1471">
      <w:pPr>
        <w:pStyle w:val="TOC2"/>
        <w:rPr>
          <w:rFonts w:eastAsiaTheme="minorEastAsia"/>
          <w:lang w:eastAsia="en-AU"/>
        </w:rPr>
      </w:pPr>
      <w:r w:rsidRPr="00CE1471">
        <w:rPr>
          <w:lang w:val="en-US" w:eastAsia="en-AU"/>
        </w:rPr>
        <w:t>3.3.</w:t>
      </w:r>
      <w:r w:rsidRPr="00CE1471">
        <w:rPr>
          <w:rFonts w:eastAsiaTheme="minorEastAsia"/>
          <w:lang w:eastAsia="en-AU"/>
        </w:rPr>
        <w:tab/>
      </w:r>
      <w:r w:rsidRPr="00CE1471">
        <w:rPr>
          <w:lang w:val="en-US" w:eastAsia="en-AU"/>
        </w:rPr>
        <w:t>Prevalence and incidence</w:t>
      </w:r>
      <w:r w:rsidRPr="00CE1471">
        <w:tab/>
      </w:r>
      <w:r w:rsidR="000C6F5B">
        <w:t>8</w:t>
      </w:r>
    </w:p>
    <w:p w14:paraId="7A9A8F5C" w14:textId="0EB02462" w:rsidR="00935CE5" w:rsidRPr="00CE1471" w:rsidRDefault="00935CE5" w:rsidP="00CE1471">
      <w:pPr>
        <w:pStyle w:val="TOC2"/>
        <w:rPr>
          <w:rFonts w:eastAsiaTheme="minorEastAsia"/>
          <w:lang w:eastAsia="en-AU"/>
        </w:rPr>
      </w:pPr>
      <w:r w:rsidRPr="00CE1471">
        <w:rPr>
          <w:lang w:val="en-US" w:eastAsia="en-AU"/>
        </w:rPr>
        <w:t>3.4.</w:t>
      </w:r>
      <w:r w:rsidRPr="00CE1471">
        <w:rPr>
          <w:rFonts w:eastAsiaTheme="minorEastAsia"/>
          <w:lang w:eastAsia="en-AU"/>
        </w:rPr>
        <w:tab/>
      </w:r>
      <w:r w:rsidRPr="00CE1471">
        <w:rPr>
          <w:lang w:val="en-US" w:eastAsia="en-AU"/>
        </w:rPr>
        <w:t>The factors contributing to violence against women and girls with disabilities</w:t>
      </w:r>
      <w:r w:rsidRPr="00CE1471">
        <w:tab/>
      </w:r>
      <w:r w:rsidR="000C6F5B">
        <w:t>9</w:t>
      </w:r>
    </w:p>
    <w:p w14:paraId="167AB283" w14:textId="76C85E14" w:rsidR="00935CE5" w:rsidRPr="00CE1471" w:rsidRDefault="00935CE5" w:rsidP="00CE1471">
      <w:pPr>
        <w:pStyle w:val="TOC2"/>
        <w:rPr>
          <w:rFonts w:eastAsiaTheme="minorEastAsia"/>
          <w:lang w:eastAsia="en-AU"/>
        </w:rPr>
      </w:pPr>
      <w:r w:rsidRPr="00CE1471">
        <w:rPr>
          <w:lang w:val="en-US" w:eastAsia="en-AU"/>
        </w:rPr>
        <w:t>3.5.</w:t>
      </w:r>
      <w:r w:rsidRPr="00CE1471">
        <w:rPr>
          <w:rFonts w:eastAsiaTheme="minorEastAsia"/>
          <w:lang w:eastAsia="en-AU"/>
        </w:rPr>
        <w:tab/>
      </w:r>
      <w:r w:rsidRPr="00CE1471">
        <w:rPr>
          <w:lang w:val="en-US" w:eastAsia="en-AU"/>
        </w:rPr>
        <w:t>The impact</w:t>
      </w:r>
      <w:r w:rsidRPr="00CE1471">
        <w:tab/>
      </w:r>
      <w:r w:rsidR="000C6F5B">
        <w:t>10</w:t>
      </w:r>
    </w:p>
    <w:p w14:paraId="7C1F0941" w14:textId="2349754A" w:rsidR="00935CE5" w:rsidRPr="00CE1471" w:rsidRDefault="00935CE5">
      <w:pPr>
        <w:pStyle w:val="TOC1"/>
        <w:tabs>
          <w:tab w:val="left" w:pos="440"/>
          <w:tab w:val="right" w:leader="dot" w:pos="9622"/>
        </w:tabs>
        <w:rPr>
          <w:rFonts w:asciiTheme="minorHAnsi" w:eastAsiaTheme="minorEastAsia" w:hAnsiTheme="minorHAnsi"/>
          <w:noProof/>
          <w:sz w:val="20"/>
          <w:szCs w:val="20"/>
          <w:lang w:eastAsia="en-AU"/>
        </w:rPr>
      </w:pPr>
      <w:r w:rsidRPr="00CE1471">
        <w:rPr>
          <w:rFonts w:asciiTheme="minorHAnsi" w:hAnsiTheme="minorHAnsi"/>
          <w:noProof/>
          <w:sz w:val="20"/>
          <w:szCs w:val="20"/>
        </w:rPr>
        <w:t>4.</w:t>
      </w:r>
      <w:r w:rsidRPr="00CE1471">
        <w:rPr>
          <w:rFonts w:asciiTheme="minorHAnsi" w:eastAsiaTheme="minorEastAsia" w:hAnsiTheme="minorHAnsi"/>
          <w:noProof/>
          <w:sz w:val="20"/>
          <w:szCs w:val="20"/>
          <w:lang w:eastAsia="en-AU"/>
        </w:rPr>
        <w:tab/>
      </w:r>
      <w:r w:rsidRPr="00CE1471">
        <w:rPr>
          <w:rFonts w:asciiTheme="minorHAnsi" w:hAnsiTheme="minorHAnsi"/>
          <w:noProof/>
          <w:sz w:val="20"/>
          <w:szCs w:val="20"/>
        </w:rPr>
        <w:t xml:space="preserve">Implications for policy and practice: the </w:t>
      </w:r>
      <w:r w:rsidRPr="00CE1471">
        <w:rPr>
          <w:rFonts w:asciiTheme="minorHAnsi" w:hAnsiTheme="minorHAnsi"/>
          <w:noProof/>
          <w:sz w:val="20"/>
          <w:szCs w:val="20"/>
          <w:lang w:val="en-US" w:eastAsia="en-AU"/>
        </w:rPr>
        <w:t>legislative, policy and service response vacuum</w:t>
      </w:r>
      <w:r w:rsidRPr="00CE1471">
        <w:rPr>
          <w:rFonts w:asciiTheme="minorHAnsi" w:hAnsiTheme="minorHAnsi"/>
          <w:noProof/>
          <w:sz w:val="20"/>
          <w:szCs w:val="20"/>
        </w:rPr>
        <w:tab/>
      </w:r>
      <w:r w:rsidRPr="00CE1471">
        <w:rPr>
          <w:rFonts w:asciiTheme="minorHAnsi" w:hAnsiTheme="minorHAnsi"/>
          <w:noProof/>
          <w:sz w:val="20"/>
          <w:szCs w:val="20"/>
        </w:rPr>
        <w:fldChar w:fldCharType="begin"/>
      </w:r>
      <w:r w:rsidRPr="00CE1471">
        <w:rPr>
          <w:rFonts w:asciiTheme="minorHAnsi" w:hAnsiTheme="minorHAnsi"/>
          <w:noProof/>
          <w:sz w:val="20"/>
          <w:szCs w:val="20"/>
        </w:rPr>
        <w:instrText xml:space="preserve"> PAGEREF _Toc410646571 \h </w:instrText>
      </w:r>
      <w:r w:rsidRPr="00CE1471">
        <w:rPr>
          <w:rFonts w:asciiTheme="minorHAnsi" w:hAnsiTheme="minorHAnsi"/>
          <w:noProof/>
          <w:sz w:val="20"/>
          <w:szCs w:val="20"/>
        </w:rPr>
      </w:r>
      <w:r w:rsidRPr="00CE1471">
        <w:rPr>
          <w:rFonts w:asciiTheme="minorHAnsi" w:hAnsiTheme="minorHAnsi"/>
          <w:noProof/>
          <w:sz w:val="20"/>
          <w:szCs w:val="20"/>
        </w:rPr>
        <w:fldChar w:fldCharType="separate"/>
      </w:r>
      <w:r w:rsidR="005E210A">
        <w:rPr>
          <w:rFonts w:asciiTheme="minorHAnsi" w:hAnsiTheme="minorHAnsi"/>
          <w:noProof/>
          <w:sz w:val="20"/>
          <w:szCs w:val="20"/>
        </w:rPr>
        <w:t>1</w:t>
      </w:r>
      <w:r w:rsidR="000C6F5B">
        <w:rPr>
          <w:rFonts w:asciiTheme="minorHAnsi" w:hAnsiTheme="minorHAnsi"/>
          <w:noProof/>
          <w:sz w:val="20"/>
          <w:szCs w:val="20"/>
        </w:rPr>
        <w:t>1</w:t>
      </w:r>
      <w:r w:rsidRPr="00CE1471">
        <w:rPr>
          <w:rFonts w:asciiTheme="minorHAnsi" w:hAnsiTheme="minorHAnsi"/>
          <w:noProof/>
          <w:sz w:val="20"/>
          <w:szCs w:val="20"/>
        </w:rPr>
        <w:fldChar w:fldCharType="end"/>
      </w:r>
    </w:p>
    <w:p w14:paraId="4DB2EF42" w14:textId="3988EEE6" w:rsidR="00935CE5" w:rsidRPr="00CE1471" w:rsidRDefault="00935CE5">
      <w:pPr>
        <w:pStyle w:val="TOC1"/>
        <w:tabs>
          <w:tab w:val="left" w:pos="440"/>
          <w:tab w:val="right" w:leader="dot" w:pos="9622"/>
        </w:tabs>
        <w:rPr>
          <w:rFonts w:asciiTheme="minorHAnsi" w:eastAsiaTheme="minorEastAsia" w:hAnsiTheme="minorHAnsi"/>
          <w:noProof/>
          <w:sz w:val="20"/>
          <w:szCs w:val="20"/>
          <w:lang w:eastAsia="en-AU"/>
        </w:rPr>
      </w:pPr>
      <w:r w:rsidRPr="00CE1471">
        <w:rPr>
          <w:rFonts w:asciiTheme="minorHAnsi" w:hAnsiTheme="minorHAnsi"/>
          <w:noProof/>
          <w:sz w:val="20"/>
          <w:szCs w:val="20"/>
        </w:rPr>
        <w:t>5.</w:t>
      </w:r>
      <w:r w:rsidRPr="00CE1471">
        <w:rPr>
          <w:rFonts w:asciiTheme="minorHAnsi" w:eastAsiaTheme="minorEastAsia" w:hAnsiTheme="minorHAnsi"/>
          <w:noProof/>
          <w:sz w:val="20"/>
          <w:szCs w:val="20"/>
          <w:lang w:eastAsia="en-AU"/>
        </w:rPr>
        <w:tab/>
      </w:r>
      <w:r w:rsidRPr="00CE1471">
        <w:rPr>
          <w:rFonts w:asciiTheme="minorHAnsi" w:hAnsiTheme="minorHAnsi"/>
          <w:noProof/>
          <w:sz w:val="20"/>
          <w:szCs w:val="20"/>
        </w:rPr>
        <w:t>Implications for the development of the Framework</w:t>
      </w:r>
      <w:r w:rsidRPr="00CE1471">
        <w:rPr>
          <w:rFonts w:asciiTheme="minorHAnsi" w:hAnsiTheme="minorHAnsi"/>
          <w:noProof/>
          <w:sz w:val="20"/>
          <w:szCs w:val="20"/>
        </w:rPr>
        <w:tab/>
      </w:r>
      <w:r w:rsidR="000C6F5B">
        <w:rPr>
          <w:rFonts w:asciiTheme="minorHAnsi" w:hAnsiTheme="minorHAnsi"/>
          <w:noProof/>
          <w:sz w:val="20"/>
          <w:szCs w:val="20"/>
        </w:rPr>
        <w:t>13</w:t>
      </w:r>
    </w:p>
    <w:p w14:paraId="64919F5A" w14:textId="582C381F" w:rsidR="00935CE5" w:rsidRPr="00CE1471" w:rsidRDefault="00935CE5" w:rsidP="00CE1471">
      <w:pPr>
        <w:pStyle w:val="TOC2"/>
        <w:rPr>
          <w:rFonts w:eastAsiaTheme="minorEastAsia"/>
          <w:lang w:eastAsia="en-AU"/>
        </w:rPr>
      </w:pPr>
      <w:r w:rsidRPr="00CE1471">
        <w:t>5.1.</w:t>
      </w:r>
      <w:r w:rsidRPr="00CE1471">
        <w:rPr>
          <w:rFonts w:eastAsiaTheme="minorEastAsia"/>
          <w:lang w:eastAsia="en-AU"/>
        </w:rPr>
        <w:tab/>
      </w:r>
      <w:r w:rsidRPr="00CE1471">
        <w:t>A Comprehensive Human Rights Framework and Approach</w:t>
      </w:r>
      <w:r w:rsidRPr="00CE1471">
        <w:tab/>
      </w:r>
      <w:r w:rsidR="000C6F5B">
        <w:t>13</w:t>
      </w:r>
    </w:p>
    <w:p w14:paraId="419B1A82" w14:textId="312D93EE" w:rsidR="00935CE5" w:rsidRPr="00CE1471" w:rsidRDefault="00935CE5" w:rsidP="00CE1471">
      <w:pPr>
        <w:pStyle w:val="TOC2"/>
        <w:rPr>
          <w:rFonts w:eastAsiaTheme="minorEastAsia"/>
          <w:lang w:eastAsia="en-AU"/>
        </w:rPr>
      </w:pPr>
      <w:r w:rsidRPr="00CE1471">
        <w:t>5.2.</w:t>
      </w:r>
      <w:r w:rsidRPr="00CE1471">
        <w:rPr>
          <w:rFonts w:eastAsiaTheme="minorEastAsia"/>
          <w:lang w:eastAsia="en-AU"/>
        </w:rPr>
        <w:tab/>
      </w:r>
      <w:r w:rsidRPr="00CE1471">
        <w:t>Prevention Measures and Strategies</w:t>
      </w:r>
      <w:r w:rsidRPr="00CE1471">
        <w:tab/>
      </w:r>
      <w:r w:rsidR="000C6F5B">
        <w:t>13</w:t>
      </w:r>
    </w:p>
    <w:p w14:paraId="7654CCC2" w14:textId="1BB45C46" w:rsidR="00935CE5" w:rsidRPr="00CE1471" w:rsidRDefault="00935CE5" w:rsidP="00CE1471">
      <w:pPr>
        <w:pStyle w:val="TOC2"/>
        <w:rPr>
          <w:rFonts w:eastAsiaTheme="minorEastAsia"/>
          <w:lang w:eastAsia="en-AU"/>
        </w:rPr>
      </w:pPr>
      <w:r w:rsidRPr="00CE1471">
        <w:t>5.3.</w:t>
      </w:r>
      <w:r w:rsidRPr="00CE1471">
        <w:rPr>
          <w:rFonts w:eastAsiaTheme="minorEastAsia"/>
          <w:lang w:eastAsia="en-AU"/>
        </w:rPr>
        <w:tab/>
      </w:r>
      <w:r w:rsidRPr="00CE1471">
        <w:t>Governance and Coordination</w:t>
      </w:r>
      <w:r w:rsidRPr="00CE1471">
        <w:tab/>
      </w:r>
      <w:r w:rsidR="000C6F5B">
        <w:t>14</w:t>
      </w:r>
    </w:p>
    <w:p w14:paraId="2E401F05" w14:textId="6FCB8762" w:rsidR="00935CE5" w:rsidRPr="00CE1471" w:rsidRDefault="00935CE5">
      <w:pPr>
        <w:pStyle w:val="TOC1"/>
        <w:tabs>
          <w:tab w:val="right" w:leader="dot" w:pos="9622"/>
        </w:tabs>
        <w:rPr>
          <w:rFonts w:asciiTheme="minorHAnsi" w:eastAsiaTheme="minorEastAsia" w:hAnsiTheme="minorHAnsi"/>
          <w:noProof/>
          <w:sz w:val="20"/>
          <w:szCs w:val="20"/>
          <w:lang w:eastAsia="en-AU"/>
        </w:rPr>
      </w:pPr>
      <w:r w:rsidRPr="00CE1471">
        <w:rPr>
          <w:rFonts w:asciiTheme="minorHAnsi" w:hAnsiTheme="minorHAnsi"/>
          <w:noProof/>
          <w:sz w:val="20"/>
          <w:szCs w:val="20"/>
        </w:rPr>
        <w:t>Reference List</w:t>
      </w:r>
      <w:r w:rsidRPr="00CE1471">
        <w:rPr>
          <w:rFonts w:asciiTheme="minorHAnsi" w:hAnsiTheme="minorHAnsi"/>
          <w:noProof/>
          <w:sz w:val="20"/>
          <w:szCs w:val="20"/>
        </w:rPr>
        <w:tab/>
      </w:r>
      <w:r w:rsidR="000C6F5B">
        <w:rPr>
          <w:rFonts w:asciiTheme="minorHAnsi" w:hAnsiTheme="minorHAnsi"/>
          <w:noProof/>
          <w:sz w:val="20"/>
          <w:szCs w:val="20"/>
        </w:rPr>
        <w:t>16</w:t>
      </w:r>
    </w:p>
    <w:p w14:paraId="66D02766" w14:textId="4B01DBD4" w:rsidR="009D00CD" w:rsidRPr="00425B82" w:rsidRDefault="00935CE5" w:rsidP="007C3F60">
      <w:pPr>
        <w:pStyle w:val="NoSpacing"/>
        <w:rPr>
          <w:rFonts w:asciiTheme="minorHAnsi" w:hAnsiTheme="minorHAnsi"/>
        </w:rPr>
      </w:pPr>
      <w:r w:rsidRPr="00935CE5">
        <w:rPr>
          <w:rFonts w:asciiTheme="minorHAnsi" w:hAnsiTheme="minorHAnsi"/>
        </w:rPr>
        <w:fldChar w:fldCharType="end"/>
      </w:r>
    </w:p>
    <w:p w14:paraId="5A8471C8" w14:textId="77777777" w:rsidR="009D00CD" w:rsidRPr="00425B82" w:rsidRDefault="009D00CD" w:rsidP="007C3F60">
      <w:pPr>
        <w:pStyle w:val="NoSpacing"/>
        <w:rPr>
          <w:rFonts w:asciiTheme="minorHAnsi" w:hAnsiTheme="minorHAnsi"/>
        </w:rPr>
      </w:pPr>
    </w:p>
    <w:p w14:paraId="5552644E" w14:textId="77777777" w:rsidR="00055E97" w:rsidRPr="007C3F60" w:rsidRDefault="00055E97" w:rsidP="007C3F60">
      <w:pPr>
        <w:tabs>
          <w:tab w:val="left" w:pos="860"/>
          <w:tab w:val="right" w:pos="1134"/>
          <w:tab w:val="right" w:leader="dot" w:pos="9040"/>
          <w:tab w:val="left" w:pos="9639"/>
        </w:tabs>
        <w:spacing w:after="0" w:line="240" w:lineRule="auto"/>
        <w:jc w:val="both"/>
        <w:rPr>
          <w:rFonts w:asciiTheme="minorHAnsi" w:hAnsiTheme="minorHAnsi" w:cs="Segoe UI"/>
          <w:sz w:val="20"/>
          <w:szCs w:val="20"/>
        </w:rPr>
      </w:pPr>
    </w:p>
    <w:p w14:paraId="54DED6AE" w14:textId="1028BDCA" w:rsidR="007C3F60" w:rsidRPr="007C3F60" w:rsidRDefault="007C3F60" w:rsidP="007C3F60">
      <w:pPr>
        <w:spacing w:after="0" w:line="240" w:lineRule="auto"/>
        <w:rPr>
          <w:rFonts w:asciiTheme="minorHAnsi" w:hAnsiTheme="minorHAnsi" w:cs="Segoe UI"/>
          <w:sz w:val="20"/>
          <w:szCs w:val="20"/>
        </w:rPr>
      </w:pPr>
      <w:r w:rsidRPr="007C3F60">
        <w:rPr>
          <w:rFonts w:asciiTheme="minorHAnsi" w:hAnsiTheme="minorHAnsi" w:cs="Segoe UI"/>
          <w:sz w:val="20"/>
          <w:szCs w:val="20"/>
        </w:rPr>
        <w:br w:type="page"/>
      </w:r>
    </w:p>
    <w:p w14:paraId="73C7C456" w14:textId="0DC27084" w:rsidR="007C3F60" w:rsidRPr="007C3F60" w:rsidRDefault="00D21D62" w:rsidP="001D3C79">
      <w:pPr>
        <w:pStyle w:val="Heading1"/>
      </w:pPr>
      <w:bookmarkStart w:id="1" w:name="_Toc410646562"/>
      <w:r>
        <w:lastRenderedPageBreak/>
        <w:t>1.</w:t>
      </w:r>
      <w:r>
        <w:tab/>
      </w:r>
      <w:r w:rsidR="007C3F60">
        <w:t>Summary</w:t>
      </w:r>
      <w:bookmarkEnd w:id="1"/>
    </w:p>
    <w:p w14:paraId="51C3FF8B" w14:textId="77777777" w:rsidR="007C3F60" w:rsidRPr="007C3F60" w:rsidRDefault="007C3F60" w:rsidP="007C3F60">
      <w:pPr>
        <w:pBdr>
          <w:bottom w:val="single" w:sz="12" w:space="1" w:color="auto"/>
        </w:pBdr>
        <w:spacing w:after="0" w:line="240" w:lineRule="auto"/>
        <w:rPr>
          <w:rFonts w:asciiTheme="minorHAnsi" w:hAnsiTheme="minorHAnsi"/>
          <w:sz w:val="16"/>
          <w:szCs w:val="16"/>
        </w:rPr>
      </w:pPr>
    </w:p>
    <w:p w14:paraId="672F4B57" w14:textId="77777777" w:rsidR="007C3F60" w:rsidRPr="000544A7" w:rsidRDefault="007C3F60" w:rsidP="007C3F60">
      <w:pPr>
        <w:spacing w:after="0" w:line="240" w:lineRule="auto"/>
        <w:jc w:val="both"/>
        <w:rPr>
          <w:rFonts w:asciiTheme="minorHAnsi" w:hAnsiTheme="minorHAnsi"/>
          <w:sz w:val="20"/>
          <w:szCs w:val="20"/>
        </w:rPr>
      </w:pPr>
    </w:p>
    <w:p w14:paraId="27DB9015" w14:textId="1F0F3C47" w:rsidR="00455A24" w:rsidRPr="009D6F4B" w:rsidRDefault="00455A24" w:rsidP="009D6F4B">
      <w:pPr>
        <w:spacing w:after="0" w:line="240" w:lineRule="auto"/>
        <w:jc w:val="both"/>
        <w:rPr>
          <w:rFonts w:asciiTheme="minorHAnsi" w:hAnsiTheme="minorHAnsi"/>
          <w:sz w:val="20"/>
          <w:szCs w:val="20"/>
        </w:rPr>
      </w:pPr>
      <w:r w:rsidRPr="009D6F4B">
        <w:rPr>
          <w:rFonts w:asciiTheme="minorHAnsi" w:hAnsiTheme="minorHAnsi"/>
          <w:sz w:val="20"/>
          <w:szCs w:val="20"/>
        </w:rPr>
        <w:t>Current policies and discourses around addressing and preventing violence against women in Australia have locked us into a particular way of conceptualising violence against women, which falls short in encompassing the key experiences of many women and girls with disabilities. These experiences have been recognised internationally as a central concern, where attention to the nature and scope of gendered disability violence has been integral to the violence prevention agenda (</w:t>
      </w:r>
      <w:proofErr w:type="spellStart"/>
      <w:r w:rsidR="00E343CB">
        <w:rPr>
          <w:rFonts w:asciiTheme="minorHAnsi" w:hAnsiTheme="minorHAnsi"/>
          <w:sz w:val="20"/>
          <w:szCs w:val="20"/>
        </w:rPr>
        <w:t>Manjoo</w:t>
      </w:r>
      <w:proofErr w:type="spellEnd"/>
      <w:r w:rsidR="00E343CB">
        <w:rPr>
          <w:rFonts w:asciiTheme="minorHAnsi" w:hAnsiTheme="minorHAnsi"/>
          <w:sz w:val="20"/>
          <w:szCs w:val="20"/>
        </w:rPr>
        <w:t xml:space="preserve"> 2011, Council of Europe 2013). </w:t>
      </w:r>
      <w:r w:rsidRPr="009D6F4B">
        <w:rPr>
          <w:rFonts w:asciiTheme="minorHAnsi" w:hAnsiTheme="minorHAnsi"/>
          <w:sz w:val="20"/>
          <w:szCs w:val="20"/>
        </w:rPr>
        <w:t xml:space="preserve">Current efforts in Australia have less successfully tackled this key intersectional issue, where the agenda is characterised by inadequate conceptualisation and recognition of, and response to, the needs and rights of women and girls with disabilities who have experienced or are at risk of experiencing violence </w:t>
      </w:r>
      <w:r w:rsidR="00E343CB" w:rsidRPr="002E71FC">
        <w:rPr>
          <w:rFonts w:asciiTheme="minorHAnsi" w:hAnsiTheme="minorHAnsi"/>
          <w:sz w:val="20"/>
          <w:szCs w:val="20"/>
        </w:rPr>
        <w:t>(</w:t>
      </w:r>
      <w:r w:rsidR="00E343CB">
        <w:rPr>
          <w:rFonts w:asciiTheme="minorHAnsi" w:hAnsiTheme="minorHAnsi"/>
          <w:sz w:val="20"/>
          <w:szCs w:val="20"/>
        </w:rPr>
        <w:t>Dowse et al 2013</w:t>
      </w:r>
      <w:r w:rsidR="00E343CB" w:rsidRPr="002E71FC">
        <w:rPr>
          <w:rFonts w:asciiTheme="minorHAnsi" w:hAnsiTheme="minorHAnsi"/>
          <w:sz w:val="20"/>
          <w:szCs w:val="20"/>
        </w:rPr>
        <w:t>).</w:t>
      </w:r>
    </w:p>
    <w:p w14:paraId="2D334295" w14:textId="77777777" w:rsidR="00455A24" w:rsidRDefault="00455A24" w:rsidP="009D6F4B">
      <w:pPr>
        <w:spacing w:after="0" w:line="240" w:lineRule="auto"/>
        <w:jc w:val="both"/>
        <w:rPr>
          <w:rFonts w:asciiTheme="minorHAnsi" w:hAnsiTheme="minorHAnsi"/>
          <w:sz w:val="20"/>
          <w:szCs w:val="20"/>
        </w:rPr>
      </w:pPr>
    </w:p>
    <w:p w14:paraId="6FBC4F30" w14:textId="73A797C1" w:rsidR="00EF5F33" w:rsidRDefault="00EF5F33" w:rsidP="009D6F4B">
      <w:pPr>
        <w:spacing w:after="0" w:line="240" w:lineRule="auto"/>
        <w:jc w:val="both"/>
        <w:rPr>
          <w:rFonts w:asciiTheme="minorHAnsi" w:hAnsiTheme="minorHAnsi"/>
          <w:sz w:val="20"/>
          <w:szCs w:val="20"/>
        </w:rPr>
      </w:pPr>
      <w:r w:rsidRPr="009D6F4B">
        <w:rPr>
          <w:rFonts w:asciiTheme="minorHAnsi" w:hAnsiTheme="minorHAnsi"/>
          <w:sz w:val="20"/>
          <w:szCs w:val="20"/>
        </w:rPr>
        <w:t xml:space="preserve">The strength of international approaches to gendered violence prevention is that, in adopting a comprehensive human rights perspective, intersectional experiences of gendered violence are a central concern in recognition that multiple identity positions (including disability, </w:t>
      </w:r>
      <w:r>
        <w:rPr>
          <w:rFonts w:asciiTheme="minorHAnsi" w:hAnsiTheme="minorHAnsi"/>
          <w:sz w:val="20"/>
          <w:szCs w:val="20"/>
        </w:rPr>
        <w:t>race, ethnicity, sexual orientation, refugee status and so on</w:t>
      </w:r>
      <w:r w:rsidRPr="009D6F4B">
        <w:rPr>
          <w:rFonts w:asciiTheme="minorHAnsi" w:hAnsiTheme="minorHAnsi"/>
          <w:sz w:val="20"/>
          <w:szCs w:val="20"/>
        </w:rPr>
        <w:t xml:space="preserve">) increase the likelihood, nature and impact of violence. This is not the case in the Australian context, where legislation, policy and service responses tend to view women with disabilities as an </w:t>
      </w:r>
      <w:r>
        <w:rPr>
          <w:rFonts w:asciiTheme="minorHAnsi" w:hAnsiTheme="minorHAnsi"/>
          <w:sz w:val="20"/>
          <w:szCs w:val="20"/>
        </w:rPr>
        <w:t>‘</w:t>
      </w:r>
      <w:r w:rsidRPr="009D6F4B">
        <w:rPr>
          <w:rFonts w:asciiTheme="minorHAnsi" w:hAnsiTheme="minorHAnsi"/>
          <w:sz w:val="20"/>
          <w:szCs w:val="20"/>
        </w:rPr>
        <w:t>additional group</w:t>
      </w:r>
      <w:r>
        <w:rPr>
          <w:rFonts w:asciiTheme="minorHAnsi" w:hAnsiTheme="minorHAnsi"/>
          <w:sz w:val="20"/>
          <w:szCs w:val="20"/>
        </w:rPr>
        <w:t>’</w:t>
      </w:r>
      <w:r w:rsidRPr="009D6F4B">
        <w:rPr>
          <w:rFonts w:asciiTheme="minorHAnsi" w:hAnsiTheme="minorHAnsi"/>
          <w:sz w:val="20"/>
          <w:szCs w:val="20"/>
        </w:rPr>
        <w:t xml:space="preserve"> whose needs are exceptional or additional to the central prevention agenda. Compounding this in the Australian context is the [largely mistaken] belief that frameworks of disability policy and </w:t>
      </w:r>
      <w:r w:rsidR="00143980">
        <w:rPr>
          <w:rFonts w:asciiTheme="minorHAnsi" w:hAnsiTheme="minorHAnsi"/>
          <w:sz w:val="20"/>
          <w:szCs w:val="20"/>
        </w:rPr>
        <w:t xml:space="preserve">service </w:t>
      </w:r>
      <w:r w:rsidRPr="009D6F4B">
        <w:rPr>
          <w:rFonts w:asciiTheme="minorHAnsi" w:hAnsiTheme="minorHAnsi"/>
          <w:sz w:val="20"/>
          <w:szCs w:val="20"/>
        </w:rPr>
        <w:t>provision have given attention to gendered violence.</w:t>
      </w:r>
      <w:r>
        <w:rPr>
          <w:rFonts w:asciiTheme="minorHAnsi" w:hAnsiTheme="minorHAnsi"/>
          <w:sz w:val="20"/>
          <w:szCs w:val="20"/>
        </w:rPr>
        <w:t xml:space="preserve"> The reality is </w:t>
      </w:r>
      <w:r w:rsidR="00143980">
        <w:rPr>
          <w:rFonts w:asciiTheme="minorHAnsi" w:hAnsiTheme="minorHAnsi"/>
          <w:sz w:val="20"/>
          <w:szCs w:val="20"/>
        </w:rPr>
        <w:t xml:space="preserve">however, </w:t>
      </w:r>
      <w:r>
        <w:rPr>
          <w:rFonts w:asciiTheme="minorHAnsi" w:hAnsiTheme="minorHAnsi"/>
          <w:sz w:val="20"/>
          <w:szCs w:val="20"/>
        </w:rPr>
        <w:t xml:space="preserve">that </w:t>
      </w:r>
      <w:r w:rsidRPr="009D6F4B">
        <w:rPr>
          <w:rFonts w:asciiTheme="minorHAnsi" w:hAnsiTheme="minorHAnsi"/>
          <w:sz w:val="20"/>
          <w:szCs w:val="20"/>
        </w:rPr>
        <w:t>disability policy frameworks are currently inadequate in encompassing either gender or violence issues, let alone the intersection of the two. In practice, this means that efforts and approaches to prevent violence against women in Australia are not comprehensive, are piecemeal and inconsistent in definitions and scope, continue to focus predominately on protection from traditional forms of domestic/family violence and therefore fail to provide a coordinated and integrated approach to combating all forms of violence perpetrated against women and girls</w:t>
      </w:r>
      <w:r>
        <w:rPr>
          <w:rFonts w:asciiTheme="minorHAnsi" w:hAnsiTheme="minorHAnsi"/>
          <w:sz w:val="20"/>
          <w:szCs w:val="20"/>
        </w:rPr>
        <w:t xml:space="preserve"> (Frohmader &amp; </w:t>
      </w:r>
      <w:proofErr w:type="spellStart"/>
      <w:r w:rsidRPr="00E343CB">
        <w:rPr>
          <w:rFonts w:asciiTheme="minorHAnsi" w:hAnsiTheme="minorHAnsi"/>
          <w:sz w:val="20"/>
          <w:szCs w:val="20"/>
        </w:rPr>
        <w:t>Cadwallader</w:t>
      </w:r>
      <w:proofErr w:type="spellEnd"/>
      <w:r>
        <w:rPr>
          <w:rFonts w:asciiTheme="minorHAnsi" w:hAnsiTheme="minorHAnsi"/>
          <w:sz w:val="20"/>
          <w:szCs w:val="20"/>
        </w:rPr>
        <w:t xml:space="preserve"> 2014)</w:t>
      </w:r>
      <w:r w:rsidRPr="009D6F4B">
        <w:rPr>
          <w:rFonts w:asciiTheme="minorHAnsi" w:hAnsiTheme="minorHAnsi"/>
          <w:sz w:val="20"/>
          <w:szCs w:val="20"/>
        </w:rPr>
        <w:t xml:space="preserve">. </w:t>
      </w:r>
    </w:p>
    <w:p w14:paraId="20B7F2E1" w14:textId="77777777" w:rsidR="00EF5F33" w:rsidRDefault="00EF5F33" w:rsidP="009D6F4B">
      <w:pPr>
        <w:spacing w:after="0" w:line="240" w:lineRule="auto"/>
        <w:jc w:val="both"/>
        <w:rPr>
          <w:rFonts w:asciiTheme="minorHAnsi" w:hAnsiTheme="minorHAnsi"/>
          <w:sz w:val="20"/>
          <w:szCs w:val="20"/>
        </w:rPr>
      </w:pPr>
    </w:p>
    <w:p w14:paraId="3AAE0DB2" w14:textId="71289F90" w:rsidR="00D36E10" w:rsidRDefault="00DE1C75" w:rsidP="009D6F4B">
      <w:pPr>
        <w:spacing w:after="0" w:line="240" w:lineRule="auto"/>
        <w:jc w:val="both"/>
        <w:rPr>
          <w:rFonts w:asciiTheme="minorHAnsi" w:hAnsiTheme="minorHAnsi" w:cs="Calibri"/>
          <w:bCs/>
          <w:sz w:val="20"/>
          <w:szCs w:val="20"/>
          <w:lang w:eastAsia="en-AU"/>
        </w:rPr>
      </w:pPr>
      <w:r>
        <w:rPr>
          <w:rFonts w:asciiTheme="minorHAnsi" w:hAnsiTheme="minorHAnsi"/>
          <w:sz w:val="20"/>
          <w:szCs w:val="20"/>
        </w:rPr>
        <w:t xml:space="preserve">This paper examines these issues in the context of the agenda to prevent violence against women and their children. </w:t>
      </w:r>
      <w:r w:rsidR="00A54B0D">
        <w:rPr>
          <w:rFonts w:asciiTheme="minorHAnsi" w:hAnsiTheme="minorHAnsi"/>
          <w:sz w:val="20"/>
          <w:szCs w:val="20"/>
        </w:rPr>
        <w:t xml:space="preserve">It examines conceptual understandings of </w:t>
      </w:r>
      <w:r w:rsidR="00156CAE" w:rsidRPr="009D6F4B">
        <w:rPr>
          <w:rFonts w:asciiTheme="minorHAnsi" w:hAnsiTheme="minorHAnsi" w:cs="Calibri"/>
          <w:bCs/>
          <w:sz w:val="20"/>
          <w:szCs w:val="20"/>
          <w:lang w:eastAsia="en-AU"/>
        </w:rPr>
        <w:t>violence against women</w:t>
      </w:r>
      <w:r w:rsidR="00156CAE">
        <w:rPr>
          <w:rFonts w:asciiTheme="minorHAnsi" w:hAnsiTheme="minorHAnsi" w:cs="Calibri"/>
          <w:bCs/>
          <w:sz w:val="20"/>
          <w:szCs w:val="20"/>
          <w:lang w:eastAsia="en-AU"/>
        </w:rPr>
        <w:t xml:space="preserve">, and argues that we need to </w:t>
      </w:r>
      <w:r w:rsidR="00156CAE" w:rsidRPr="009D6F4B">
        <w:rPr>
          <w:rFonts w:asciiTheme="minorHAnsi" w:hAnsiTheme="minorHAnsi" w:cs="Calibri"/>
          <w:bCs/>
          <w:sz w:val="20"/>
          <w:szCs w:val="20"/>
          <w:lang w:eastAsia="en-AU"/>
        </w:rPr>
        <w:t>broaden the current way of thinking about how we frame what violence against women encompasses</w:t>
      </w:r>
      <w:r w:rsidR="00156CAE">
        <w:rPr>
          <w:rFonts w:asciiTheme="minorHAnsi" w:hAnsiTheme="minorHAnsi" w:cs="Calibri"/>
          <w:bCs/>
          <w:sz w:val="20"/>
          <w:szCs w:val="20"/>
          <w:lang w:eastAsia="en-AU"/>
        </w:rPr>
        <w:t xml:space="preserve">. </w:t>
      </w:r>
      <w:r w:rsidR="00D36E10">
        <w:rPr>
          <w:rFonts w:asciiTheme="minorHAnsi" w:hAnsiTheme="minorHAnsi"/>
          <w:sz w:val="20"/>
          <w:szCs w:val="20"/>
        </w:rPr>
        <w:t xml:space="preserve">It highlights the critical need to </w:t>
      </w:r>
      <w:r w:rsidR="00D36E10" w:rsidRPr="006C39A0">
        <w:rPr>
          <w:rFonts w:asciiTheme="minorHAnsi" w:hAnsiTheme="minorHAnsi"/>
          <w:sz w:val="20"/>
          <w:szCs w:val="20"/>
        </w:rPr>
        <w:t xml:space="preserve">understand and respect </w:t>
      </w:r>
      <w:r w:rsidR="00D36E10">
        <w:rPr>
          <w:rFonts w:asciiTheme="minorHAnsi" w:hAnsiTheme="minorHAnsi"/>
          <w:sz w:val="20"/>
          <w:szCs w:val="20"/>
        </w:rPr>
        <w:t>the</w:t>
      </w:r>
      <w:r w:rsidR="00D36E10" w:rsidRPr="006C39A0">
        <w:rPr>
          <w:rFonts w:asciiTheme="minorHAnsi" w:hAnsiTheme="minorHAnsi"/>
          <w:sz w:val="20"/>
          <w:szCs w:val="20"/>
        </w:rPr>
        <w:t xml:space="preserve"> complexity and specificity</w:t>
      </w:r>
      <w:r w:rsidR="00D36E10">
        <w:rPr>
          <w:rFonts w:asciiTheme="minorHAnsi" w:hAnsiTheme="minorHAnsi"/>
          <w:sz w:val="20"/>
          <w:szCs w:val="20"/>
        </w:rPr>
        <w:t xml:space="preserve"> of gendered disability violence. </w:t>
      </w:r>
      <w:r w:rsidR="00156CAE">
        <w:rPr>
          <w:rFonts w:asciiTheme="minorHAnsi" w:hAnsiTheme="minorHAnsi" w:cs="Calibri"/>
          <w:bCs/>
          <w:sz w:val="20"/>
          <w:szCs w:val="20"/>
          <w:lang w:eastAsia="en-AU"/>
        </w:rPr>
        <w:t xml:space="preserve">In positioning violence against women as a form of discrimination, this paper </w:t>
      </w:r>
      <w:r w:rsidR="00D36E10">
        <w:rPr>
          <w:rFonts w:asciiTheme="minorHAnsi" w:hAnsiTheme="minorHAnsi" w:cs="Calibri"/>
          <w:bCs/>
          <w:sz w:val="20"/>
          <w:szCs w:val="20"/>
          <w:lang w:eastAsia="en-AU"/>
        </w:rPr>
        <w:t xml:space="preserve">recognises </w:t>
      </w:r>
      <w:r w:rsidR="00156CAE">
        <w:rPr>
          <w:rFonts w:asciiTheme="minorHAnsi" w:hAnsiTheme="minorHAnsi"/>
          <w:sz w:val="20"/>
          <w:szCs w:val="20"/>
        </w:rPr>
        <w:t xml:space="preserve">the multiple and intersecting forms of discrimination that combine to significantly heighten the risk </w:t>
      </w:r>
      <w:r w:rsidR="007917F3">
        <w:rPr>
          <w:rFonts w:asciiTheme="minorHAnsi" w:hAnsiTheme="minorHAnsi"/>
          <w:sz w:val="20"/>
          <w:szCs w:val="20"/>
        </w:rPr>
        <w:t xml:space="preserve">and </w:t>
      </w:r>
      <w:r w:rsidR="007917F3" w:rsidRPr="009D6F4B">
        <w:rPr>
          <w:rFonts w:asciiTheme="minorHAnsi" w:hAnsiTheme="minorHAnsi"/>
          <w:sz w:val="20"/>
          <w:szCs w:val="20"/>
        </w:rPr>
        <w:t>likelihood</w:t>
      </w:r>
      <w:r w:rsidR="007917F3">
        <w:rPr>
          <w:rFonts w:asciiTheme="minorHAnsi" w:hAnsiTheme="minorHAnsi"/>
          <w:sz w:val="20"/>
          <w:szCs w:val="20"/>
        </w:rPr>
        <w:t xml:space="preserve"> </w:t>
      </w:r>
      <w:r w:rsidR="00156CAE">
        <w:rPr>
          <w:rFonts w:asciiTheme="minorHAnsi" w:hAnsiTheme="minorHAnsi"/>
          <w:sz w:val="20"/>
          <w:szCs w:val="20"/>
        </w:rPr>
        <w:t xml:space="preserve">of women and girls with disabilities </w:t>
      </w:r>
      <w:r w:rsidR="007917F3">
        <w:rPr>
          <w:rFonts w:asciiTheme="minorHAnsi" w:hAnsiTheme="minorHAnsi"/>
          <w:sz w:val="20"/>
          <w:szCs w:val="20"/>
        </w:rPr>
        <w:t>experiencing</w:t>
      </w:r>
      <w:r w:rsidR="00156CAE">
        <w:rPr>
          <w:rFonts w:asciiTheme="minorHAnsi" w:hAnsiTheme="minorHAnsi"/>
          <w:sz w:val="20"/>
          <w:szCs w:val="20"/>
        </w:rPr>
        <w:t xml:space="preserve"> gendered disability violence.</w:t>
      </w:r>
      <w:r w:rsidR="00D36E10">
        <w:rPr>
          <w:rFonts w:asciiTheme="minorHAnsi" w:hAnsiTheme="minorHAnsi"/>
          <w:sz w:val="20"/>
          <w:szCs w:val="20"/>
        </w:rPr>
        <w:t xml:space="preserve"> In so doing, it reflects an understanding that </w:t>
      </w:r>
      <w:r w:rsidR="00D36E10">
        <w:rPr>
          <w:rFonts w:asciiTheme="minorHAnsi" w:hAnsiTheme="minorHAnsi" w:cs="Calibri"/>
          <w:bCs/>
          <w:sz w:val="20"/>
          <w:szCs w:val="20"/>
          <w:lang w:eastAsia="en-AU"/>
        </w:rPr>
        <w:t xml:space="preserve">violence against women, as a form of discrimination, is not just a matter of ‘inter-gender inequality’ between women and men, but also a matter of ‘intra-gender inequality’ among women. </w:t>
      </w:r>
    </w:p>
    <w:p w14:paraId="63B47115" w14:textId="77777777" w:rsidR="007917F3" w:rsidRDefault="007917F3" w:rsidP="009D6F4B">
      <w:pPr>
        <w:spacing w:after="0" w:line="240" w:lineRule="auto"/>
        <w:jc w:val="both"/>
        <w:rPr>
          <w:rFonts w:asciiTheme="minorHAnsi" w:hAnsiTheme="minorHAnsi" w:cs="Calibri"/>
          <w:bCs/>
          <w:sz w:val="20"/>
          <w:szCs w:val="20"/>
          <w:lang w:eastAsia="en-AU"/>
        </w:rPr>
      </w:pPr>
    </w:p>
    <w:p w14:paraId="602DB10E" w14:textId="77777777" w:rsidR="00143980" w:rsidRDefault="00D36E10" w:rsidP="009D6F4B">
      <w:pPr>
        <w:spacing w:after="0" w:line="240" w:lineRule="auto"/>
        <w:jc w:val="both"/>
        <w:rPr>
          <w:rFonts w:asciiTheme="minorHAnsi" w:hAnsiTheme="minorHAnsi"/>
          <w:sz w:val="20"/>
          <w:szCs w:val="20"/>
        </w:rPr>
      </w:pPr>
      <w:r>
        <w:rPr>
          <w:rFonts w:asciiTheme="minorHAnsi" w:hAnsiTheme="minorHAnsi" w:cs="Calibri"/>
          <w:bCs/>
          <w:sz w:val="20"/>
          <w:szCs w:val="20"/>
          <w:lang w:eastAsia="en-AU"/>
        </w:rPr>
        <w:t xml:space="preserve">The paper articulates the imperative of a </w:t>
      </w:r>
      <w:r w:rsidRPr="009D6F4B">
        <w:rPr>
          <w:rFonts w:asciiTheme="minorHAnsi" w:hAnsiTheme="minorHAnsi"/>
          <w:sz w:val="20"/>
          <w:szCs w:val="20"/>
        </w:rPr>
        <w:t>comprehensive human rights perspective</w:t>
      </w:r>
      <w:r>
        <w:rPr>
          <w:rFonts w:asciiTheme="minorHAnsi" w:hAnsiTheme="minorHAnsi" w:cs="Calibri"/>
          <w:bCs/>
          <w:sz w:val="20"/>
          <w:szCs w:val="20"/>
          <w:lang w:eastAsia="en-AU"/>
        </w:rPr>
        <w:t xml:space="preserve"> and approach to the </w:t>
      </w:r>
      <w:r w:rsidRPr="00407B8C">
        <w:rPr>
          <w:rFonts w:asciiTheme="minorHAnsi" w:hAnsiTheme="minorHAnsi"/>
          <w:sz w:val="20"/>
          <w:szCs w:val="20"/>
        </w:rPr>
        <w:t>prevention of violence against women</w:t>
      </w:r>
      <w:r>
        <w:rPr>
          <w:rFonts w:asciiTheme="minorHAnsi" w:hAnsiTheme="minorHAnsi"/>
          <w:sz w:val="20"/>
          <w:szCs w:val="20"/>
        </w:rPr>
        <w:t xml:space="preserve">. </w:t>
      </w:r>
      <w:r w:rsidR="007917F3">
        <w:rPr>
          <w:rFonts w:asciiTheme="minorHAnsi" w:hAnsiTheme="minorHAnsi"/>
          <w:sz w:val="20"/>
          <w:szCs w:val="20"/>
        </w:rPr>
        <w:t>This</w:t>
      </w:r>
      <w:r>
        <w:rPr>
          <w:rFonts w:asciiTheme="minorHAnsi" w:hAnsiTheme="minorHAnsi"/>
          <w:sz w:val="20"/>
          <w:szCs w:val="20"/>
        </w:rPr>
        <w:t xml:space="preserve"> approach </w:t>
      </w:r>
      <w:r w:rsidRPr="00407B8C">
        <w:rPr>
          <w:rFonts w:asciiTheme="minorHAnsi" w:hAnsiTheme="minorHAnsi"/>
          <w:sz w:val="20"/>
          <w:szCs w:val="20"/>
        </w:rPr>
        <w:t xml:space="preserve">recognises and demonstrates that responses to violence against women cannot be considered in isolation from the context of individuals, households, </w:t>
      </w:r>
      <w:r>
        <w:rPr>
          <w:rFonts w:asciiTheme="minorHAnsi" w:hAnsiTheme="minorHAnsi"/>
          <w:sz w:val="20"/>
          <w:szCs w:val="20"/>
        </w:rPr>
        <w:t xml:space="preserve">settings, </w:t>
      </w:r>
      <w:r w:rsidRPr="00407B8C">
        <w:rPr>
          <w:rFonts w:asciiTheme="minorHAnsi" w:hAnsiTheme="minorHAnsi"/>
          <w:sz w:val="20"/>
          <w:szCs w:val="20"/>
        </w:rPr>
        <w:t xml:space="preserve">communities or States. </w:t>
      </w:r>
      <w:r>
        <w:rPr>
          <w:rFonts w:asciiTheme="minorHAnsi" w:hAnsiTheme="minorHAnsi"/>
          <w:sz w:val="20"/>
          <w:szCs w:val="20"/>
        </w:rPr>
        <w:t>It recognises that d</w:t>
      </w:r>
      <w:r w:rsidRPr="00407B8C">
        <w:rPr>
          <w:rFonts w:asciiTheme="minorHAnsi" w:hAnsiTheme="minorHAnsi"/>
          <w:sz w:val="20"/>
          <w:szCs w:val="20"/>
        </w:rPr>
        <w:t>iscrimination affects women in different ways depending on how they are positioned within the social, economic and cultural hierarchies that prohibit or further compromise certain women’s ability to enjoy universal human rights</w:t>
      </w:r>
      <w:r w:rsidR="00143980">
        <w:rPr>
          <w:rFonts w:asciiTheme="minorHAnsi" w:hAnsiTheme="minorHAnsi"/>
          <w:sz w:val="20"/>
          <w:szCs w:val="20"/>
        </w:rPr>
        <w:t xml:space="preserve"> (</w:t>
      </w:r>
      <w:proofErr w:type="spellStart"/>
      <w:r w:rsidR="00143980">
        <w:rPr>
          <w:rFonts w:asciiTheme="minorHAnsi" w:hAnsiTheme="minorHAnsi"/>
          <w:sz w:val="20"/>
          <w:szCs w:val="20"/>
        </w:rPr>
        <w:t>Manjoo</w:t>
      </w:r>
      <w:proofErr w:type="spellEnd"/>
      <w:r w:rsidR="00143980">
        <w:rPr>
          <w:rFonts w:asciiTheme="minorHAnsi" w:hAnsiTheme="minorHAnsi"/>
          <w:sz w:val="20"/>
          <w:szCs w:val="20"/>
        </w:rPr>
        <w:t xml:space="preserve"> 2011)</w:t>
      </w:r>
      <w:r>
        <w:rPr>
          <w:rFonts w:asciiTheme="minorHAnsi" w:hAnsiTheme="minorHAnsi"/>
          <w:sz w:val="20"/>
          <w:szCs w:val="20"/>
        </w:rPr>
        <w:t xml:space="preserve">. </w:t>
      </w:r>
    </w:p>
    <w:p w14:paraId="7A8F454B" w14:textId="77777777" w:rsidR="00143980" w:rsidRDefault="00143980" w:rsidP="009D6F4B">
      <w:pPr>
        <w:spacing w:after="0" w:line="240" w:lineRule="auto"/>
        <w:jc w:val="both"/>
        <w:rPr>
          <w:rFonts w:asciiTheme="minorHAnsi" w:hAnsiTheme="minorHAnsi"/>
          <w:sz w:val="20"/>
          <w:szCs w:val="20"/>
        </w:rPr>
      </w:pPr>
    </w:p>
    <w:p w14:paraId="4FF56BC3" w14:textId="53EE5DBF" w:rsidR="00EF5F33" w:rsidRDefault="00D36E10" w:rsidP="009D6F4B">
      <w:pPr>
        <w:spacing w:after="0" w:line="240" w:lineRule="auto"/>
        <w:jc w:val="both"/>
        <w:rPr>
          <w:rFonts w:asciiTheme="minorHAnsi" w:hAnsiTheme="minorHAnsi"/>
          <w:sz w:val="20"/>
          <w:szCs w:val="20"/>
        </w:rPr>
      </w:pPr>
      <w:r>
        <w:rPr>
          <w:rFonts w:asciiTheme="minorHAnsi" w:hAnsiTheme="minorHAnsi"/>
          <w:sz w:val="20"/>
          <w:szCs w:val="20"/>
        </w:rPr>
        <w:t>This paper argues that w</w:t>
      </w:r>
      <w:r w:rsidR="00EF5F33" w:rsidRPr="009D6F4B">
        <w:rPr>
          <w:rFonts w:asciiTheme="minorHAnsi" w:hAnsiTheme="minorHAnsi"/>
          <w:sz w:val="20"/>
          <w:szCs w:val="20"/>
        </w:rPr>
        <w:t>ithout a grounding in a comprehensive human rights frame, current approaches to violence prevention run the risk of reinscribing the marginalisation of gendered disability violence, resulting in the inadvertent perpetuation of the systemic violence and abuse experienced by women with disabilities in a wide range of settings.</w:t>
      </w:r>
    </w:p>
    <w:p w14:paraId="1533F667" w14:textId="77777777" w:rsidR="00EF5F33" w:rsidRDefault="00EF5F33" w:rsidP="009D6F4B">
      <w:pPr>
        <w:spacing w:after="0" w:line="240" w:lineRule="auto"/>
        <w:jc w:val="both"/>
        <w:rPr>
          <w:rFonts w:asciiTheme="minorHAnsi" w:hAnsiTheme="minorHAnsi"/>
          <w:sz w:val="20"/>
          <w:szCs w:val="20"/>
        </w:rPr>
      </w:pPr>
    </w:p>
    <w:p w14:paraId="544EA000" w14:textId="01D2C072" w:rsidR="00CD1259" w:rsidRDefault="00CD1259">
      <w:pPr>
        <w:spacing w:after="0" w:line="240" w:lineRule="auto"/>
        <w:rPr>
          <w:rFonts w:asciiTheme="minorHAnsi" w:hAnsiTheme="minorHAnsi"/>
          <w:sz w:val="20"/>
          <w:szCs w:val="20"/>
        </w:rPr>
      </w:pPr>
      <w:r>
        <w:rPr>
          <w:rFonts w:asciiTheme="minorHAnsi" w:hAnsiTheme="minorHAnsi"/>
          <w:sz w:val="20"/>
          <w:szCs w:val="20"/>
        </w:rPr>
        <w:br w:type="page"/>
      </w:r>
    </w:p>
    <w:p w14:paraId="03055660" w14:textId="776337CA" w:rsidR="007C3F60" w:rsidRPr="007C3F60" w:rsidRDefault="00D21D62" w:rsidP="001D3C79">
      <w:pPr>
        <w:pStyle w:val="Heading1"/>
      </w:pPr>
      <w:bookmarkStart w:id="2" w:name="_Toc410646563"/>
      <w:r>
        <w:lastRenderedPageBreak/>
        <w:t>2.</w:t>
      </w:r>
      <w:r>
        <w:tab/>
      </w:r>
      <w:r w:rsidR="007C3F60">
        <w:t>Introduction and Context</w:t>
      </w:r>
      <w:bookmarkEnd w:id="2"/>
    </w:p>
    <w:p w14:paraId="7ECF4942" w14:textId="77777777" w:rsidR="007C3F60" w:rsidRPr="007C3F60" w:rsidRDefault="007C3F60" w:rsidP="007C3F60">
      <w:pPr>
        <w:pBdr>
          <w:bottom w:val="single" w:sz="12" w:space="1" w:color="auto"/>
        </w:pBdr>
        <w:spacing w:after="0" w:line="240" w:lineRule="auto"/>
        <w:rPr>
          <w:rFonts w:asciiTheme="minorHAnsi" w:hAnsiTheme="minorHAnsi"/>
          <w:sz w:val="16"/>
          <w:szCs w:val="16"/>
        </w:rPr>
      </w:pPr>
    </w:p>
    <w:p w14:paraId="713A6582" w14:textId="77777777" w:rsidR="007C3F60" w:rsidRDefault="007C3F60" w:rsidP="000544A7">
      <w:pPr>
        <w:spacing w:after="0" w:line="240" w:lineRule="auto"/>
        <w:jc w:val="both"/>
        <w:rPr>
          <w:rFonts w:asciiTheme="minorHAnsi" w:hAnsiTheme="minorHAnsi"/>
          <w:sz w:val="20"/>
          <w:szCs w:val="20"/>
        </w:rPr>
      </w:pPr>
    </w:p>
    <w:p w14:paraId="1BB63B64" w14:textId="77777777" w:rsidR="00EF5F33" w:rsidRDefault="00EF5F33" w:rsidP="00EF5F33">
      <w:pPr>
        <w:spacing w:after="0" w:line="240" w:lineRule="auto"/>
        <w:jc w:val="both"/>
        <w:rPr>
          <w:rFonts w:asciiTheme="minorHAnsi" w:hAnsiTheme="minorHAnsi"/>
          <w:sz w:val="20"/>
          <w:szCs w:val="20"/>
        </w:rPr>
      </w:pPr>
      <w:r w:rsidRPr="002E71FC">
        <w:rPr>
          <w:rFonts w:asciiTheme="minorHAnsi" w:hAnsiTheme="minorHAnsi"/>
          <w:sz w:val="20"/>
          <w:szCs w:val="20"/>
        </w:rPr>
        <w:t>Violence against women is considered as one</w:t>
      </w:r>
      <w:r>
        <w:rPr>
          <w:rFonts w:asciiTheme="minorHAnsi" w:hAnsiTheme="minorHAnsi"/>
          <w:sz w:val="20"/>
          <w:szCs w:val="20"/>
        </w:rPr>
        <w:t xml:space="preserve"> </w:t>
      </w:r>
      <w:r w:rsidRPr="002E71FC">
        <w:rPr>
          <w:rFonts w:asciiTheme="minorHAnsi" w:hAnsiTheme="minorHAnsi"/>
          <w:sz w:val="20"/>
          <w:szCs w:val="20"/>
        </w:rPr>
        <w:t xml:space="preserve">of the most widespread violations of human rights worldwide (UNGA 2012) and is now </w:t>
      </w:r>
      <w:r>
        <w:rPr>
          <w:rFonts w:asciiTheme="minorHAnsi" w:hAnsiTheme="minorHAnsi"/>
          <w:sz w:val="20"/>
          <w:szCs w:val="20"/>
        </w:rPr>
        <w:t xml:space="preserve">firmly </w:t>
      </w:r>
      <w:r w:rsidRPr="002E71FC">
        <w:rPr>
          <w:rFonts w:asciiTheme="minorHAnsi" w:hAnsiTheme="minorHAnsi"/>
          <w:sz w:val="20"/>
          <w:szCs w:val="20"/>
        </w:rPr>
        <w:t xml:space="preserve">at the forefront of the international </w:t>
      </w:r>
      <w:r>
        <w:rPr>
          <w:rFonts w:asciiTheme="minorHAnsi" w:hAnsiTheme="minorHAnsi"/>
          <w:sz w:val="20"/>
          <w:szCs w:val="20"/>
        </w:rPr>
        <w:t xml:space="preserve">development </w:t>
      </w:r>
      <w:r w:rsidRPr="002E71FC">
        <w:rPr>
          <w:rFonts w:asciiTheme="minorHAnsi" w:hAnsiTheme="minorHAnsi"/>
          <w:sz w:val="20"/>
          <w:szCs w:val="20"/>
        </w:rPr>
        <w:t>agenda as a</w:t>
      </w:r>
      <w:r>
        <w:rPr>
          <w:rFonts w:asciiTheme="minorHAnsi" w:hAnsiTheme="minorHAnsi"/>
          <w:sz w:val="20"/>
          <w:szCs w:val="20"/>
        </w:rPr>
        <w:t>n urgent</w:t>
      </w:r>
      <w:r w:rsidRPr="002E71FC">
        <w:rPr>
          <w:rFonts w:asciiTheme="minorHAnsi" w:hAnsiTheme="minorHAnsi"/>
          <w:sz w:val="20"/>
          <w:szCs w:val="20"/>
        </w:rPr>
        <w:t xml:space="preserve"> human rights issue requiring national government and international action (</w:t>
      </w:r>
      <w:r>
        <w:rPr>
          <w:rFonts w:asciiTheme="minorHAnsi" w:hAnsiTheme="minorHAnsi"/>
          <w:sz w:val="20"/>
          <w:szCs w:val="20"/>
        </w:rPr>
        <w:t>Dowse et al 2013</w:t>
      </w:r>
      <w:r w:rsidRPr="002E71FC">
        <w:rPr>
          <w:rFonts w:asciiTheme="minorHAnsi" w:hAnsiTheme="minorHAnsi"/>
          <w:sz w:val="20"/>
          <w:szCs w:val="20"/>
        </w:rPr>
        <w:t>).</w:t>
      </w:r>
      <w:r>
        <w:rPr>
          <w:rFonts w:asciiTheme="minorHAnsi" w:hAnsiTheme="minorHAnsi"/>
          <w:sz w:val="20"/>
          <w:szCs w:val="20"/>
        </w:rPr>
        <w:t xml:space="preserve"> In Australia, v</w:t>
      </w:r>
      <w:r w:rsidRPr="000544A7">
        <w:rPr>
          <w:rFonts w:asciiTheme="minorHAnsi" w:hAnsiTheme="minorHAnsi"/>
          <w:sz w:val="20"/>
          <w:szCs w:val="20"/>
        </w:rPr>
        <w:t>iolence against women is being described in our communities as ‘a national human rights disaster’</w:t>
      </w:r>
      <w:r>
        <w:rPr>
          <w:rFonts w:asciiTheme="minorHAnsi" w:hAnsiTheme="minorHAnsi"/>
          <w:sz w:val="20"/>
          <w:szCs w:val="20"/>
        </w:rPr>
        <w:t xml:space="preserve"> (Phillips 2014)</w:t>
      </w:r>
      <w:r w:rsidRPr="000544A7">
        <w:rPr>
          <w:rFonts w:asciiTheme="minorHAnsi" w:hAnsiTheme="minorHAnsi"/>
          <w:sz w:val="20"/>
          <w:szCs w:val="20"/>
        </w:rPr>
        <w:t>, an ‘epidemic’</w:t>
      </w:r>
      <w:r>
        <w:rPr>
          <w:rFonts w:asciiTheme="minorHAnsi" w:hAnsiTheme="minorHAnsi"/>
          <w:sz w:val="20"/>
          <w:szCs w:val="20"/>
        </w:rPr>
        <w:t xml:space="preserve"> (DVNSW 2014)</w:t>
      </w:r>
      <w:r w:rsidRPr="000544A7">
        <w:rPr>
          <w:rFonts w:asciiTheme="minorHAnsi" w:hAnsiTheme="minorHAnsi"/>
          <w:sz w:val="20"/>
          <w:szCs w:val="20"/>
        </w:rPr>
        <w:t xml:space="preserve"> and a ‘national emergency’</w:t>
      </w:r>
      <w:r>
        <w:rPr>
          <w:rFonts w:asciiTheme="minorHAnsi" w:hAnsiTheme="minorHAnsi"/>
          <w:sz w:val="20"/>
          <w:szCs w:val="20"/>
        </w:rPr>
        <w:t xml:space="preserve"> (Jacques 2014)</w:t>
      </w:r>
      <w:r w:rsidRPr="000544A7">
        <w:rPr>
          <w:rFonts w:asciiTheme="minorHAnsi" w:hAnsiTheme="minorHAnsi"/>
          <w:sz w:val="20"/>
          <w:szCs w:val="20"/>
        </w:rPr>
        <w:t>. As shocking as the</w:t>
      </w:r>
      <w:r>
        <w:rPr>
          <w:rFonts w:asciiTheme="minorHAnsi" w:hAnsiTheme="minorHAnsi"/>
          <w:sz w:val="20"/>
          <w:szCs w:val="20"/>
        </w:rPr>
        <w:t xml:space="preserve"> current</w:t>
      </w:r>
      <w:r w:rsidRPr="000544A7">
        <w:rPr>
          <w:rFonts w:asciiTheme="minorHAnsi" w:hAnsiTheme="minorHAnsi"/>
          <w:sz w:val="20"/>
          <w:szCs w:val="20"/>
        </w:rPr>
        <w:t xml:space="preserve"> </w:t>
      </w:r>
      <w:r>
        <w:rPr>
          <w:rFonts w:asciiTheme="minorHAnsi" w:hAnsiTheme="minorHAnsi"/>
          <w:sz w:val="20"/>
          <w:szCs w:val="20"/>
        </w:rPr>
        <w:t>statistics are – showing that o</w:t>
      </w:r>
      <w:r w:rsidRPr="000544A7">
        <w:rPr>
          <w:rFonts w:asciiTheme="minorHAnsi" w:hAnsiTheme="minorHAnsi"/>
          <w:sz w:val="20"/>
          <w:szCs w:val="20"/>
        </w:rPr>
        <w:t>ne in three women in Australia has experienced physical violence</w:t>
      </w:r>
      <w:r>
        <w:rPr>
          <w:rFonts w:asciiTheme="minorHAnsi" w:hAnsiTheme="minorHAnsi"/>
          <w:sz w:val="20"/>
          <w:szCs w:val="20"/>
        </w:rPr>
        <w:t xml:space="preserve"> </w:t>
      </w:r>
      <w:r w:rsidRPr="000544A7">
        <w:rPr>
          <w:rFonts w:asciiTheme="minorHAnsi" w:hAnsiTheme="minorHAnsi"/>
          <w:sz w:val="20"/>
          <w:szCs w:val="20"/>
        </w:rPr>
        <w:t>and almost one in five has experienced sexual violence</w:t>
      </w:r>
      <w:r>
        <w:rPr>
          <w:rFonts w:asciiTheme="minorHAnsi" w:hAnsiTheme="minorHAnsi"/>
          <w:sz w:val="20"/>
          <w:szCs w:val="20"/>
        </w:rPr>
        <w:t xml:space="preserve"> - </w:t>
      </w:r>
      <w:r w:rsidRPr="000544A7">
        <w:rPr>
          <w:rFonts w:asciiTheme="minorHAnsi" w:hAnsiTheme="minorHAnsi"/>
          <w:sz w:val="20"/>
          <w:szCs w:val="20"/>
        </w:rPr>
        <w:t>the picture is substantially worse for some groups of women – particularly women and girls with disabilit</w:t>
      </w:r>
      <w:r>
        <w:rPr>
          <w:rFonts w:asciiTheme="minorHAnsi" w:hAnsiTheme="minorHAnsi"/>
          <w:sz w:val="20"/>
          <w:szCs w:val="20"/>
        </w:rPr>
        <w:t>ies</w:t>
      </w:r>
      <w:r w:rsidRPr="000544A7">
        <w:rPr>
          <w:rFonts w:asciiTheme="minorHAnsi" w:hAnsiTheme="minorHAnsi"/>
          <w:sz w:val="20"/>
          <w:szCs w:val="20"/>
        </w:rPr>
        <w:t>, Indigenous women, and women from culturally and linguistically diverse backgrounds and communities</w:t>
      </w:r>
      <w:r>
        <w:rPr>
          <w:rFonts w:asciiTheme="minorHAnsi" w:hAnsiTheme="minorHAnsi"/>
          <w:sz w:val="20"/>
          <w:szCs w:val="20"/>
        </w:rPr>
        <w:t xml:space="preserve"> (DSS 2014, Dowse et al 2013)</w:t>
      </w:r>
      <w:r w:rsidRPr="000544A7">
        <w:rPr>
          <w:rFonts w:asciiTheme="minorHAnsi" w:hAnsiTheme="minorHAnsi"/>
          <w:sz w:val="20"/>
          <w:szCs w:val="20"/>
        </w:rPr>
        <w:t>.</w:t>
      </w:r>
    </w:p>
    <w:p w14:paraId="62A9AE77" w14:textId="77777777" w:rsidR="00EF5F33" w:rsidRDefault="00EF5F33" w:rsidP="000544A7">
      <w:pPr>
        <w:spacing w:after="0" w:line="240" w:lineRule="auto"/>
        <w:jc w:val="both"/>
        <w:rPr>
          <w:rFonts w:asciiTheme="minorHAnsi" w:hAnsiTheme="minorHAnsi"/>
          <w:sz w:val="20"/>
          <w:szCs w:val="20"/>
        </w:rPr>
      </w:pPr>
    </w:p>
    <w:p w14:paraId="0DF43081" w14:textId="25379E12" w:rsidR="00556EAB" w:rsidRDefault="00AA66C3" w:rsidP="0013661A">
      <w:pPr>
        <w:spacing w:after="0" w:line="240" w:lineRule="auto"/>
        <w:jc w:val="both"/>
        <w:rPr>
          <w:rFonts w:asciiTheme="minorHAnsi" w:hAnsiTheme="minorHAnsi"/>
          <w:sz w:val="20"/>
          <w:szCs w:val="20"/>
        </w:rPr>
      </w:pPr>
      <w:r>
        <w:rPr>
          <w:rFonts w:asciiTheme="minorHAnsi" w:hAnsiTheme="minorHAnsi"/>
          <w:sz w:val="20"/>
          <w:szCs w:val="20"/>
        </w:rPr>
        <w:t>I</w:t>
      </w:r>
      <w:r w:rsidRPr="00903B8A">
        <w:rPr>
          <w:rFonts w:asciiTheme="minorHAnsi" w:hAnsiTheme="minorHAnsi"/>
          <w:sz w:val="20"/>
          <w:szCs w:val="20"/>
        </w:rPr>
        <w:t xml:space="preserve">t is now well established that violence against </w:t>
      </w:r>
      <w:r w:rsidRPr="00903B8A">
        <w:rPr>
          <w:rFonts w:asciiTheme="minorHAnsi" w:hAnsiTheme="minorHAnsi" w:cs="Calibri"/>
          <w:bCs/>
          <w:sz w:val="20"/>
          <w:szCs w:val="20"/>
          <w:lang w:eastAsia="en-AU"/>
        </w:rPr>
        <w:t>women and girls with disabilities</w:t>
      </w:r>
      <w:r w:rsidRPr="00903B8A">
        <w:rPr>
          <w:rFonts w:asciiTheme="minorHAnsi" w:hAnsiTheme="minorHAnsi"/>
          <w:sz w:val="20"/>
          <w:szCs w:val="20"/>
        </w:rPr>
        <w:t xml:space="preserve"> in Australia </w:t>
      </w:r>
      <w:r w:rsidR="0013661A" w:rsidRPr="0013661A">
        <w:rPr>
          <w:rFonts w:asciiTheme="minorHAnsi" w:hAnsiTheme="minorHAnsi"/>
          <w:sz w:val="20"/>
          <w:szCs w:val="20"/>
        </w:rPr>
        <w:t>is far more extensive than violence amongst the general population</w:t>
      </w:r>
      <w:r w:rsidR="0013661A">
        <w:rPr>
          <w:rFonts w:asciiTheme="minorHAnsi" w:hAnsiTheme="minorHAnsi"/>
          <w:sz w:val="20"/>
          <w:szCs w:val="20"/>
        </w:rPr>
        <w:t xml:space="preserve"> (Dowse et al 2013)</w:t>
      </w:r>
      <w:r w:rsidR="0013661A" w:rsidRPr="0013661A">
        <w:rPr>
          <w:rFonts w:asciiTheme="minorHAnsi" w:hAnsiTheme="minorHAnsi"/>
          <w:sz w:val="20"/>
          <w:szCs w:val="20"/>
        </w:rPr>
        <w:t xml:space="preserve">. Violence perpetrated against women </w:t>
      </w:r>
      <w:r w:rsidR="0013661A">
        <w:rPr>
          <w:rFonts w:asciiTheme="minorHAnsi" w:hAnsiTheme="minorHAnsi"/>
          <w:sz w:val="20"/>
          <w:szCs w:val="20"/>
        </w:rPr>
        <w:t xml:space="preserve">and girls </w:t>
      </w:r>
      <w:r w:rsidR="0013661A" w:rsidRPr="0013661A">
        <w:rPr>
          <w:rFonts w:asciiTheme="minorHAnsi" w:hAnsiTheme="minorHAnsi"/>
          <w:sz w:val="20"/>
          <w:szCs w:val="20"/>
        </w:rPr>
        <w:t>with disabilit</w:t>
      </w:r>
      <w:r w:rsidR="0013661A">
        <w:rPr>
          <w:rFonts w:asciiTheme="minorHAnsi" w:hAnsiTheme="minorHAnsi"/>
          <w:sz w:val="20"/>
          <w:szCs w:val="20"/>
        </w:rPr>
        <w:t>ies</w:t>
      </w:r>
      <w:r w:rsidR="0013661A" w:rsidRPr="0013661A">
        <w:rPr>
          <w:rFonts w:asciiTheme="minorHAnsi" w:hAnsiTheme="minorHAnsi"/>
          <w:sz w:val="20"/>
          <w:szCs w:val="20"/>
        </w:rPr>
        <w:t xml:space="preserve"> is significantly more diverse in nature and more severe than for women in general</w:t>
      </w:r>
      <w:r w:rsidR="00E51721">
        <w:rPr>
          <w:rFonts w:asciiTheme="minorHAnsi" w:hAnsiTheme="minorHAnsi"/>
          <w:sz w:val="20"/>
          <w:szCs w:val="20"/>
        </w:rPr>
        <w:t xml:space="preserve"> (Dowse et al 2013)</w:t>
      </w:r>
      <w:r w:rsidR="0013661A" w:rsidRPr="0013661A">
        <w:rPr>
          <w:rFonts w:asciiTheme="minorHAnsi" w:hAnsiTheme="minorHAnsi"/>
          <w:sz w:val="20"/>
          <w:szCs w:val="20"/>
        </w:rPr>
        <w:t>. Compared to their peers, women with disabilit</w:t>
      </w:r>
      <w:r w:rsidR="00143980">
        <w:rPr>
          <w:rFonts w:asciiTheme="minorHAnsi" w:hAnsiTheme="minorHAnsi"/>
          <w:sz w:val="20"/>
          <w:szCs w:val="20"/>
        </w:rPr>
        <w:t>ies</w:t>
      </w:r>
      <w:r w:rsidR="0013661A" w:rsidRPr="0013661A">
        <w:rPr>
          <w:rFonts w:asciiTheme="minorHAnsi" w:hAnsiTheme="minorHAnsi"/>
          <w:sz w:val="20"/>
          <w:szCs w:val="20"/>
        </w:rPr>
        <w:t xml:space="preserve"> experience significantly higher levels of all forms of violence</w:t>
      </w:r>
      <w:r w:rsidR="0013661A">
        <w:rPr>
          <w:rFonts w:asciiTheme="minorHAnsi" w:hAnsiTheme="minorHAnsi"/>
          <w:sz w:val="20"/>
          <w:szCs w:val="20"/>
        </w:rPr>
        <w:t xml:space="preserve"> </w:t>
      </w:r>
      <w:r w:rsidR="0013661A" w:rsidRPr="0013661A">
        <w:rPr>
          <w:rFonts w:asciiTheme="minorHAnsi" w:hAnsiTheme="minorHAnsi"/>
          <w:sz w:val="20"/>
          <w:szCs w:val="20"/>
        </w:rPr>
        <w:t>more intensely and frequently and are subjected to such violence by a greater number of perpetrators</w:t>
      </w:r>
      <w:r w:rsidR="0013661A">
        <w:rPr>
          <w:rFonts w:asciiTheme="minorHAnsi" w:hAnsiTheme="minorHAnsi"/>
          <w:sz w:val="20"/>
          <w:szCs w:val="20"/>
        </w:rPr>
        <w:t xml:space="preserve"> (WWDA 2007)</w:t>
      </w:r>
      <w:r w:rsidR="0013661A" w:rsidRPr="0013661A">
        <w:rPr>
          <w:rFonts w:asciiTheme="minorHAnsi" w:hAnsiTheme="minorHAnsi"/>
          <w:sz w:val="20"/>
          <w:szCs w:val="20"/>
        </w:rPr>
        <w:t xml:space="preserve">. </w:t>
      </w:r>
      <w:r w:rsidR="0013661A">
        <w:rPr>
          <w:rFonts w:asciiTheme="minorHAnsi" w:hAnsiTheme="minorHAnsi"/>
          <w:sz w:val="20"/>
          <w:szCs w:val="20"/>
        </w:rPr>
        <w:t xml:space="preserve">Their </w:t>
      </w:r>
      <w:r w:rsidR="0013661A" w:rsidRPr="0013661A">
        <w:rPr>
          <w:rFonts w:asciiTheme="minorHAnsi" w:hAnsiTheme="minorHAnsi"/>
          <w:sz w:val="20"/>
          <w:szCs w:val="20"/>
        </w:rPr>
        <w:t xml:space="preserve">experiences </w:t>
      </w:r>
      <w:r w:rsidR="0013661A">
        <w:rPr>
          <w:rFonts w:asciiTheme="minorHAnsi" w:hAnsiTheme="minorHAnsi"/>
          <w:sz w:val="20"/>
          <w:szCs w:val="20"/>
        </w:rPr>
        <w:t xml:space="preserve">of violence </w:t>
      </w:r>
      <w:r w:rsidR="0013661A" w:rsidRPr="0013661A">
        <w:rPr>
          <w:rFonts w:asciiTheme="minorHAnsi" w:hAnsiTheme="minorHAnsi"/>
          <w:sz w:val="20"/>
          <w:szCs w:val="20"/>
        </w:rPr>
        <w:t>last over a longer period of time, and more severe injuries result from the violence</w:t>
      </w:r>
      <w:r w:rsidR="00E51721">
        <w:rPr>
          <w:rFonts w:asciiTheme="minorHAnsi" w:hAnsiTheme="minorHAnsi"/>
          <w:sz w:val="20"/>
          <w:szCs w:val="20"/>
        </w:rPr>
        <w:t xml:space="preserve"> (Dowse et al 2013)</w:t>
      </w:r>
      <w:r w:rsidR="0013661A" w:rsidRPr="0013661A">
        <w:rPr>
          <w:rFonts w:asciiTheme="minorHAnsi" w:hAnsiTheme="minorHAnsi"/>
          <w:sz w:val="20"/>
          <w:szCs w:val="20"/>
        </w:rPr>
        <w:t>.</w:t>
      </w:r>
      <w:r w:rsidR="00556EAB">
        <w:rPr>
          <w:rFonts w:asciiTheme="minorHAnsi" w:hAnsiTheme="minorHAnsi"/>
          <w:sz w:val="20"/>
          <w:szCs w:val="20"/>
        </w:rPr>
        <w:t xml:space="preserve"> </w:t>
      </w:r>
    </w:p>
    <w:p w14:paraId="43EE0994" w14:textId="77777777" w:rsidR="00556EAB" w:rsidRDefault="00556EAB" w:rsidP="0013661A">
      <w:pPr>
        <w:spacing w:after="0" w:line="240" w:lineRule="auto"/>
        <w:jc w:val="both"/>
        <w:rPr>
          <w:rFonts w:asciiTheme="minorHAnsi" w:hAnsiTheme="minorHAnsi"/>
          <w:sz w:val="20"/>
          <w:szCs w:val="20"/>
        </w:rPr>
      </w:pPr>
    </w:p>
    <w:p w14:paraId="1A29A808" w14:textId="13465EC8" w:rsidR="00556EAB" w:rsidRPr="00B132C6" w:rsidRDefault="00556EAB" w:rsidP="00556EAB">
      <w:pPr>
        <w:spacing w:after="0" w:line="240" w:lineRule="auto"/>
        <w:jc w:val="both"/>
        <w:rPr>
          <w:rFonts w:asciiTheme="minorHAnsi" w:hAnsiTheme="minorHAnsi" w:cs="Calibri"/>
          <w:bCs/>
          <w:sz w:val="20"/>
          <w:szCs w:val="20"/>
          <w:lang w:eastAsia="en-AU"/>
        </w:rPr>
      </w:pPr>
      <w:r>
        <w:rPr>
          <w:rFonts w:asciiTheme="minorHAnsi" w:hAnsiTheme="minorHAnsi"/>
          <w:sz w:val="20"/>
          <w:szCs w:val="20"/>
        </w:rPr>
        <w:t xml:space="preserve">However, </w:t>
      </w:r>
      <w:r w:rsidRPr="00DF152E">
        <w:rPr>
          <w:rFonts w:asciiTheme="minorHAnsi" w:hAnsiTheme="minorHAnsi"/>
          <w:sz w:val="20"/>
          <w:szCs w:val="20"/>
        </w:rPr>
        <w:t>there remains a significant lack of awareness and understanding of the extent, nature, incidence, and impact of gendered</w:t>
      </w:r>
      <w:r w:rsidR="00143980">
        <w:rPr>
          <w:rFonts w:asciiTheme="minorHAnsi" w:hAnsiTheme="minorHAnsi"/>
          <w:sz w:val="20"/>
          <w:szCs w:val="20"/>
        </w:rPr>
        <w:t xml:space="preserve"> </w:t>
      </w:r>
      <w:r>
        <w:rPr>
          <w:rFonts w:asciiTheme="minorHAnsi" w:hAnsiTheme="minorHAnsi"/>
          <w:sz w:val="20"/>
          <w:szCs w:val="20"/>
        </w:rPr>
        <w:t xml:space="preserve">disability </w:t>
      </w:r>
      <w:r w:rsidRPr="00DF152E">
        <w:rPr>
          <w:rFonts w:asciiTheme="minorHAnsi" w:hAnsiTheme="minorHAnsi"/>
          <w:sz w:val="20"/>
          <w:szCs w:val="20"/>
        </w:rPr>
        <w:t>violence at the individual, community, service provider, and criminal justice system levels</w:t>
      </w:r>
      <w:r w:rsidR="00143980">
        <w:rPr>
          <w:rFonts w:asciiTheme="minorHAnsi" w:hAnsiTheme="minorHAnsi"/>
          <w:sz w:val="20"/>
          <w:szCs w:val="20"/>
        </w:rPr>
        <w:t xml:space="preserve">, along with the violence prevention public policy environment </w:t>
      </w:r>
      <w:r>
        <w:rPr>
          <w:rFonts w:asciiTheme="minorHAnsi" w:hAnsiTheme="minorHAnsi"/>
          <w:sz w:val="20"/>
          <w:szCs w:val="20"/>
        </w:rPr>
        <w:t>(Dowse et al 2013, WWDA et al 2013)</w:t>
      </w:r>
      <w:r w:rsidRPr="00DF152E">
        <w:rPr>
          <w:rFonts w:asciiTheme="minorHAnsi" w:hAnsiTheme="minorHAnsi"/>
          <w:sz w:val="20"/>
          <w:szCs w:val="20"/>
        </w:rPr>
        <w:t>.</w:t>
      </w:r>
      <w:r>
        <w:rPr>
          <w:rFonts w:asciiTheme="minorHAnsi" w:hAnsiTheme="minorHAnsi"/>
          <w:sz w:val="20"/>
          <w:szCs w:val="20"/>
        </w:rPr>
        <w:t xml:space="preserve"> </w:t>
      </w:r>
      <w:r w:rsidRPr="00B132C6">
        <w:rPr>
          <w:rFonts w:asciiTheme="minorHAnsi" w:hAnsiTheme="minorHAnsi"/>
          <w:sz w:val="20"/>
          <w:szCs w:val="20"/>
        </w:rPr>
        <w:t>Violence perpetrated against women and girls with disabilities falls through a number of legislative</w:t>
      </w:r>
      <w:r>
        <w:rPr>
          <w:rFonts w:asciiTheme="minorHAnsi" w:hAnsiTheme="minorHAnsi"/>
          <w:sz w:val="20"/>
          <w:szCs w:val="20"/>
        </w:rPr>
        <w:t>,</w:t>
      </w:r>
      <w:r w:rsidRPr="00B132C6">
        <w:rPr>
          <w:rFonts w:asciiTheme="minorHAnsi" w:hAnsiTheme="minorHAnsi"/>
          <w:sz w:val="20"/>
          <w:szCs w:val="20"/>
        </w:rPr>
        <w:t xml:space="preserve"> policy</w:t>
      </w:r>
      <w:r>
        <w:rPr>
          <w:rFonts w:asciiTheme="minorHAnsi" w:hAnsiTheme="minorHAnsi"/>
          <w:sz w:val="20"/>
          <w:szCs w:val="20"/>
        </w:rPr>
        <w:t xml:space="preserve"> and service delivery </w:t>
      </w:r>
      <w:r w:rsidRPr="00B132C6">
        <w:rPr>
          <w:rFonts w:asciiTheme="minorHAnsi" w:hAnsiTheme="minorHAnsi"/>
          <w:sz w:val="20"/>
          <w:szCs w:val="20"/>
        </w:rPr>
        <w:t xml:space="preserve">‘gaps’ as a result of the failure to understand the intersectional nature of the violence that they experience, </w:t>
      </w:r>
      <w:r w:rsidR="00477666" w:rsidRPr="00892206">
        <w:rPr>
          <w:rFonts w:asciiTheme="minorHAnsi" w:hAnsiTheme="minorHAnsi"/>
          <w:sz w:val="20"/>
          <w:szCs w:val="20"/>
        </w:rPr>
        <w:t>the vast circumstances and spaces in which such violence occurs</w:t>
      </w:r>
      <w:r w:rsidR="00477666">
        <w:rPr>
          <w:rFonts w:asciiTheme="minorHAnsi" w:hAnsiTheme="minorHAnsi"/>
          <w:sz w:val="20"/>
          <w:szCs w:val="20"/>
        </w:rPr>
        <w:t>,</w:t>
      </w:r>
      <w:r w:rsidR="00477666" w:rsidRPr="00B132C6">
        <w:rPr>
          <w:rFonts w:asciiTheme="minorHAnsi" w:hAnsiTheme="minorHAnsi"/>
          <w:sz w:val="20"/>
          <w:szCs w:val="20"/>
        </w:rPr>
        <w:t xml:space="preserve"> </w:t>
      </w:r>
      <w:r w:rsidRPr="00B132C6">
        <w:rPr>
          <w:rFonts w:asciiTheme="minorHAnsi" w:hAnsiTheme="minorHAnsi"/>
          <w:sz w:val="20"/>
          <w:szCs w:val="20"/>
        </w:rPr>
        <w:t xml:space="preserve">and the multiple and intersecting forms of discrimination which make them more likely to experience, and be at risk of, violence. </w:t>
      </w:r>
    </w:p>
    <w:p w14:paraId="26D26563" w14:textId="77777777" w:rsidR="0013661A" w:rsidRDefault="0013661A" w:rsidP="000544A7">
      <w:pPr>
        <w:spacing w:after="0" w:line="240" w:lineRule="auto"/>
        <w:jc w:val="both"/>
        <w:rPr>
          <w:rFonts w:asciiTheme="minorHAnsi" w:hAnsiTheme="minorHAnsi"/>
          <w:sz w:val="20"/>
          <w:szCs w:val="20"/>
        </w:rPr>
      </w:pPr>
    </w:p>
    <w:p w14:paraId="1D7139AF" w14:textId="0B409FAE" w:rsidR="00AA66C3" w:rsidRPr="009D6F4B" w:rsidRDefault="00AA66C3" w:rsidP="00AA66C3">
      <w:pPr>
        <w:spacing w:after="0" w:line="240" w:lineRule="auto"/>
        <w:jc w:val="both"/>
        <w:rPr>
          <w:rFonts w:asciiTheme="minorHAnsi" w:hAnsiTheme="minorHAnsi"/>
          <w:sz w:val="20"/>
          <w:szCs w:val="20"/>
        </w:rPr>
      </w:pPr>
      <w:r w:rsidRPr="009D6F4B">
        <w:rPr>
          <w:rFonts w:asciiTheme="minorHAnsi" w:hAnsiTheme="minorHAnsi"/>
          <w:sz w:val="20"/>
          <w:szCs w:val="20"/>
        </w:rPr>
        <w:t xml:space="preserve">Current policies and discourses </w:t>
      </w:r>
      <w:r>
        <w:rPr>
          <w:rFonts w:asciiTheme="minorHAnsi" w:hAnsiTheme="minorHAnsi"/>
          <w:sz w:val="20"/>
          <w:szCs w:val="20"/>
        </w:rPr>
        <w:t xml:space="preserve">in Australia </w:t>
      </w:r>
      <w:r w:rsidRPr="009D6F4B">
        <w:rPr>
          <w:rFonts w:asciiTheme="minorHAnsi" w:hAnsiTheme="minorHAnsi"/>
          <w:sz w:val="20"/>
          <w:szCs w:val="20"/>
        </w:rPr>
        <w:t xml:space="preserve">are predominantly focused on addressing and preventing ‘domestic/family violence’. Recent events, (such as the Victorian Government announcement of a Royal Commission into Family Violence; the Senate Inquiry into Domestic Violence; the profile and media coverage of family violence campaigner Rosie Batty, </w:t>
      </w:r>
      <w:r>
        <w:rPr>
          <w:rFonts w:asciiTheme="minorHAnsi" w:hAnsiTheme="minorHAnsi"/>
          <w:sz w:val="20"/>
          <w:szCs w:val="20"/>
        </w:rPr>
        <w:t>and so on</w:t>
      </w:r>
      <w:r w:rsidRPr="009D6F4B">
        <w:rPr>
          <w:rFonts w:asciiTheme="minorHAnsi" w:hAnsiTheme="minorHAnsi"/>
          <w:sz w:val="20"/>
          <w:szCs w:val="20"/>
        </w:rPr>
        <w:t xml:space="preserve">) have been successful in placing ‘domestic/family violence’ firmly onto the national agenda and into the consciousness of the public. Whilst this is welcomed and arguably long overdue, it presents both risks and challenges, in that the focus on narrow conceptual understandings of ‘domestic/family violence’ as spousal and/or intimate partner violence, risks seeing other forms of violence against women (such as those identified with gendered disability violence) become further obscured, resulting in their marginalisation in policies and service responses designed to address </w:t>
      </w:r>
      <w:r w:rsidR="00E51721">
        <w:rPr>
          <w:rFonts w:asciiTheme="minorHAnsi" w:hAnsiTheme="minorHAnsi"/>
          <w:sz w:val="20"/>
          <w:szCs w:val="20"/>
        </w:rPr>
        <w:t xml:space="preserve">and prevent </w:t>
      </w:r>
      <w:r w:rsidRPr="009D6F4B">
        <w:rPr>
          <w:rFonts w:asciiTheme="minorHAnsi" w:hAnsiTheme="minorHAnsi"/>
          <w:sz w:val="20"/>
          <w:szCs w:val="20"/>
        </w:rPr>
        <w:t xml:space="preserve">violence against women.  </w:t>
      </w:r>
    </w:p>
    <w:p w14:paraId="12D02A5A" w14:textId="77777777" w:rsidR="00EF5F33" w:rsidRDefault="00EF5F33" w:rsidP="000544A7">
      <w:pPr>
        <w:spacing w:after="0" w:line="240" w:lineRule="auto"/>
        <w:jc w:val="both"/>
        <w:rPr>
          <w:rFonts w:asciiTheme="minorHAnsi" w:hAnsiTheme="minorHAnsi"/>
          <w:sz w:val="20"/>
          <w:szCs w:val="20"/>
        </w:rPr>
      </w:pPr>
    </w:p>
    <w:p w14:paraId="4922FBC2" w14:textId="43D48A3E" w:rsidR="00EA2E13" w:rsidRPr="000544A7" w:rsidRDefault="00143980" w:rsidP="000544A7">
      <w:pPr>
        <w:spacing w:after="0" w:line="240" w:lineRule="auto"/>
        <w:jc w:val="both"/>
        <w:rPr>
          <w:rFonts w:asciiTheme="minorHAnsi" w:hAnsiTheme="minorHAnsi" w:cs="Calibri"/>
          <w:bCs/>
          <w:sz w:val="20"/>
          <w:szCs w:val="20"/>
          <w:lang w:eastAsia="en-AU"/>
        </w:rPr>
      </w:pPr>
      <w:r>
        <w:rPr>
          <w:rFonts w:asciiTheme="minorHAnsi" w:hAnsiTheme="minorHAnsi" w:cs="Calibri"/>
          <w:bCs/>
          <w:sz w:val="20"/>
          <w:szCs w:val="20"/>
          <w:lang w:eastAsia="en-AU"/>
        </w:rPr>
        <w:t xml:space="preserve">The current work to develop a National Framework to Prevent Violence Against Women is a critical element in addressing violence against women. </w:t>
      </w:r>
      <w:r w:rsidR="00582B5A">
        <w:rPr>
          <w:rFonts w:asciiTheme="minorHAnsi" w:hAnsiTheme="minorHAnsi" w:cs="Calibri"/>
          <w:bCs/>
          <w:sz w:val="20"/>
          <w:szCs w:val="20"/>
          <w:lang w:eastAsia="en-AU"/>
        </w:rPr>
        <w:t xml:space="preserve">It provides a valuable opportunity to remedy the past discriminations by developing and implementing a Framework from a human rights model and approach to ensure equality of outcomes for </w:t>
      </w:r>
      <w:r w:rsidR="00582B5A" w:rsidRPr="00582B5A">
        <w:rPr>
          <w:rFonts w:asciiTheme="minorHAnsi" w:hAnsiTheme="minorHAnsi" w:cs="Calibri"/>
          <w:bCs/>
          <w:sz w:val="20"/>
          <w:szCs w:val="20"/>
          <w:u w:val="single"/>
          <w:lang w:eastAsia="en-AU"/>
        </w:rPr>
        <w:t>all</w:t>
      </w:r>
      <w:r w:rsidR="00582B5A">
        <w:rPr>
          <w:rFonts w:asciiTheme="minorHAnsi" w:hAnsiTheme="minorHAnsi" w:cs="Calibri"/>
          <w:bCs/>
          <w:sz w:val="20"/>
          <w:szCs w:val="20"/>
          <w:lang w:eastAsia="en-AU"/>
        </w:rPr>
        <w:t xml:space="preserve"> women. </w:t>
      </w:r>
    </w:p>
    <w:p w14:paraId="67D16C31" w14:textId="77777777" w:rsidR="00B72900" w:rsidRPr="000544A7" w:rsidRDefault="00B72900" w:rsidP="000544A7">
      <w:pPr>
        <w:spacing w:after="0" w:line="240" w:lineRule="auto"/>
        <w:jc w:val="both"/>
        <w:rPr>
          <w:rFonts w:asciiTheme="minorHAnsi" w:hAnsiTheme="minorHAnsi" w:cs="Calibri"/>
          <w:bCs/>
          <w:sz w:val="20"/>
          <w:szCs w:val="20"/>
          <w:lang w:eastAsia="en-AU"/>
        </w:rPr>
      </w:pPr>
    </w:p>
    <w:p w14:paraId="081A6B31" w14:textId="77777777" w:rsidR="00214E96" w:rsidRPr="000544A7" w:rsidRDefault="00214E96" w:rsidP="000544A7">
      <w:pPr>
        <w:spacing w:after="0" w:line="240" w:lineRule="auto"/>
        <w:jc w:val="both"/>
        <w:rPr>
          <w:rFonts w:asciiTheme="minorHAnsi" w:hAnsiTheme="minorHAnsi" w:cs="Calibri"/>
          <w:bCs/>
          <w:sz w:val="20"/>
          <w:szCs w:val="20"/>
          <w:lang w:eastAsia="en-AU"/>
        </w:rPr>
      </w:pPr>
    </w:p>
    <w:p w14:paraId="788EFBA8" w14:textId="77777777" w:rsidR="00214E96" w:rsidRPr="000544A7" w:rsidRDefault="00214E96" w:rsidP="000544A7">
      <w:pPr>
        <w:spacing w:after="0" w:line="240" w:lineRule="auto"/>
        <w:jc w:val="both"/>
        <w:rPr>
          <w:rFonts w:asciiTheme="minorHAnsi" w:hAnsiTheme="minorHAnsi" w:cs="Calibri"/>
          <w:bCs/>
          <w:sz w:val="20"/>
          <w:szCs w:val="20"/>
          <w:lang w:eastAsia="en-AU"/>
        </w:rPr>
      </w:pPr>
    </w:p>
    <w:p w14:paraId="20595977" w14:textId="77777777" w:rsidR="00214E96" w:rsidRPr="000544A7" w:rsidRDefault="00214E96" w:rsidP="000544A7">
      <w:pPr>
        <w:spacing w:after="0" w:line="240" w:lineRule="auto"/>
        <w:jc w:val="both"/>
        <w:rPr>
          <w:rFonts w:asciiTheme="minorHAnsi" w:hAnsiTheme="minorHAnsi" w:cs="Calibri"/>
          <w:bCs/>
          <w:sz w:val="20"/>
          <w:szCs w:val="20"/>
          <w:lang w:eastAsia="en-AU"/>
        </w:rPr>
      </w:pPr>
    </w:p>
    <w:p w14:paraId="76686B23" w14:textId="77777777" w:rsidR="002E71FC" w:rsidRPr="000544A7" w:rsidRDefault="002E71FC" w:rsidP="000544A7">
      <w:pPr>
        <w:spacing w:after="0" w:line="240" w:lineRule="auto"/>
        <w:jc w:val="both"/>
        <w:rPr>
          <w:rFonts w:asciiTheme="minorHAnsi" w:hAnsiTheme="minorHAnsi"/>
          <w:sz w:val="20"/>
          <w:szCs w:val="20"/>
        </w:rPr>
      </w:pPr>
    </w:p>
    <w:p w14:paraId="1869ECF4" w14:textId="428DCD04" w:rsidR="005250BC" w:rsidRDefault="005250BC">
      <w:pPr>
        <w:spacing w:after="0" w:line="240" w:lineRule="auto"/>
        <w:rPr>
          <w:rFonts w:asciiTheme="minorHAnsi" w:hAnsiTheme="minorHAnsi" w:cs="Calibri"/>
          <w:bCs/>
          <w:sz w:val="20"/>
          <w:szCs w:val="20"/>
          <w:lang w:eastAsia="en-AU"/>
        </w:rPr>
      </w:pPr>
      <w:r>
        <w:rPr>
          <w:rFonts w:asciiTheme="minorHAnsi" w:hAnsiTheme="minorHAnsi" w:cs="Calibri"/>
          <w:bCs/>
          <w:sz w:val="20"/>
          <w:szCs w:val="20"/>
          <w:lang w:eastAsia="en-AU"/>
        </w:rPr>
        <w:br w:type="page"/>
      </w:r>
    </w:p>
    <w:p w14:paraId="26FD0060" w14:textId="3460374C" w:rsidR="005250BC" w:rsidRPr="007C3F60" w:rsidRDefault="00D21D62" w:rsidP="001D3C79">
      <w:pPr>
        <w:pStyle w:val="Heading1"/>
        <w:ind w:left="284" w:hanging="284"/>
        <w:jc w:val="both"/>
      </w:pPr>
      <w:bookmarkStart w:id="3" w:name="_Toc410646564"/>
      <w:r>
        <w:lastRenderedPageBreak/>
        <w:t>3.</w:t>
      </w:r>
      <w:r>
        <w:tab/>
      </w:r>
      <w:r w:rsidR="00676CAD">
        <w:t>Understanding violence against women and girls with disabilities</w:t>
      </w:r>
      <w:bookmarkEnd w:id="3"/>
      <w:r w:rsidR="00BA1140">
        <w:t xml:space="preserve"> </w:t>
      </w:r>
    </w:p>
    <w:p w14:paraId="53043226" w14:textId="77777777" w:rsidR="005250BC" w:rsidRPr="007C3F60" w:rsidRDefault="005250BC" w:rsidP="005250BC">
      <w:pPr>
        <w:pBdr>
          <w:bottom w:val="single" w:sz="12" w:space="1" w:color="auto"/>
        </w:pBdr>
        <w:spacing w:after="0" w:line="240" w:lineRule="auto"/>
        <w:rPr>
          <w:rFonts w:asciiTheme="minorHAnsi" w:hAnsiTheme="minorHAnsi"/>
          <w:sz w:val="16"/>
          <w:szCs w:val="16"/>
        </w:rPr>
      </w:pPr>
    </w:p>
    <w:p w14:paraId="6304BC63" w14:textId="77777777" w:rsidR="005250BC" w:rsidRDefault="005250BC" w:rsidP="0078390E">
      <w:pPr>
        <w:spacing w:after="0" w:line="240" w:lineRule="auto"/>
        <w:jc w:val="both"/>
        <w:rPr>
          <w:rFonts w:asciiTheme="minorHAnsi" w:hAnsiTheme="minorHAnsi"/>
          <w:sz w:val="20"/>
          <w:szCs w:val="20"/>
        </w:rPr>
      </w:pPr>
    </w:p>
    <w:p w14:paraId="5C0439F1" w14:textId="59C15FE0" w:rsidR="006C39A0" w:rsidRDefault="006C39A0" w:rsidP="0078390E">
      <w:pPr>
        <w:spacing w:after="0" w:line="240" w:lineRule="auto"/>
        <w:jc w:val="both"/>
        <w:rPr>
          <w:rFonts w:asciiTheme="minorHAnsi" w:hAnsiTheme="minorHAnsi"/>
          <w:sz w:val="20"/>
          <w:szCs w:val="20"/>
        </w:rPr>
      </w:pPr>
      <w:r w:rsidRPr="006C39A0">
        <w:rPr>
          <w:rFonts w:asciiTheme="minorHAnsi" w:hAnsiTheme="minorHAnsi"/>
          <w:sz w:val="20"/>
          <w:szCs w:val="20"/>
        </w:rPr>
        <w:t xml:space="preserve">In order to prevent violence against women and girls with disabilities, and to accomplish any appreciable reduction of such violence, it is critical to understand and respect its complexity and specificity. One of the reasons that violence against women and girls with disabilities too often goes unidentified and unaddressed is </w:t>
      </w:r>
      <w:r>
        <w:rPr>
          <w:rFonts w:asciiTheme="minorHAnsi" w:hAnsiTheme="minorHAnsi"/>
          <w:sz w:val="20"/>
          <w:szCs w:val="20"/>
        </w:rPr>
        <w:t xml:space="preserve">the </w:t>
      </w:r>
      <w:r w:rsidRPr="006C39A0">
        <w:rPr>
          <w:rFonts w:asciiTheme="minorHAnsi" w:hAnsiTheme="minorHAnsi"/>
          <w:sz w:val="20"/>
          <w:szCs w:val="20"/>
        </w:rPr>
        <w:t>limited understanding of the nature of gendered disability violence, which is not encompassed in either historic or contemporary definitions and understandings of gendered violence. In addition, legislation, policy and service responses in Australia that aim to address and prevent violence against women (including women with disabilities) have shown limited</w:t>
      </w:r>
      <w:r w:rsidR="00626163">
        <w:rPr>
          <w:rFonts w:asciiTheme="minorHAnsi" w:hAnsiTheme="minorHAnsi"/>
          <w:sz w:val="20"/>
          <w:szCs w:val="20"/>
        </w:rPr>
        <w:t xml:space="preserve"> capacity to fully operationalis</w:t>
      </w:r>
      <w:r w:rsidRPr="006C39A0">
        <w:rPr>
          <w:rFonts w:asciiTheme="minorHAnsi" w:hAnsiTheme="minorHAnsi"/>
          <w:sz w:val="20"/>
          <w:szCs w:val="20"/>
        </w:rPr>
        <w:t xml:space="preserve">e a comprehensive human rights frame. The interrelationship between these two issues has wide ranging consequences for the legislative, policy and service landscape, which continues to be fragmented, partial and circumscribed in its capacity to fully address all forms of violence perpetrated against women and girls, including those with disabilities. Most significantly this results in ongoing high levels of vulnerability to harm for many women, constituting a failure to protect their human rights to live free from </w:t>
      </w:r>
      <w:r>
        <w:rPr>
          <w:rFonts w:asciiTheme="minorHAnsi" w:hAnsiTheme="minorHAnsi"/>
          <w:sz w:val="20"/>
          <w:szCs w:val="20"/>
        </w:rPr>
        <w:t>violence, abuse, exploitation and neglect</w:t>
      </w:r>
      <w:r w:rsidRPr="006C39A0">
        <w:rPr>
          <w:rFonts w:asciiTheme="minorHAnsi" w:hAnsiTheme="minorHAnsi"/>
          <w:sz w:val="20"/>
          <w:szCs w:val="20"/>
        </w:rPr>
        <w:t>.</w:t>
      </w:r>
    </w:p>
    <w:p w14:paraId="77DF65CD" w14:textId="77777777" w:rsidR="00AF3732" w:rsidRDefault="00AF3732" w:rsidP="0078390E">
      <w:pPr>
        <w:spacing w:after="0" w:line="240" w:lineRule="auto"/>
        <w:jc w:val="both"/>
        <w:rPr>
          <w:rFonts w:asciiTheme="minorHAnsi" w:hAnsiTheme="minorHAnsi"/>
          <w:sz w:val="20"/>
          <w:szCs w:val="20"/>
        </w:rPr>
      </w:pPr>
    </w:p>
    <w:p w14:paraId="505164CE" w14:textId="7E262A7E" w:rsidR="00AF3732" w:rsidRDefault="006C39A0" w:rsidP="0078390E">
      <w:pPr>
        <w:spacing w:after="0" w:line="240" w:lineRule="auto"/>
        <w:jc w:val="both"/>
        <w:rPr>
          <w:rFonts w:asciiTheme="minorHAnsi" w:hAnsiTheme="minorHAnsi"/>
          <w:sz w:val="20"/>
          <w:szCs w:val="20"/>
        </w:rPr>
      </w:pPr>
      <w:r w:rsidRPr="006C39A0">
        <w:rPr>
          <w:rFonts w:asciiTheme="minorHAnsi" w:hAnsiTheme="minorHAnsi"/>
          <w:sz w:val="20"/>
          <w:szCs w:val="20"/>
        </w:rPr>
        <w:t xml:space="preserve">This section of the paper provides a brief overview of violence against women and girls with disabilities, including the key factors that contribute to this </w:t>
      </w:r>
      <w:r w:rsidR="00626163">
        <w:rPr>
          <w:rFonts w:asciiTheme="minorHAnsi" w:hAnsiTheme="minorHAnsi"/>
          <w:sz w:val="20"/>
          <w:szCs w:val="20"/>
        </w:rPr>
        <w:t>violence</w:t>
      </w:r>
      <w:r w:rsidRPr="006C39A0">
        <w:rPr>
          <w:rFonts w:asciiTheme="minorHAnsi" w:hAnsiTheme="minorHAnsi"/>
          <w:sz w:val="20"/>
          <w:szCs w:val="20"/>
        </w:rPr>
        <w:t>.</w:t>
      </w:r>
    </w:p>
    <w:p w14:paraId="6DB92F04" w14:textId="77777777" w:rsidR="0078390E" w:rsidRDefault="0078390E" w:rsidP="0078390E">
      <w:pPr>
        <w:spacing w:after="0" w:line="240" w:lineRule="auto"/>
        <w:jc w:val="both"/>
        <w:rPr>
          <w:rFonts w:asciiTheme="minorHAnsi" w:hAnsiTheme="minorHAnsi" w:cs="Calibri"/>
          <w:bCs/>
          <w:sz w:val="20"/>
          <w:szCs w:val="20"/>
          <w:lang w:eastAsia="en-AU"/>
        </w:rPr>
      </w:pPr>
    </w:p>
    <w:p w14:paraId="3C23ECA2" w14:textId="38E79614" w:rsidR="0036779F" w:rsidRPr="00CE3DD7" w:rsidRDefault="00D21D62" w:rsidP="001D3C79">
      <w:pPr>
        <w:pStyle w:val="Heading2"/>
        <w:rPr>
          <w:rFonts w:cs="Calibri"/>
          <w:u w:val="single"/>
          <w:lang w:eastAsia="en-AU"/>
        </w:rPr>
      </w:pPr>
      <w:bookmarkStart w:id="4" w:name="_Toc410646565"/>
      <w:r>
        <w:rPr>
          <w:rFonts w:cs="Calibri"/>
          <w:lang w:val="en-US" w:eastAsia="en-AU"/>
        </w:rPr>
        <w:t>3</w:t>
      </w:r>
      <w:r w:rsidR="0036779F" w:rsidRPr="00CE3DD7">
        <w:rPr>
          <w:rFonts w:cs="Calibri"/>
          <w:lang w:val="en-US" w:eastAsia="en-AU"/>
        </w:rPr>
        <w:t>.1.</w:t>
      </w:r>
      <w:r w:rsidR="0036779F" w:rsidRPr="00CE3DD7">
        <w:rPr>
          <w:rFonts w:cs="Calibri"/>
          <w:lang w:val="en-US" w:eastAsia="en-AU"/>
        </w:rPr>
        <w:tab/>
      </w:r>
      <w:r w:rsidR="0036779F">
        <w:rPr>
          <w:rFonts w:cs="Calibri"/>
          <w:lang w:val="en-US" w:eastAsia="en-AU"/>
        </w:rPr>
        <w:t>Who are</w:t>
      </w:r>
      <w:r w:rsidR="0036779F" w:rsidRPr="00CE3DD7">
        <w:t xml:space="preserve"> women and girls with disabilities</w:t>
      </w:r>
      <w:r w:rsidR="0036779F" w:rsidRPr="00CE3DD7">
        <w:rPr>
          <w:rFonts w:cs="Calibri"/>
          <w:lang w:val="en-US" w:eastAsia="en-AU"/>
        </w:rPr>
        <w:t>?</w:t>
      </w:r>
      <w:bookmarkEnd w:id="4"/>
    </w:p>
    <w:p w14:paraId="5E225569" w14:textId="185DBCBA" w:rsidR="004D7C23" w:rsidRDefault="004D7C23" w:rsidP="0078390E">
      <w:pPr>
        <w:spacing w:after="0" w:line="240" w:lineRule="auto"/>
        <w:jc w:val="both"/>
        <w:rPr>
          <w:rFonts w:asciiTheme="minorHAnsi" w:hAnsiTheme="minorHAnsi" w:cs="Calibri"/>
          <w:bCs/>
          <w:sz w:val="20"/>
          <w:szCs w:val="20"/>
          <w:lang w:eastAsia="en-AU"/>
        </w:rPr>
      </w:pPr>
      <w:r w:rsidRPr="00DC064C">
        <w:rPr>
          <w:rFonts w:ascii="Cambria" w:hAnsi="Cambria" w:cs="Calibri"/>
          <w:bCs/>
          <w:sz w:val="20"/>
          <w:szCs w:val="20"/>
          <w:lang w:eastAsia="en-AU"/>
        </w:rPr>
        <w:t>Women and girls with disabilities make up approximately 20</w:t>
      </w:r>
      <w:r>
        <w:rPr>
          <w:rFonts w:ascii="Cambria" w:hAnsi="Cambria" w:cs="Calibri"/>
          <w:bCs/>
          <w:sz w:val="20"/>
          <w:szCs w:val="20"/>
          <w:lang w:eastAsia="en-AU"/>
        </w:rPr>
        <w:t>%</w:t>
      </w:r>
      <w:r w:rsidRPr="00DC064C">
        <w:rPr>
          <w:rFonts w:ascii="Cambria" w:hAnsi="Cambria" w:cs="Calibri"/>
          <w:bCs/>
          <w:sz w:val="20"/>
          <w:szCs w:val="20"/>
          <w:lang w:eastAsia="en-AU"/>
        </w:rPr>
        <w:t xml:space="preserve"> of the population of Australian women, equating to about two million people</w:t>
      </w:r>
      <w:r>
        <w:rPr>
          <w:rFonts w:ascii="Cambria" w:hAnsi="Cambria" w:cs="Calibri"/>
          <w:bCs/>
          <w:sz w:val="20"/>
          <w:szCs w:val="20"/>
          <w:lang w:eastAsia="en-AU"/>
        </w:rPr>
        <w:t xml:space="preserve">. </w:t>
      </w:r>
      <w:r w:rsidRPr="00DC064C">
        <w:rPr>
          <w:rFonts w:ascii="Cambria" w:hAnsi="Cambria" w:cs="Calibri"/>
          <w:bCs/>
          <w:sz w:val="20"/>
          <w:szCs w:val="20"/>
          <w:lang w:eastAsia="en-AU"/>
        </w:rPr>
        <w:t>Women and girls with disabilities</w:t>
      </w:r>
      <w:r>
        <w:rPr>
          <w:rFonts w:ascii="Cambria" w:hAnsi="Cambria" w:cs="Calibri"/>
          <w:bCs/>
          <w:sz w:val="20"/>
          <w:szCs w:val="20"/>
          <w:lang w:eastAsia="en-AU"/>
        </w:rPr>
        <w:t xml:space="preserve"> </w:t>
      </w:r>
      <w:r w:rsidRPr="004D7C23">
        <w:rPr>
          <w:rFonts w:asciiTheme="minorHAnsi" w:hAnsiTheme="minorHAnsi" w:cs="Calibri"/>
          <w:bCs/>
          <w:sz w:val="20"/>
          <w:szCs w:val="20"/>
          <w:lang w:eastAsia="en-AU"/>
        </w:rPr>
        <w:t xml:space="preserve">come from a diverse range of backgrounds, lifestyles and beliefs including from Aboriginal and Torres Strait Islander backgrounds and from culturally and linguistically diverse communities. Some are in heterosexual relationships; some in lesbian relationships; some identify as bisexual, transgender, queer or intersex, and some are single. Many are mothers, some are in paid work, and many have no paid </w:t>
      </w:r>
      <w:r>
        <w:rPr>
          <w:rFonts w:asciiTheme="minorHAnsi" w:hAnsiTheme="minorHAnsi" w:cs="Calibri"/>
          <w:bCs/>
          <w:sz w:val="20"/>
          <w:szCs w:val="20"/>
          <w:lang w:eastAsia="en-AU"/>
        </w:rPr>
        <w:t>work.</w:t>
      </w:r>
      <w:r w:rsidRPr="004D7C23">
        <w:rPr>
          <w:rFonts w:asciiTheme="minorHAnsi" w:hAnsiTheme="minorHAnsi" w:cs="Calibri"/>
          <w:bCs/>
          <w:sz w:val="20"/>
          <w:szCs w:val="20"/>
          <w:lang w:eastAsia="en-AU"/>
        </w:rPr>
        <w:t xml:space="preserve"> They experience a range of impairments that impact on their lives in different ways. These may include medical </w:t>
      </w:r>
      <w:r w:rsidR="00D21D62">
        <w:rPr>
          <w:rFonts w:asciiTheme="minorHAnsi" w:hAnsiTheme="minorHAnsi" w:cs="Calibri"/>
          <w:bCs/>
          <w:sz w:val="20"/>
          <w:szCs w:val="20"/>
          <w:lang w:eastAsia="en-AU"/>
        </w:rPr>
        <w:t xml:space="preserve">and/or health </w:t>
      </w:r>
      <w:r w:rsidRPr="004D7C23">
        <w:rPr>
          <w:rFonts w:asciiTheme="minorHAnsi" w:hAnsiTheme="minorHAnsi" w:cs="Calibri"/>
          <w:bCs/>
          <w:sz w:val="20"/>
          <w:szCs w:val="20"/>
          <w:lang w:eastAsia="en-AU"/>
        </w:rPr>
        <w:t>conditions, and/or sensory, physical, cognitive and psychosocial impairments, singly or in combination</w:t>
      </w:r>
      <w:r w:rsidR="00715553">
        <w:rPr>
          <w:rFonts w:asciiTheme="minorHAnsi" w:hAnsiTheme="minorHAnsi" w:cs="Calibri"/>
          <w:bCs/>
          <w:sz w:val="20"/>
          <w:szCs w:val="20"/>
          <w:lang w:eastAsia="en-AU"/>
        </w:rPr>
        <w:t xml:space="preserve"> (</w:t>
      </w:r>
      <w:r w:rsidR="00626163">
        <w:rPr>
          <w:rFonts w:asciiTheme="minorHAnsi" w:hAnsiTheme="minorHAnsi" w:cs="Calibri"/>
          <w:bCs/>
          <w:sz w:val="20"/>
          <w:szCs w:val="20"/>
          <w:lang w:eastAsia="en-AU"/>
        </w:rPr>
        <w:t>Dowse et al 2013)</w:t>
      </w:r>
      <w:r w:rsidRPr="004D7C23">
        <w:rPr>
          <w:rFonts w:asciiTheme="minorHAnsi" w:hAnsiTheme="minorHAnsi" w:cs="Calibri"/>
          <w:bCs/>
          <w:sz w:val="20"/>
          <w:szCs w:val="20"/>
          <w:lang w:eastAsia="en-AU"/>
        </w:rPr>
        <w:t>.</w:t>
      </w:r>
    </w:p>
    <w:p w14:paraId="63827839" w14:textId="77777777" w:rsidR="00D21D62" w:rsidRDefault="00D21D62" w:rsidP="00D21D62">
      <w:pPr>
        <w:spacing w:after="0" w:line="240" w:lineRule="auto"/>
        <w:jc w:val="both"/>
        <w:rPr>
          <w:rFonts w:asciiTheme="minorHAnsi" w:hAnsiTheme="minorHAnsi" w:cs="Calibri"/>
          <w:bCs/>
          <w:sz w:val="20"/>
          <w:szCs w:val="20"/>
          <w:lang w:eastAsia="en-AU"/>
        </w:rPr>
      </w:pPr>
    </w:p>
    <w:p w14:paraId="3212493C" w14:textId="30D1D848" w:rsidR="00786632" w:rsidRDefault="00D21D62" w:rsidP="00786632">
      <w:pPr>
        <w:spacing w:after="0" w:line="240" w:lineRule="auto"/>
        <w:jc w:val="both"/>
        <w:rPr>
          <w:rFonts w:asciiTheme="minorHAnsi" w:hAnsiTheme="minorHAnsi" w:cs="Calibri"/>
          <w:bCs/>
          <w:sz w:val="20"/>
          <w:szCs w:val="20"/>
          <w:lang w:eastAsia="en-AU"/>
        </w:rPr>
      </w:pPr>
      <w:r w:rsidRPr="004D7C23">
        <w:rPr>
          <w:rFonts w:asciiTheme="minorHAnsi" w:hAnsiTheme="minorHAnsi" w:cs="Calibri"/>
          <w:bCs/>
          <w:sz w:val="20"/>
          <w:szCs w:val="20"/>
          <w:lang w:eastAsia="en-AU"/>
        </w:rPr>
        <w:t>The ways in which disability is understood</w:t>
      </w:r>
      <w:r>
        <w:rPr>
          <w:rFonts w:asciiTheme="minorHAnsi" w:hAnsiTheme="minorHAnsi" w:cs="Calibri"/>
          <w:bCs/>
          <w:sz w:val="20"/>
          <w:szCs w:val="20"/>
          <w:lang w:eastAsia="en-AU"/>
        </w:rPr>
        <w:t xml:space="preserve"> </w:t>
      </w:r>
      <w:r w:rsidRPr="004D7C23">
        <w:rPr>
          <w:rFonts w:asciiTheme="minorHAnsi" w:hAnsiTheme="minorHAnsi" w:cs="Calibri"/>
          <w:bCs/>
          <w:sz w:val="20"/>
          <w:szCs w:val="20"/>
          <w:lang w:eastAsia="en-AU"/>
        </w:rPr>
        <w:t xml:space="preserve">has implications for responses to women and girls with disabilities at risk of, or experiencing, violence. In recent decades focus has moved beyond simply considering an individual’s body, intellect or behaviour to examine </w:t>
      </w:r>
      <w:r>
        <w:rPr>
          <w:rFonts w:asciiTheme="minorHAnsi" w:hAnsiTheme="minorHAnsi" w:cs="Calibri"/>
          <w:bCs/>
          <w:sz w:val="20"/>
          <w:szCs w:val="20"/>
          <w:lang w:eastAsia="en-AU"/>
        </w:rPr>
        <w:t xml:space="preserve">the experience of </w:t>
      </w:r>
      <w:r w:rsidRPr="004D7C23">
        <w:rPr>
          <w:rFonts w:asciiTheme="minorHAnsi" w:hAnsiTheme="minorHAnsi" w:cs="Calibri"/>
          <w:bCs/>
          <w:sz w:val="20"/>
          <w:szCs w:val="20"/>
          <w:lang w:eastAsia="en-AU"/>
        </w:rPr>
        <w:t>disability in the conte</w:t>
      </w:r>
      <w:r>
        <w:rPr>
          <w:rFonts w:asciiTheme="minorHAnsi" w:hAnsiTheme="minorHAnsi" w:cs="Calibri"/>
          <w:bCs/>
          <w:sz w:val="20"/>
          <w:szCs w:val="20"/>
          <w:lang w:eastAsia="en-AU"/>
        </w:rPr>
        <w:t>x</w:t>
      </w:r>
      <w:r w:rsidRPr="004D7C23">
        <w:rPr>
          <w:rFonts w:asciiTheme="minorHAnsi" w:hAnsiTheme="minorHAnsi" w:cs="Calibri"/>
          <w:bCs/>
          <w:sz w:val="20"/>
          <w:szCs w:val="20"/>
          <w:lang w:eastAsia="en-AU"/>
        </w:rPr>
        <w:t xml:space="preserve">t of </w:t>
      </w:r>
      <w:r>
        <w:rPr>
          <w:rFonts w:asciiTheme="minorHAnsi" w:hAnsiTheme="minorHAnsi" w:cs="Calibri"/>
          <w:bCs/>
          <w:sz w:val="20"/>
          <w:szCs w:val="20"/>
          <w:lang w:eastAsia="en-AU"/>
        </w:rPr>
        <w:t xml:space="preserve">a </w:t>
      </w:r>
      <w:r w:rsidRPr="004D7C23">
        <w:rPr>
          <w:rFonts w:asciiTheme="minorHAnsi" w:hAnsiTheme="minorHAnsi" w:cs="Calibri"/>
          <w:bCs/>
          <w:sz w:val="20"/>
          <w:szCs w:val="20"/>
          <w:lang w:eastAsia="en-AU"/>
        </w:rPr>
        <w:t>more complex set of social, political, material and cultural relationships (Meekosha &amp; Dowse 2007) and to recognise the human rights of people with disabilit</w:t>
      </w:r>
      <w:r>
        <w:rPr>
          <w:rFonts w:asciiTheme="minorHAnsi" w:hAnsiTheme="minorHAnsi" w:cs="Calibri"/>
          <w:bCs/>
          <w:sz w:val="20"/>
          <w:szCs w:val="20"/>
          <w:lang w:eastAsia="en-AU"/>
        </w:rPr>
        <w:t>ies</w:t>
      </w:r>
      <w:r w:rsidRPr="004D7C23">
        <w:rPr>
          <w:rFonts w:asciiTheme="minorHAnsi" w:hAnsiTheme="minorHAnsi" w:cs="Calibri"/>
          <w:bCs/>
          <w:sz w:val="20"/>
          <w:szCs w:val="20"/>
          <w:lang w:eastAsia="en-AU"/>
        </w:rPr>
        <w:t>.</w:t>
      </w:r>
      <w:r>
        <w:rPr>
          <w:rFonts w:asciiTheme="minorHAnsi" w:hAnsiTheme="minorHAnsi" w:cs="Calibri"/>
          <w:bCs/>
          <w:sz w:val="20"/>
          <w:szCs w:val="20"/>
          <w:lang w:eastAsia="en-AU"/>
        </w:rPr>
        <w:t xml:space="preserve"> </w:t>
      </w:r>
      <w:r w:rsidR="00786632" w:rsidRPr="00CE3DD7">
        <w:rPr>
          <w:rFonts w:asciiTheme="minorHAnsi" w:hAnsiTheme="minorHAnsi" w:cs="Calibri"/>
          <w:bCs/>
          <w:sz w:val="20"/>
          <w:szCs w:val="20"/>
          <w:lang w:eastAsia="en-AU"/>
        </w:rPr>
        <w:t>In understanding violence against women</w:t>
      </w:r>
      <w:r w:rsidR="00786632">
        <w:rPr>
          <w:rFonts w:asciiTheme="minorHAnsi" w:hAnsiTheme="minorHAnsi" w:cs="Calibri"/>
          <w:bCs/>
          <w:sz w:val="20"/>
          <w:szCs w:val="20"/>
          <w:lang w:eastAsia="en-AU"/>
        </w:rPr>
        <w:t xml:space="preserve"> </w:t>
      </w:r>
      <w:r w:rsidR="00786632" w:rsidRPr="00CE3DD7">
        <w:rPr>
          <w:rFonts w:asciiTheme="minorHAnsi" w:hAnsiTheme="minorHAnsi" w:cs="Calibri"/>
          <w:bCs/>
          <w:sz w:val="20"/>
          <w:szCs w:val="20"/>
          <w:lang w:eastAsia="en-AU"/>
        </w:rPr>
        <w:t xml:space="preserve">and girls with disabilities, it is </w:t>
      </w:r>
      <w:r>
        <w:rPr>
          <w:rFonts w:asciiTheme="minorHAnsi" w:hAnsiTheme="minorHAnsi" w:cs="Calibri"/>
          <w:bCs/>
          <w:sz w:val="20"/>
          <w:szCs w:val="20"/>
          <w:lang w:eastAsia="en-AU"/>
        </w:rPr>
        <w:t>therefore</w:t>
      </w:r>
      <w:r w:rsidR="00786632" w:rsidRPr="00CE3DD7">
        <w:rPr>
          <w:rFonts w:asciiTheme="minorHAnsi" w:hAnsiTheme="minorHAnsi" w:cs="Calibri"/>
          <w:bCs/>
          <w:sz w:val="20"/>
          <w:szCs w:val="20"/>
          <w:lang w:eastAsia="en-AU"/>
        </w:rPr>
        <w:t xml:space="preserve"> </w:t>
      </w:r>
      <w:r>
        <w:rPr>
          <w:rFonts w:asciiTheme="minorHAnsi" w:hAnsiTheme="minorHAnsi" w:cs="Calibri"/>
          <w:bCs/>
          <w:sz w:val="20"/>
          <w:szCs w:val="20"/>
          <w:lang w:eastAsia="en-AU"/>
        </w:rPr>
        <w:t>critical</w:t>
      </w:r>
      <w:r w:rsidR="00786632" w:rsidRPr="00CE3DD7">
        <w:rPr>
          <w:rFonts w:asciiTheme="minorHAnsi" w:hAnsiTheme="minorHAnsi" w:cs="Calibri"/>
          <w:bCs/>
          <w:sz w:val="20"/>
          <w:szCs w:val="20"/>
          <w:lang w:eastAsia="en-AU"/>
        </w:rPr>
        <w:t xml:space="preserve"> to consider the specific intersections that some women and girls with disabilities face due to the place and space they occupy in society. Poverty, race, ethnicity, religion, language and other identity status or life experiences can further</w:t>
      </w:r>
      <w:r>
        <w:rPr>
          <w:rFonts w:asciiTheme="minorHAnsi" w:hAnsiTheme="minorHAnsi" w:cs="Calibri"/>
          <w:bCs/>
          <w:sz w:val="20"/>
          <w:szCs w:val="20"/>
          <w:lang w:eastAsia="en-AU"/>
        </w:rPr>
        <w:t xml:space="preserve"> </w:t>
      </w:r>
      <w:r w:rsidR="00786632" w:rsidRPr="00CE3DD7">
        <w:rPr>
          <w:rFonts w:asciiTheme="minorHAnsi" w:hAnsiTheme="minorHAnsi" w:cs="Calibri"/>
          <w:bCs/>
          <w:sz w:val="20"/>
          <w:szCs w:val="20"/>
          <w:lang w:eastAsia="en-AU"/>
        </w:rPr>
        <w:t xml:space="preserve">increase the risk of group or individual violence against women and girls with disabilities (Ortoleva </w:t>
      </w:r>
      <w:r w:rsidR="00626163">
        <w:rPr>
          <w:rFonts w:asciiTheme="minorHAnsi" w:hAnsiTheme="minorHAnsi" w:cs="Calibri"/>
          <w:bCs/>
          <w:sz w:val="20"/>
          <w:szCs w:val="20"/>
          <w:lang w:eastAsia="en-AU"/>
        </w:rPr>
        <w:t>&amp;</w:t>
      </w:r>
      <w:r w:rsidR="00786632" w:rsidRPr="00CE3DD7">
        <w:rPr>
          <w:rFonts w:asciiTheme="minorHAnsi" w:hAnsiTheme="minorHAnsi" w:cs="Calibri"/>
          <w:bCs/>
          <w:sz w:val="20"/>
          <w:szCs w:val="20"/>
          <w:lang w:eastAsia="en-AU"/>
        </w:rPr>
        <w:t xml:space="preserve"> Lewis 2012)</w:t>
      </w:r>
      <w:r>
        <w:rPr>
          <w:rFonts w:asciiTheme="minorHAnsi" w:hAnsiTheme="minorHAnsi" w:cs="Calibri"/>
          <w:bCs/>
          <w:sz w:val="20"/>
          <w:szCs w:val="20"/>
          <w:lang w:eastAsia="en-AU"/>
        </w:rPr>
        <w:t>.</w:t>
      </w:r>
    </w:p>
    <w:p w14:paraId="3037E5D0" w14:textId="77777777" w:rsidR="0036779F" w:rsidRDefault="0036779F" w:rsidP="0078390E">
      <w:pPr>
        <w:spacing w:after="0" w:line="240" w:lineRule="auto"/>
        <w:jc w:val="both"/>
        <w:rPr>
          <w:rFonts w:asciiTheme="minorHAnsi" w:hAnsiTheme="minorHAnsi" w:cs="Calibri"/>
          <w:bCs/>
          <w:sz w:val="20"/>
          <w:szCs w:val="20"/>
          <w:lang w:eastAsia="en-AU"/>
        </w:rPr>
      </w:pPr>
    </w:p>
    <w:p w14:paraId="79B9EFDF" w14:textId="5809619B" w:rsidR="007F3191" w:rsidRPr="00CE3DD7" w:rsidRDefault="00D21D62" w:rsidP="001D3C79">
      <w:pPr>
        <w:pStyle w:val="Heading2"/>
        <w:rPr>
          <w:rFonts w:cs="Calibri"/>
          <w:u w:val="single"/>
          <w:lang w:eastAsia="en-AU"/>
        </w:rPr>
      </w:pPr>
      <w:bookmarkStart w:id="5" w:name="_Toc410646566"/>
      <w:r>
        <w:rPr>
          <w:rFonts w:cs="Calibri"/>
          <w:lang w:val="en-US" w:eastAsia="en-AU"/>
        </w:rPr>
        <w:t>3</w:t>
      </w:r>
      <w:r w:rsidR="007F3191" w:rsidRPr="00CE3DD7">
        <w:rPr>
          <w:rFonts w:cs="Calibri"/>
          <w:lang w:val="en-US" w:eastAsia="en-AU"/>
        </w:rPr>
        <w:t>.</w:t>
      </w:r>
      <w:r>
        <w:rPr>
          <w:rFonts w:cs="Calibri"/>
          <w:lang w:val="en-US" w:eastAsia="en-AU"/>
        </w:rPr>
        <w:t>2</w:t>
      </w:r>
      <w:r w:rsidR="007F3191" w:rsidRPr="00CE3DD7">
        <w:rPr>
          <w:rFonts w:cs="Calibri"/>
          <w:lang w:val="en-US" w:eastAsia="en-AU"/>
        </w:rPr>
        <w:t>.</w:t>
      </w:r>
      <w:r w:rsidR="007F3191" w:rsidRPr="00CE3DD7">
        <w:rPr>
          <w:rFonts w:cs="Calibri"/>
          <w:lang w:val="en-US" w:eastAsia="en-AU"/>
        </w:rPr>
        <w:tab/>
      </w:r>
      <w:r w:rsidR="00786632">
        <w:rPr>
          <w:rFonts w:cs="Calibri"/>
          <w:lang w:val="en-US" w:eastAsia="en-AU"/>
        </w:rPr>
        <w:t>What is</w:t>
      </w:r>
      <w:r w:rsidR="00F47FC5" w:rsidRPr="00CE3DD7">
        <w:rPr>
          <w:rFonts w:cs="Calibri"/>
          <w:lang w:val="en-US" w:eastAsia="en-AU"/>
        </w:rPr>
        <w:t xml:space="preserve"> </w:t>
      </w:r>
      <w:r w:rsidR="00CE3DD7" w:rsidRPr="00CE3DD7">
        <w:t>violence against women and girls with disabilities</w:t>
      </w:r>
      <w:r w:rsidR="00786632">
        <w:t>?</w:t>
      </w:r>
      <w:bookmarkEnd w:id="5"/>
    </w:p>
    <w:p w14:paraId="79DB2C15" w14:textId="765CE2D1" w:rsidR="002A4535" w:rsidRPr="00C74C6C" w:rsidRDefault="002A4535" w:rsidP="00C74C6C">
      <w:pPr>
        <w:spacing w:after="0" w:line="240" w:lineRule="auto"/>
        <w:jc w:val="both"/>
        <w:rPr>
          <w:rFonts w:asciiTheme="minorHAnsi" w:hAnsiTheme="minorHAnsi"/>
          <w:sz w:val="20"/>
          <w:szCs w:val="20"/>
        </w:rPr>
      </w:pPr>
      <w:r w:rsidRPr="00C74C6C">
        <w:rPr>
          <w:rFonts w:asciiTheme="minorHAnsi" w:hAnsiTheme="minorHAnsi"/>
          <w:sz w:val="20"/>
          <w:szCs w:val="20"/>
        </w:rPr>
        <w:t xml:space="preserve">Across Australia, there is no uniform definition or consensus as to what constitutes violence against women. It is generally conceptualised in the context of ‘domestic’, ‘spousal’, ‘intimate partner’ or ‘family’ violence, which frequently excludes the violence that </w:t>
      </w:r>
      <w:r w:rsidR="00540910" w:rsidRPr="00C74C6C">
        <w:rPr>
          <w:rFonts w:asciiTheme="minorHAnsi" w:hAnsiTheme="minorHAnsi"/>
          <w:sz w:val="20"/>
          <w:szCs w:val="20"/>
        </w:rPr>
        <w:t>women with disabilities</w:t>
      </w:r>
      <w:r w:rsidRPr="00C74C6C">
        <w:rPr>
          <w:rFonts w:asciiTheme="minorHAnsi" w:hAnsiTheme="minorHAnsi"/>
          <w:sz w:val="20"/>
          <w:szCs w:val="20"/>
        </w:rPr>
        <w:t xml:space="preserve"> experience in </w:t>
      </w:r>
      <w:r w:rsidR="00A94FE3">
        <w:rPr>
          <w:rFonts w:asciiTheme="minorHAnsi" w:hAnsiTheme="minorHAnsi"/>
          <w:sz w:val="20"/>
          <w:szCs w:val="20"/>
        </w:rPr>
        <w:t>the</w:t>
      </w:r>
      <w:r w:rsidRPr="00C74C6C">
        <w:rPr>
          <w:rFonts w:asciiTheme="minorHAnsi" w:hAnsiTheme="minorHAnsi"/>
          <w:sz w:val="20"/>
          <w:szCs w:val="20"/>
        </w:rPr>
        <w:t xml:space="preserve"> </w:t>
      </w:r>
      <w:r w:rsidR="00A94FE3">
        <w:rPr>
          <w:rFonts w:asciiTheme="minorHAnsi" w:hAnsiTheme="minorHAnsi"/>
          <w:sz w:val="20"/>
          <w:szCs w:val="20"/>
        </w:rPr>
        <w:t xml:space="preserve">many </w:t>
      </w:r>
      <w:r w:rsidRPr="00C74C6C">
        <w:rPr>
          <w:rFonts w:asciiTheme="minorHAnsi" w:hAnsiTheme="minorHAnsi"/>
          <w:sz w:val="20"/>
          <w:szCs w:val="20"/>
        </w:rPr>
        <w:t>settings</w:t>
      </w:r>
      <w:r w:rsidR="00A94FE3">
        <w:rPr>
          <w:rFonts w:asciiTheme="minorHAnsi" w:hAnsiTheme="minorHAnsi"/>
          <w:sz w:val="20"/>
          <w:szCs w:val="20"/>
        </w:rPr>
        <w:t xml:space="preserve"> they live, occupy and experience</w:t>
      </w:r>
      <w:r w:rsidR="0093430E">
        <w:rPr>
          <w:rFonts w:asciiTheme="minorHAnsi" w:hAnsiTheme="minorHAnsi"/>
          <w:sz w:val="20"/>
          <w:szCs w:val="20"/>
        </w:rPr>
        <w:t xml:space="preserve"> (Commonwealth of Australia </w:t>
      </w:r>
      <w:r w:rsidR="0093430E" w:rsidRPr="0093430E">
        <w:rPr>
          <w:rFonts w:asciiTheme="minorHAnsi" w:hAnsiTheme="minorHAnsi"/>
          <w:sz w:val="20"/>
          <w:szCs w:val="20"/>
        </w:rPr>
        <w:t>2010)</w:t>
      </w:r>
      <w:r w:rsidRPr="00C74C6C">
        <w:rPr>
          <w:rFonts w:asciiTheme="minorHAnsi" w:hAnsiTheme="minorHAnsi"/>
          <w:sz w:val="20"/>
          <w:szCs w:val="20"/>
        </w:rPr>
        <w:t>.</w:t>
      </w:r>
      <w:r w:rsidR="00715553">
        <w:rPr>
          <w:rStyle w:val="FootnoteReference"/>
          <w:rFonts w:asciiTheme="minorHAnsi" w:hAnsiTheme="minorHAnsi"/>
          <w:sz w:val="20"/>
          <w:szCs w:val="20"/>
        </w:rPr>
        <w:footnoteReference w:id="1"/>
      </w:r>
      <w:r w:rsidRPr="00C74C6C">
        <w:rPr>
          <w:rFonts w:asciiTheme="minorHAnsi" w:hAnsiTheme="minorHAnsi"/>
          <w:sz w:val="20"/>
          <w:szCs w:val="20"/>
        </w:rPr>
        <w:t xml:space="preserve"> </w:t>
      </w:r>
      <w:r w:rsidR="00540910" w:rsidRPr="00C74C6C">
        <w:rPr>
          <w:rFonts w:asciiTheme="minorHAnsi" w:hAnsiTheme="minorHAnsi"/>
          <w:sz w:val="20"/>
          <w:szCs w:val="20"/>
          <w:lang w:val="x-none"/>
        </w:rPr>
        <w:t>T</w:t>
      </w:r>
      <w:r w:rsidRPr="00C74C6C">
        <w:rPr>
          <w:rFonts w:asciiTheme="minorHAnsi" w:hAnsiTheme="minorHAnsi"/>
          <w:sz w:val="20"/>
          <w:szCs w:val="20"/>
          <w:lang w:val="x-none"/>
        </w:rPr>
        <w:t xml:space="preserve">he legal definition of ‘domestic violence’ </w:t>
      </w:r>
      <w:r w:rsidR="00540910" w:rsidRPr="00C74C6C">
        <w:rPr>
          <w:rFonts w:asciiTheme="minorHAnsi" w:hAnsiTheme="minorHAnsi"/>
          <w:sz w:val="20"/>
          <w:szCs w:val="20"/>
          <w:lang w:val="x-none"/>
        </w:rPr>
        <w:t xml:space="preserve">in Australia </w:t>
      </w:r>
      <w:r w:rsidRPr="00C74C6C">
        <w:rPr>
          <w:rFonts w:asciiTheme="minorHAnsi" w:hAnsiTheme="minorHAnsi"/>
          <w:sz w:val="20"/>
          <w:szCs w:val="20"/>
          <w:lang w:val="x-none"/>
        </w:rPr>
        <w:t>varies across jurisdictions. Some</w:t>
      </w:r>
      <w:r w:rsidRPr="00C74C6C">
        <w:rPr>
          <w:rFonts w:asciiTheme="minorHAnsi" w:hAnsiTheme="minorHAnsi" w:cs="Calibri"/>
          <w:sz w:val="20"/>
          <w:szCs w:val="20"/>
        </w:rPr>
        <w:t xml:space="preserve"> definitions are more inclusive than others. However, d</w:t>
      </w:r>
      <w:r w:rsidRPr="00C74C6C">
        <w:rPr>
          <w:rFonts w:asciiTheme="minorHAnsi" w:hAnsiTheme="minorHAnsi" w:cs="Calibri"/>
          <w:sz w:val="20"/>
          <w:szCs w:val="20"/>
          <w:lang w:val="x-none"/>
        </w:rPr>
        <w:t>espite the many and varied definitions within the</w:t>
      </w:r>
      <w:r w:rsidRPr="00C74C6C">
        <w:rPr>
          <w:rFonts w:asciiTheme="minorHAnsi" w:hAnsiTheme="minorHAnsi" w:cs="Calibri"/>
          <w:sz w:val="20"/>
          <w:szCs w:val="20"/>
        </w:rPr>
        <w:t xml:space="preserve"> </w:t>
      </w:r>
      <w:r w:rsidRPr="00C74C6C">
        <w:rPr>
          <w:rFonts w:asciiTheme="minorHAnsi" w:hAnsiTheme="minorHAnsi" w:cs="Calibri"/>
          <w:sz w:val="20"/>
          <w:szCs w:val="20"/>
          <w:lang w:val="x-none"/>
        </w:rPr>
        <w:t>various laws and policy frameworks of what constitutes ‘domestic violence’, ‘family violence’, and ‘domestic relationships’,</w:t>
      </w:r>
      <w:r w:rsidRPr="00C74C6C">
        <w:rPr>
          <w:rFonts w:asciiTheme="minorHAnsi" w:hAnsiTheme="minorHAnsi" w:cs="Calibri"/>
          <w:sz w:val="20"/>
          <w:szCs w:val="20"/>
        </w:rPr>
        <w:t xml:space="preserve"> </w:t>
      </w:r>
      <w:r w:rsidRPr="00C74C6C">
        <w:rPr>
          <w:rFonts w:asciiTheme="minorHAnsi" w:hAnsiTheme="minorHAnsi" w:cs="Calibri"/>
          <w:sz w:val="20"/>
          <w:szCs w:val="20"/>
          <w:lang w:val="x-none"/>
        </w:rPr>
        <w:t>most do not contain definitions</w:t>
      </w:r>
      <w:r w:rsidRPr="00C74C6C">
        <w:rPr>
          <w:rFonts w:asciiTheme="minorHAnsi" w:hAnsiTheme="minorHAnsi" w:cs="Calibri"/>
          <w:sz w:val="20"/>
          <w:szCs w:val="20"/>
        </w:rPr>
        <w:t xml:space="preserve"> </w:t>
      </w:r>
      <w:r w:rsidRPr="00C74C6C">
        <w:rPr>
          <w:rFonts w:asciiTheme="minorHAnsi" w:hAnsiTheme="minorHAnsi" w:cs="Calibri"/>
          <w:sz w:val="20"/>
          <w:szCs w:val="20"/>
          <w:lang w:val="x-none"/>
        </w:rPr>
        <w:t xml:space="preserve">which </w:t>
      </w:r>
      <w:r w:rsidRPr="00C74C6C">
        <w:rPr>
          <w:rFonts w:asciiTheme="minorHAnsi" w:hAnsiTheme="minorHAnsi"/>
          <w:sz w:val="20"/>
          <w:szCs w:val="20"/>
        </w:rPr>
        <w:t>do justice to</w:t>
      </w:r>
      <w:r w:rsidRPr="00C74C6C">
        <w:rPr>
          <w:rFonts w:asciiTheme="minorHAnsi" w:hAnsiTheme="minorHAnsi" w:cs="Calibri"/>
          <w:sz w:val="20"/>
          <w:szCs w:val="20"/>
          <w:lang w:val="x-none"/>
        </w:rPr>
        <w:t xml:space="preserve">, nor encompass, the range of settings </w:t>
      </w:r>
      <w:r w:rsidR="00C74C6C" w:rsidRPr="00C74C6C">
        <w:rPr>
          <w:rFonts w:asciiTheme="minorHAnsi" w:hAnsiTheme="minorHAnsi" w:cs="Calibri"/>
          <w:sz w:val="20"/>
          <w:szCs w:val="20"/>
          <w:lang w:val="x-none"/>
        </w:rPr>
        <w:t xml:space="preserve">in </w:t>
      </w:r>
      <w:r w:rsidRPr="00C74C6C">
        <w:rPr>
          <w:rFonts w:asciiTheme="minorHAnsi" w:hAnsiTheme="minorHAnsi" w:cs="Calibri"/>
          <w:sz w:val="20"/>
          <w:szCs w:val="20"/>
          <w:lang w:val="x-none"/>
        </w:rPr>
        <w:t xml:space="preserve">which </w:t>
      </w:r>
      <w:r w:rsidR="00C74C6C" w:rsidRPr="00C74C6C">
        <w:rPr>
          <w:rFonts w:asciiTheme="minorHAnsi" w:hAnsiTheme="minorHAnsi" w:cs="Calibri"/>
          <w:sz w:val="20"/>
          <w:szCs w:val="20"/>
          <w:lang w:val="x-none"/>
        </w:rPr>
        <w:t>women and girls</w:t>
      </w:r>
      <w:r w:rsidRPr="00C74C6C">
        <w:rPr>
          <w:rFonts w:asciiTheme="minorHAnsi" w:hAnsiTheme="minorHAnsi" w:cs="Calibri"/>
          <w:sz w:val="20"/>
          <w:szCs w:val="20"/>
          <w:lang w:val="x-none"/>
        </w:rPr>
        <w:t xml:space="preserve"> with disabilit</w:t>
      </w:r>
      <w:r w:rsidR="00C74C6C" w:rsidRPr="00C74C6C">
        <w:rPr>
          <w:rFonts w:asciiTheme="minorHAnsi" w:hAnsiTheme="minorHAnsi" w:cs="Calibri"/>
          <w:sz w:val="20"/>
          <w:szCs w:val="20"/>
          <w:lang w:val="x-none"/>
        </w:rPr>
        <w:t>ies</w:t>
      </w:r>
      <w:r w:rsidRPr="00C74C6C">
        <w:rPr>
          <w:rFonts w:asciiTheme="minorHAnsi" w:hAnsiTheme="minorHAnsi" w:cs="Calibri"/>
          <w:sz w:val="20"/>
          <w:szCs w:val="20"/>
          <w:lang w:val="x-none"/>
        </w:rPr>
        <w:t xml:space="preserve"> live</w:t>
      </w:r>
      <w:r w:rsidRPr="00C74C6C">
        <w:rPr>
          <w:rFonts w:asciiTheme="minorHAnsi" w:hAnsiTheme="minorHAnsi" w:cs="Calibri"/>
          <w:sz w:val="20"/>
          <w:szCs w:val="20"/>
        </w:rPr>
        <w:t>,</w:t>
      </w:r>
      <w:r w:rsidR="00C74C6C" w:rsidRPr="00C74C6C">
        <w:rPr>
          <w:rFonts w:asciiTheme="minorHAnsi" w:hAnsiTheme="minorHAnsi" w:cs="Calibri"/>
          <w:sz w:val="20"/>
          <w:szCs w:val="20"/>
        </w:rPr>
        <w:t xml:space="preserve"> occupy or experience, such </w:t>
      </w:r>
      <w:r w:rsidRPr="00C74C6C">
        <w:rPr>
          <w:rFonts w:asciiTheme="minorHAnsi" w:hAnsiTheme="minorHAnsi" w:cs="Calibri"/>
          <w:sz w:val="20"/>
          <w:szCs w:val="20"/>
          <w:lang w:val="x-none"/>
        </w:rPr>
        <w:t>as institutions</w:t>
      </w:r>
      <w:r w:rsidR="00C74C6C" w:rsidRPr="00C74C6C">
        <w:rPr>
          <w:rFonts w:asciiTheme="minorHAnsi" w:hAnsiTheme="minorHAnsi" w:cs="Calibri"/>
          <w:sz w:val="20"/>
          <w:szCs w:val="20"/>
          <w:lang w:val="x-none"/>
        </w:rPr>
        <w:t xml:space="preserve"> or service settings</w:t>
      </w:r>
      <w:r w:rsidRPr="00C74C6C">
        <w:rPr>
          <w:rFonts w:asciiTheme="minorHAnsi" w:hAnsiTheme="minorHAnsi" w:cs="Calibri"/>
          <w:sz w:val="20"/>
          <w:szCs w:val="20"/>
          <w:lang w:val="x-none"/>
        </w:rPr>
        <w:t>. Nor do they</w:t>
      </w:r>
      <w:r w:rsidRPr="00C74C6C">
        <w:rPr>
          <w:rFonts w:asciiTheme="minorHAnsi" w:hAnsiTheme="minorHAnsi" w:cs="Calibri"/>
          <w:sz w:val="20"/>
          <w:szCs w:val="20"/>
        </w:rPr>
        <w:t xml:space="preserve"> </w:t>
      </w:r>
      <w:r w:rsidRPr="00C74C6C">
        <w:rPr>
          <w:rFonts w:asciiTheme="minorHAnsi" w:hAnsiTheme="minorHAnsi" w:cs="Calibri"/>
          <w:sz w:val="20"/>
          <w:szCs w:val="20"/>
          <w:lang w:val="x-none"/>
        </w:rPr>
        <w:t xml:space="preserve">contain definitions which capture the </w:t>
      </w:r>
      <w:r w:rsidRPr="00C74C6C">
        <w:rPr>
          <w:rFonts w:asciiTheme="minorHAnsi" w:hAnsiTheme="minorHAnsi" w:cs="Calibri"/>
          <w:sz w:val="20"/>
          <w:szCs w:val="20"/>
        </w:rPr>
        <w:t xml:space="preserve">range of relationships and </w:t>
      </w:r>
      <w:r w:rsidRPr="00C74C6C">
        <w:rPr>
          <w:rFonts w:asciiTheme="minorHAnsi" w:hAnsiTheme="minorHAnsi" w:cs="Calibri"/>
          <w:sz w:val="20"/>
          <w:szCs w:val="20"/>
          <w:lang w:val="x-none"/>
        </w:rPr>
        <w:t xml:space="preserve">various </w:t>
      </w:r>
      <w:r w:rsidRPr="00C74C6C">
        <w:rPr>
          <w:rFonts w:asciiTheme="minorHAnsi" w:hAnsiTheme="minorHAnsi"/>
          <w:sz w:val="20"/>
          <w:szCs w:val="20"/>
        </w:rPr>
        <w:t>dimensions and experiences</w:t>
      </w:r>
      <w:r w:rsidRPr="00C74C6C">
        <w:rPr>
          <w:rFonts w:asciiTheme="minorHAnsi" w:hAnsiTheme="minorHAnsi" w:cs="Calibri"/>
          <w:sz w:val="20"/>
          <w:szCs w:val="20"/>
          <w:lang w:val="x-none"/>
        </w:rPr>
        <w:t xml:space="preserve"> of </w:t>
      </w:r>
      <w:r w:rsidRPr="00C74C6C">
        <w:rPr>
          <w:rFonts w:asciiTheme="minorHAnsi" w:hAnsiTheme="minorHAnsi"/>
          <w:sz w:val="20"/>
          <w:szCs w:val="20"/>
        </w:rPr>
        <w:t>violence</w:t>
      </w:r>
      <w:r w:rsidRPr="00C74C6C">
        <w:rPr>
          <w:rFonts w:asciiTheme="minorHAnsi" w:hAnsiTheme="minorHAnsi" w:cs="Calibri"/>
          <w:sz w:val="20"/>
          <w:szCs w:val="20"/>
          <w:lang w:val="x-none"/>
        </w:rPr>
        <w:t xml:space="preserve"> as experienced by</w:t>
      </w:r>
      <w:r w:rsidRPr="00C74C6C">
        <w:rPr>
          <w:rFonts w:asciiTheme="minorHAnsi" w:hAnsiTheme="minorHAnsi" w:cs="Calibri"/>
          <w:sz w:val="20"/>
          <w:szCs w:val="20"/>
        </w:rPr>
        <w:t xml:space="preserve"> </w:t>
      </w:r>
      <w:r w:rsidRPr="00C74C6C">
        <w:rPr>
          <w:rFonts w:asciiTheme="minorHAnsi" w:hAnsiTheme="minorHAnsi"/>
          <w:sz w:val="20"/>
          <w:szCs w:val="20"/>
        </w:rPr>
        <w:t>women and girls with disabilit</w:t>
      </w:r>
      <w:r w:rsidR="00C74C6C" w:rsidRPr="00C74C6C">
        <w:rPr>
          <w:rFonts w:asciiTheme="minorHAnsi" w:hAnsiTheme="minorHAnsi"/>
          <w:sz w:val="20"/>
          <w:szCs w:val="20"/>
        </w:rPr>
        <w:t>ies</w:t>
      </w:r>
      <w:r w:rsidRPr="00C74C6C">
        <w:rPr>
          <w:rFonts w:asciiTheme="minorHAnsi" w:hAnsiTheme="minorHAnsi"/>
          <w:sz w:val="20"/>
          <w:szCs w:val="20"/>
        </w:rPr>
        <w:t>, which may include the relationships they have with support workers, co- residents with disabilit</w:t>
      </w:r>
      <w:r w:rsidR="00C74C6C" w:rsidRPr="00C74C6C">
        <w:rPr>
          <w:rFonts w:asciiTheme="minorHAnsi" w:hAnsiTheme="minorHAnsi"/>
          <w:sz w:val="20"/>
          <w:szCs w:val="20"/>
        </w:rPr>
        <w:t>ies</w:t>
      </w:r>
      <w:r w:rsidRPr="00C74C6C">
        <w:rPr>
          <w:rFonts w:asciiTheme="minorHAnsi" w:hAnsiTheme="minorHAnsi"/>
          <w:sz w:val="20"/>
          <w:szCs w:val="20"/>
        </w:rPr>
        <w:t xml:space="preserve"> and so on</w:t>
      </w:r>
      <w:r w:rsidR="0093430E">
        <w:rPr>
          <w:rFonts w:asciiTheme="minorHAnsi" w:hAnsiTheme="minorHAnsi"/>
          <w:sz w:val="20"/>
          <w:szCs w:val="20"/>
        </w:rPr>
        <w:t xml:space="preserve"> (Frohmader 2011, Frohmader &amp; Swift 2012)</w:t>
      </w:r>
      <w:r w:rsidR="00C74C6C" w:rsidRPr="00C74C6C">
        <w:rPr>
          <w:rFonts w:asciiTheme="minorHAnsi" w:hAnsiTheme="minorHAnsi"/>
          <w:sz w:val="20"/>
          <w:szCs w:val="20"/>
        </w:rPr>
        <w:t>.</w:t>
      </w:r>
    </w:p>
    <w:p w14:paraId="625C4AB2" w14:textId="77777777" w:rsidR="002A4535" w:rsidRPr="00862494" w:rsidRDefault="002A4535" w:rsidP="004E4773">
      <w:pPr>
        <w:spacing w:after="0" w:line="240" w:lineRule="auto"/>
        <w:jc w:val="both"/>
        <w:rPr>
          <w:rFonts w:asciiTheme="minorHAnsi" w:hAnsiTheme="minorHAnsi" w:cs="Calibri"/>
          <w:bCs/>
          <w:sz w:val="20"/>
          <w:szCs w:val="20"/>
          <w:lang w:eastAsia="en-AU"/>
        </w:rPr>
      </w:pPr>
    </w:p>
    <w:p w14:paraId="576A4ACE" w14:textId="7771CFA2" w:rsidR="00862494" w:rsidRPr="00862494" w:rsidRDefault="00862494" w:rsidP="00862494">
      <w:pPr>
        <w:spacing w:after="0" w:line="240" w:lineRule="auto"/>
        <w:jc w:val="both"/>
        <w:rPr>
          <w:rFonts w:asciiTheme="minorHAnsi" w:hAnsiTheme="minorHAnsi" w:cs="Calibri"/>
          <w:bCs/>
          <w:sz w:val="20"/>
          <w:szCs w:val="20"/>
          <w:lang w:eastAsia="en-AU"/>
        </w:rPr>
      </w:pPr>
      <w:r w:rsidRPr="00862494">
        <w:rPr>
          <w:rFonts w:asciiTheme="minorHAnsi" w:hAnsiTheme="minorHAnsi"/>
          <w:sz w:val="20"/>
          <w:szCs w:val="20"/>
        </w:rPr>
        <w:lastRenderedPageBreak/>
        <w:t xml:space="preserve">Although women and girls with disabilities experience many of the same forms of violence that all women and girls experience, </w:t>
      </w:r>
      <w:r w:rsidRPr="00862494">
        <w:rPr>
          <w:rFonts w:asciiTheme="minorHAnsi" w:hAnsiTheme="minorHAnsi" w:cs="Calibri"/>
          <w:bCs/>
          <w:sz w:val="20"/>
          <w:szCs w:val="20"/>
          <w:lang w:eastAsia="en-AU"/>
        </w:rPr>
        <w:t>including domestic/family violence and sexual assault,</w:t>
      </w:r>
      <w:r w:rsidRPr="00862494">
        <w:rPr>
          <w:rFonts w:asciiTheme="minorHAnsi" w:hAnsiTheme="minorHAnsi"/>
          <w:sz w:val="20"/>
          <w:szCs w:val="20"/>
        </w:rPr>
        <w:t xml:space="preserve"> when gender and disability intersect, violence has unique causes, takes on unique forms and results in unique consequences (</w:t>
      </w:r>
      <w:proofErr w:type="spellStart"/>
      <w:r w:rsidR="0093430E">
        <w:rPr>
          <w:rFonts w:asciiTheme="minorHAnsi" w:hAnsiTheme="minorHAnsi"/>
          <w:sz w:val="20"/>
          <w:szCs w:val="20"/>
        </w:rPr>
        <w:t>Manjoo</w:t>
      </w:r>
      <w:proofErr w:type="spellEnd"/>
      <w:r w:rsidR="0093430E">
        <w:rPr>
          <w:rFonts w:asciiTheme="minorHAnsi" w:hAnsiTheme="minorHAnsi"/>
          <w:sz w:val="20"/>
          <w:szCs w:val="20"/>
        </w:rPr>
        <w:t xml:space="preserve"> 2012, Dowse et al 2013, </w:t>
      </w:r>
      <w:r w:rsidRPr="00862494">
        <w:rPr>
          <w:rFonts w:asciiTheme="minorHAnsi" w:hAnsiTheme="minorHAnsi"/>
          <w:sz w:val="20"/>
          <w:szCs w:val="20"/>
        </w:rPr>
        <w:t xml:space="preserve">Frohmader </w:t>
      </w:r>
      <w:r w:rsidR="0093430E">
        <w:rPr>
          <w:rFonts w:asciiTheme="minorHAnsi" w:hAnsiTheme="minorHAnsi"/>
          <w:sz w:val="20"/>
          <w:szCs w:val="20"/>
        </w:rPr>
        <w:t>2014</w:t>
      </w:r>
      <w:r w:rsidRPr="00862494">
        <w:rPr>
          <w:rFonts w:asciiTheme="minorHAnsi" w:hAnsiTheme="minorHAnsi"/>
          <w:sz w:val="20"/>
          <w:szCs w:val="20"/>
        </w:rPr>
        <w:t xml:space="preserve">). Women and girls with disabilities also experience forms of violence that are particular to their situation of social disadvantage, cultural devaluation and increased dependency on others </w:t>
      </w:r>
      <w:r w:rsidRPr="00862494">
        <w:rPr>
          <w:rFonts w:asciiTheme="minorHAnsi" w:hAnsiTheme="minorHAnsi" w:cs="Calibri"/>
          <w:bCs/>
          <w:sz w:val="20"/>
          <w:szCs w:val="20"/>
          <w:lang w:eastAsia="en-AU"/>
        </w:rPr>
        <w:t>(Swift 2013).</w:t>
      </w:r>
      <w:r w:rsidRPr="00862494">
        <w:rPr>
          <w:rFonts w:asciiTheme="minorHAnsi" w:hAnsiTheme="minorHAnsi"/>
          <w:sz w:val="20"/>
          <w:szCs w:val="20"/>
        </w:rPr>
        <w:t xml:space="preserve"> </w:t>
      </w:r>
    </w:p>
    <w:p w14:paraId="09A14C68" w14:textId="77777777" w:rsidR="007F3191" w:rsidRPr="00862494" w:rsidRDefault="007F3191" w:rsidP="004E4773">
      <w:pPr>
        <w:spacing w:after="0" w:line="240" w:lineRule="auto"/>
        <w:jc w:val="both"/>
        <w:rPr>
          <w:rFonts w:asciiTheme="minorHAnsi" w:hAnsiTheme="minorHAnsi" w:cs="Calibri"/>
          <w:bCs/>
          <w:sz w:val="20"/>
          <w:szCs w:val="20"/>
          <w:lang w:eastAsia="en-AU"/>
        </w:rPr>
      </w:pPr>
    </w:p>
    <w:p w14:paraId="0BFCF465" w14:textId="69D850AA" w:rsidR="007F3191" w:rsidRPr="00862494" w:rsidRDefault="00474A67" w:rsidP="0078390E">
      <w:pPr>
        <w:spacing w:after="0" w:line="240" w:lineRule="auto"/>
        <w:jc w:val="both"/>
        <w:rPr>
          <w:rFonts w:asciiTheme="minorHAnsi" w:hAnsiTheme="minorHAnsi" w:cs="Calibri"/>
          <w:bCs/>
          <w:sz w:val="20"/>
          <w:szCs w:val="20"/>
          <w:lang w:eastAsia="en-AU"/>
        </w:rPr>
      </w:pPr>
      <w:r w:rsidRPr="00862494">
        <w:rPr>
          <w:rFonts w:asciiTheme="minorHAnsi" w:hAnsiTheme="minorHAnsi" w:cs="Calibri"/>
          <w:bCs/>
          <w:sz w:val="20"/>
          <w:szCs w:val="20"/>
          <w:lang w:eastAsia="en-AU"/>
        </w:rPr>
        <w:t>V</w:t>
      </w:r>
      <w:r w:rsidR="0078390E" w:rsidRPr="00862494">
        <w:rPr>
          <w:rFonts w:asciiTheme="minorHAnsi" w:hAnsiTheme="minorHAnsi" w:cs="Calibri"/>
          <w:bCs/>
          <w:sz w:val="20"/>
          <w:szCs w:val="20"/>
          <w:lang w:eastAsia="en-AU"/>
        </w:rPr>
        <w:t>iolence against women and girls with disabilities include</w:t>
      </w:r>
      <w:r w:rsidRPr="00862494">
        <w:rPr>
          <w:rFonts w:asciiTheme="minorHAnsi" w:hAnsiTheme="minorHAnsi" w:cs="Calibri"/>
          <w:bCs/>
          <w:sz w:val="20"/>
          <w:szCs w:val="20"/>
          <w:lang w:eastAsia="en-AU"/>
        </w:rPr>
        <w:t>s</w:t>
      </w:r>
      <w:r w:rsidR="0078390E" w:rsidRPr="00862494">
        <w:rPr>
          <w:rFonts w:asciiTheme="minorHAnsi" w:hAnsiTheme="minorHAnsi" w:cs="Calibri"/>
          <w:bCs/>
          <w:sz w:val="20"/>
          <w:szCs w:val="20"/>
          <w:lang w:eastAsia="en-AU"/>
        </w:rPr>
        <w:t xml:space="preserve"> physical, sexual, </w:t>
      </w:r>
      <w:r w:rsidR="00D21D62" w:rsidRPr="00862494">
        <w:rPr>
          <w:rFonts w:asciiTheme="minorHAnsi" w:hAnsiTheme="minorHAnsi" w:cs="Calibri"/>
          <w:bCs/>
          <w:sz w:val="20"/>
          <w:szCs w:val="20"/>
          <w:lang w:eastAsia="en-AU"/>
        </w:rPr>
        <w:t xml:space="preserve">psychological, </w:t>
      </w:r>
      <w:r w:rsidR="0078390E" w:rsidRPr="00862494">
        <w:rPr>
          <w:rFonts w:asciiTheme="minorHAnsi" w:hAnsiTheme="minorHAnsi" w:cs="Calibri"/>
          <w:bCs/>
          <w:sz w:val="20"/>
          <w:szCs w:val="20"/>
          <w:lang w:eastAsia="en-AU"/>
        </w:rPr>
        <w:t xml:space="preserve">and </w:t>
      </w:r>
      <w:r w:rsidR="00D21D62" w:rsidRPr="00862494">
        <w:rPr>
          <w:rFonts w:asciiTheme="minorHAnsi" w:hAnsiTheme="minorHAnsi" w:cs="Calibri"/>
          <w:bCs/>
          <w:sz w:val="20"/>
          <w:szCs w:val="20"/>
          <w:lang w:eastAsia="en-AU"/>
        </w:rPr>
        <w:t>economic</w:t>
      </w:r>
      <w:r w:rsidR="0078390E" w:rsidRPr="00862494">
        <w:rPr>
          <w:rFonts w:asciiTheme="minorHAnsi" w:hAnsiTheme="minorHAnsi" w:cs="Calibri"/>
          <w:bCs/>
          <w:sz w:val="20"/>
          <w:szCs w:val="20"/>
          <w:lang w:eastAsia="en-AU"/>
        </w:rPr>
        <w:t xml:space="preserve"> violence</w:t>
      </w:r>
      <w:r w:rsidR="002E7914" w:rsidRPr="00862494">
        <w:rPr>
          <w:rFonts w:asciiTheme="minorHAnsi" w:hAnsiTheme="minorHAnsi" w:cs="Calibri"/>
          <w:bCs/>
          <w:sz w:val="20"/>
          <w:szCs w:val="20"/>
          <w:lang w:eastAsia="en-AU"/>
        </w:rPr>
        <w:t xml:space="preserve"> </w:t>
      </w:r>
      <w:r w:rsidR="0078390E" w:rsidRPr="00862494">
        <w:rPr>
          <w:rFonts w:asciiTheme="minorHAnsi" w:hAnsiTheme="minorHAnsi" w:cs="Calibri"/>
          <w:bCs/>
          <w:sz w:val="20"/>
          <w:szCs w:val="20"/>
          <w:lang w:eastAsia="en-AU"/>
        </w:rPr>
        <w:t xml:space="preserve">and abuse as well as institutional violence, chemical restraint, forced or coerced sterilisation, forced contraception, forced or coerced psychiatric interventions, medical exploitation, </w:t>
      </w:r>
      <w:r w:rsidR="00DB7610" w:rsidRPr="00862494">
        <w:rPr>
          <w:rFonts w:asciiTheme="minorHAnsi" w:hAnsiTheme="minorHAnsi"/>
          <w:sz w:val="20"/>
          <w:szCs w:val="20"/>
        </w:rPr>
        <w:t>withholding of or forced medication,</w:t>
      </w:r>
      <w:r w:rsidR="00DB7610" w:rsidRPr="00862494">
        <w:rPr>
          <w:rFonts w:asciiTheme="minorHAnsi" w:hAnsiTheme="minorHAnsi" w:cs="Calibri"/>
          <w:bCs/>
          <w:sz w:val="20"/>
          <w:szCs w:val="20"/>
          <w:lang w:eastAsia="en-AU"/>
        </w:rPr>
        <w:t xml:space="preserve"> </w:t>
      </w:r>
      <w:r w:rsidR="0078390E" w:rsidRPr="00862494">
        <w:rPr>
          <w:rFonts w:asciiTheme="minorHAnsi" w:hAnsiTheme="minorHAnsi" w:cs="Calibri"/>
          <w:bCs/>
          <w:sz w:val="20"/>
          <w:szCs w:val="20"/>
          <w:lang w:eastAsia="en-AU"/>
        </w:rPr>
        <w:t xml:space="preserve">violations of privacy, </w:t>
      </w:r>
      <w:r w:rsidR="00DB7610" w:rsidRPr="00862494">
        <w:rPr>
          <w:rFonts w:asciiTheme="minorHAnsi" w:hAnsiTheme="minorHAnsi" w:cs="Calibri"/>
          <w:bCs/>
          <w:sz w:val="20"/>
          <w:szCs w:val="20"/>
          <w:lang w:eastAsia="en-AU"/>
        </w:rPr>
        <w:t xml:space="preserve">forced isolation, </w:t>
      </w:r>
      <w:r w:rsidR="000D689C" w:rsidRPr="000D689C">
        <w:rPr>
          <w:rFonts w:asciiTheme="minorHAnsi" w:hAnsiTheme="minorHAnsi" w:cs="Calibri"/>
          <w:bCs/>
          <w:sz w:val="20"/>
          <w:szCs w:val="20"/>
          <w:lang w:eastAsia="en-AU"/>
        </w:rPr>
        <w:t>seclusion and restraint</w:t>
      </w:r>
      <w:r w:rsidR="000D689C">
        <w:rPr>
          <w:rFonts w:asciiTheme="minorHAnsi" w:hAnsiTheme="minorHAnsi" w:cs="Calibri"/>
          <w:bCs/>
          <w:sz w:val="20"/>
          <w:szCs w:val="20"/>
          <w:lang w:eastAsia="en-AU"/>
        </w:rPr>
        <w:t>,</w:t>
      </w:r>
      <w:r w:rsidR="000D689C" w:rsidRPr="000D689C">
        <w:rPr>
          <w:rFonts w:asciiTheme="minorHAnsi" w:hAnsiTheme="minorHAnsi" w:cs="Calibri"/>
          <w:bCs/>
          <w:sz w:val="20"/>
          <w:szCs w:val="20"/>
          <w:lang w:eastAsia="en-AU"/>
        </w:rPr>
        <w:t xml:space="preserve"> deprivation of liberty</w:t>
      </w:r>
      <w:r w:rsidR="000D689C">
        <w:rPr>
          <w:rFonts w:asciiTheme="minorHAnsi" w:hAnsiTheme="minorHAnsi" w:cs="Calibri"/>
          <w:bCs/>
          <w:sz w:val="20"/>
          <w:szCs w:val="20"/>
          <w:lang w:eastAsia="en-AU"/>
        </w:rPr>
        <w:t>,</w:t>
      </w:r>
      <w:r w:rsidR="000D689C" w:rsidRPr="000D689C">
        <w:rPr>
          <w:rFonts w:asciiTheme="minorHAnsi" w:hAnsiTheme="minorHAnsi" w:cs="Calibri"/>
          <w:bCs/>
          <w:sz w:val="20"/>
          <w:szCs w:val="20"/>
          <w:lang w:eastAsia="en-AU"/>
        </w:rPr>
        <w:t xml:space="preserve"> </w:t>
      </w:r>
      <w:r w:rsidR="00DB7610" w:rsidRPr="00862494">
        <w:rPr>
          <w:rFonts w:asciiTheme="minorHAnsi" w:hAnsiTheme="minorHAnsi"/>
          <w:sz w:val="20"/>
          <w:szCs w:val="20"/>
        </w:rPr>
        <w:t>denial of provision of essential care,</w:t>
      </w:r>
      <w:r w:rsidR="00DB7610" w:rsidRPr="00862494">
        <w:rPr>
          <w:rFonts w:asciiTheme="minorHAnsi" w:hAnsiTheme="minorHAnsi" w:cs="Calibri"/>
          <w:bCs/>
          <w:sz w:val="20"/>
          <w:szCs w:val="20"/>
          <w:lang w:eastAsia="en-AU"/>
        </w:rPr>
        <w:t xml:space="preserve"> </w:t>
      </w:r>
      <w:r w:rsidR="0078390E" w:rsidRPr="00862494">
        <w:rPr>
          <w:rFonts w:asciiTheme="minorHAnsi" w:hAnsiTheme="minorHAnsi" w:cs="Calibri"/>
          <w:bCs/>
          <w:sz w:val="20"/>
          <w:szCs w:val="20"/>
          <w:lang w:eastAsia="en-AU"/>
        </w:rPr>
        <w:t>humiliation, and harassment (WWDA 2010, WWDA 2004, Chenoweth 1997</w:t>
      </w:r>
      <w:r w:rsidRPr="00862494">
        <w:rPr>
          <w:rFonts w:asciiTheme="minorHAnsi" w:hAnsiTheme="minorHAnsi" w:cs="Calibri"/>
          <w:bCs/>
          <w:sz w:val="20"/>
          <w:szCs w:val="20"/>
          <w:lang w:eastAsia="en-AU"/>
        </w:rPr>
        <w:t xml:space="preserve">, </w:t>
      </w:r>
      <w:r w:rsidR="0093430E">
        <w:rPr>
          <w:rFonts w:asciiTheme="minorHAnsi" w:hAnsiTheme="minorHAnsi" w:cs="Calibri"/>
          <w:bCs/>
          <w:sz w:val="20"/>
          <w:szCs w:val="20"/>
          <w:lang w:eastAsia="en-AU"/>
        </w:rPr>
        <w:t>Dowse et al 2013</w:t>
      </w:r>
      <w:r w:rsidR="0078390E" w:rsidRPr="00862494">
        <w:rPr>
          <w:rFonts w:asciiTheme="minorHAnsi" w:hAnsiTheme="minorHAnsi" w:cs="Calibri"/>
          <w:bCs/>
          <w:sz w:val="20"/>
          <w:szCs w:val="20"/>
          <w:lang w:eastAsia="en-AU"/>
        </w:rPr>
        <w:t xml:space="preserve">). In addition to physical, </w:t>
      </w:r>
      <w:r w:rsidR="00DB7610" w:rsidRPr="00862494">
        <w:rPr>
          <w:rFonts w:asciiTheme="minorHAnsi" w:hAnsiTheme="minorHAnsi" w:cs="Calibri"/>
          <w:bCs/>
          <w:sz w:val="20"/>
          <w:szCs w:val="20"/>
          <w:lang w:eastAsia="en-AU"/>
        </w:rPr>
        <w:t>sexual, psychological, and economic violence and abuse</w:t>
      </w:r>
      <w:r w:rsidR="0078390E" w:rsidRPr="00862494">
        <w:rPr>
          <w:rFonts w:asciiTheme="minorHAnsi" w:hAnsiTheme="minorHAnsi" w:cs="Calibri"/>
          <w:bCs/>
          <w:sz w:val="20"/>
          <w:szCs w:val="20"/>
          <w:lang w:eastAsia="en-AU"/>
        </w:rPr>
        <w:t>, women and girls with disabilities also face unnecessary institutionalisation, denial of control over their bodies, lack of financial control, denial of social contact, employment and community participation</w:t>
      </w:r>
      <w:r w:rsidR="00DB7610" w:rsidRPr="00862494">
        <w:rPr>
          <w:rFonts w:asciiTheme="minorHAnsi" w:hAnsiTheme="minorHAnsi" w:cs="Calibri"/>
          <w:bCs/>
          <w:sz w:val="20"/>
          <w:szCs w:val="20"/>
          <w:lang w:eastAsia="en-AU"/>
        </w:rPr>
        <w:t xml:space="preserve">, and </w:t>
      </w:r>
      <w:r w:rsidR="00DB7610" w:rsidRPr="00862494">
        <w:rPr>
          <w:rFonts w:asciiTheme="minorHAnsi" w:hAnsiTheme="minorHAnsi"/>
          <w:sz w:val="20"/>
          <w:szCs w:val="20"/>
        </w:rPr>
        <w:t>denial of the right to decision-making</w:t>
      </w:r>
      <w:r w:rsidR="0078390E" w:rsidRPr="00862494">
        <w:rPr>
          <w:rFonts w:asciiTheme="minorHAnsi" w:hAnsiTheme="minorHAnsi" w:cs="Calibri"/>
          <w:bCs/>
          <w:sz w:val="20"/>
          <w:szCs w:val="20"/>
          <w:lang w:eastAsia="en-AU"/>
        </w:rPr>
        <w:t xml:space="preserve"> (INWWD 2011, WWDA 2010, </w:t>
      </w:r>
      <w:proofErr w:type="spellStart"/>
      <w:r w:rsidR="0078390E" w:rsidRPr="00862494">
        <w:rPr>
          <w:rFonts w:asciiTheme="minorHAnsi" w:hAnsiTheme="minorHAnsi" w:cs="Calibri"/>
          <w:bCs/>
          <w:sz w:val="20"/>
          <w:szCs w:val="20"/>
          <w:lang w:eastAsia="en-AU"/>
        </w:rPr>
        <w:t>Cattalini</w:t>
      </w:r>
      <w:proofErr w:type="spellEnd"/>
      <w:r w:rsidR="0078390E" w:rsidRPr="00862494">
        <w:rPr>
          <w:rFonts w:asciiTheme="minorHAnsi" w:hAnsiTheme="minorHAnsi" w:cs="Calibri"/>
          <w:bCs/>
          <w:sz w:val="20"/>
          <w:szCs w:val="20"/>
          <w:lang w:eastAsia="en-AU"/>
        </w:rPr>
        <w:t xml:space="preserve"> 1993).</w:t>
      </w:r>
      <w:r w:rsidR="002D4721" w:rsidRPr="00862494">
        <w:rPr>
          <w:rFonts w:asciiTheme="minorHAnsi" w:hAnsiTheme="minorHAnsi" w:cs="Calibri"/>
          <w:bCs/>
          <w:sz w:val="20"/>
          <w:szCs w:val="20"/>
          <w:lang w:eastAsia="en-AU"/>
        </w:rPr>
        <w:t xml:space="preserve"> </w:t>
      </w:r>
      <w:r w:rsidR="00715553">
        <w:rPr>
          <w:rFonts w:asciiTheme="minorHAnsi" w:hAnsiTheme="minorHAnsi" w:cs="Calibri"/>
          <w:bCs/>
          <w:sz w:val="20"/>
          <w:szCs w:val="20"/>
          <w:lang w:eastAsia="en-AU"/>
        </w:rPr>
        <w:t xml:space="preserve">Importantly, a human rights approach to preventing violence against women and girls with disabilities does not ‘exclude’ particular forms of violence experienced by them, although it does recognise those forms of violence </w:t>
      </w:r>
      <w:r w:rsidR="0093430E">
        <w:rPr>
          <w:rFonts w:asciiTheme="minorHAnsi" w:hAnsiTheme="minorHAnsi" w:cs="Calibri"/>
          <w:bCs/>
          <w:sz w:val="20"/>
          <w:szCs w:val="20"/>
          <w:lang w:eastAsia="en-AU"/>
        </w:rPr>
        <w:t>that</w:t>
      </w:r>
      <w:r w:rsidR="00715553">
        <w:rPr>
          <w:rFonts w:asciiTheme="minorHAnsi" w:hAnsiTheme="minorHAnsi" w:cs="Calibri"/>
          <w:bCs/>
          <w:sz w:val="20"/>
          <w:szCs w:val="20"/>
          <w:lang w:eastAsia="en-AU"/>
        </w:rPr>
        <w:t xml:space="preserve"> affect them disproportionately (such as forced sterilisation and forced abortion).  </w:t>
      </w:r>
    </w:p>
    <w:p w14:paraId="02388C87" w14:textId="77777777" w:rsidR="007F3191" w:rsidRDefault="007F3191" w:rsidP="002E7914">
      <w:pPr>
        <w:spacing w:after="0" w:line="240" w:lineRule="auto"/>
        <w:jc w:val="both"/>
        <w:rPr>
          <w:rFonts w:asciiTheme="minorHAnsi" w:hAnsiTheme="minorHAnsi" w:cs="Calibri"/>
          <w:bCs/>
          <w:sz w:val="20"/>
          <w:szCs w:val="20"/>
          <w:lang w:eastAsia="en-AU"/>
        </w:rPr>
      </w:pPr>
    </w:p>
    <w:p w14:paraId="35766426" w14:textId="306DE7DC" w:rsidR="006C39A0" w:rsidRDefault="006C39A0" w:rsidP="002E7914">
      <w:pPr>
        <w:spacing w:after="0" w:line="240" w:lineRule="auto"/>
        <w:jc w:val="both"/>
        <w:rPr>
          <w:rFonts w:asciiTheme="minorHAnsi" w:hAnsiTheme="minorHAnsi" w:cs="Calibri"/>
          <w:bCs/>
          <w:sz w:val="20"/>
          <w:szCs w:val="20"/>
          <w:lang w:eastAsia="en-AU"/>
        </w:rPr>
      </w:pPr>
      <w:r w:rsidRPr="006C39A0">
        <w:rPr>
          <w:rFonts w:asciiTheme="minorHAnsi" w:hAnsiTheme="minorHAnsi" w:cs="Calibri"/>
          <w:bCs/>
          <w:sz w:val="20"/>
          <w:szCs w:val="20"/>
          <w:lang w:eastAsia="en-AU"/>
        </w:rPr>
        <w:t>Understanding the vast array of ‘settings’ and ‘places’ in which women with disabilities reside and/or receive services, is a fundamental element in conceptualising gendered disability violence. For example, as well as those women and girls with disabilities in Australia who live in traditional domestic settings including private and family dwellings, large numbers of women with disabilities still reside in and receive support in a range of ‘institutional’ and/or ‘service’ settings, such as group homes, supported residential facilities, licenced and un-licenced boarding houses, psychiatric/mental health community care facilities, residential aged care facilities, hostels, hospitals, prisons, foster care, respite facilities, cluster housing, congregate care, special schools and out-of-home care services. Women and girls with disabilities who experience these types of settings are at particular and significant risk of violence, abuse, neglect and exploitation. Yet violence perpetrated against them in these settings remains outside the current legislative and policy frameworks and responses to preventing and addressing violence against women in Australia. Instead, such violence is typically detoxified through service setting responses that identify the violence as a workplace issue to be addressed</w:t>
      </w:r>
      <w:r w:rsidR="0093430E">
        <w:rPr>
          <w:rFonts w:asciiTheme="minorHAnsi" w:hAnsiTheme="minorHAnsi" w:cs="Calibri"/>
          <w:bCs/>
          <w:sz w:val="20"/>
          <w:szCs w:val="20"/>
          <w:lang w:eastAsia="en-AU"/>
        </w:rPr>
        <w:t xml:space="preserve"> (French et al 2010)</w:t>
      </w:r>
      <w:r w:rsidRPr="006C39A0">
        <w:rPr>
          <w:rFonts w:asciiTheme="minorHAnsi" w:hAnsiTheme="minorHAnsi" w:cs="Calibri"/>
          <w:bCs/>
          <w:sz w:val="20"/>
          <w:szCs w:val="20"/>
          <w:lang w:eastAsia="en-AU"/>
        </w:rPr>
        <w:t>,</w:t>
      </w:r>
      <w:r w:rsidRPr="006C39A0">
        <w:rPr>
          <w:rStyle w:val="FootnoteReference"/>
          <w:rFonts w:asciiTheme="minorHAnsi" w:hAnsiTheme="minorHAnsi"/>
          <w:sz w:val="20"/>
          <w:szCs w:val="20"/>
        </w:rPr>
        <w:t xml:space="preserve"> </w:t>
      </w:r>
      <w:r w:rsidRPr="006C39A0">
        <w:rPr>
          <w:rFonts w:asciiTheme="minorHAnsi" w:hAnsiTheme="minorHAnsi" w:cs="Calibri"/>
          <w:bCs/>
          <w:sz w:val="20"/>
          <w:szCs w:val="20"/>
          <w:lang w:eastAsia="en-AU"/>
        </w:rPr>
        <w:t>rather than a human rights violation and potential criminal act.</w:t>
      </w:r>
    </w:p>
    <w:p w14:paraId="19ECE92A" w14:textId="77777777" w:rsidR="006C39A0" w:rsidRDefault="006C39A0" w:rsidP="002E7914">
      <w:pPr>
        <w:spacing w:after="0" w:line="240" w:lineRule="auto"/>
        <w:jc w:val="both"/>
        <w:rPr>
          <w:rFonts w:asciiTheme="minorHAnsi" w:hAnsiTheme="minorHAnsi" w:cs="Calibri"/>
          <w:bCs/>
          <w:sz w:val="20"/>
          <w:szCs w:val="20"/>
          <w:lang w:eastAsia="en-AU"/>
        </w:rPr>
      </w:pPr>
    </w:p>
    <w:p w14:paraId="71D469C3" w14:textId="29805964" w:rsidR="00950E4C" w:rsidRDefault="0029346F" w:rsidP="000233D7">
      <w:pPr>
        <w:spacing w:after="0" w:line="240" w:lineRule="auto"/>
        <w:jc w:val="both"/>
        <w:rPr>
          <w:rFonts w:asciiTheme="minorHAnsi" w:hAnsiTheme="minorHAnsi" w:cs="Calibri"/>
          <w:bCs/>
          <w:sz w:val="20"/>
          <w:szCs w:val="20"/>
          <w:lang w:eastAsia="en-AU"/>
        </w:rPr>
      </w:pPr>
      <w:r w:rsidRPr="00227EB6">
        <w:rPr>
          <w:rFonts w:asciiTheme="minorHAnsi" w:hAnsiTheme="minorHAnsi"/>
          <w:sz w:val="20"/>
          <w:szCs w:val="20"/>
        </w:rPr>
        <w:t xml:space="preserve">For women </w:t>
      </w:r>
      <w:r w:rsidR="00227EB6" w:rsidRPr="00227EB6">
        <w:rPr>
          <w:rFonts w:asciiTheme="minorHAnsi" w:hAnsiTheme="minorHAnsi"/>
          <w:sz w:val="20"/>
          <w:szCs w:val="20"/>
        </w:rPr>
        <w:t xml:space="preserve">and girls </w:t>
      </w:r>
      <w:r w:rsidRPr="00227EB6">
        <w:rPr>
          <w:rFonts w:asciiTheme="minorHAnsi" w:hAnsiTheme="minorHAnsi"/>
          <w:sz w:val="20"/>
          <w:szCs w:val="20"/>
        </w:rPr>
        <w:t>with disabilit</w:t>
      </w:r>
      <w:r w:rsidR="00227EB6" w:rsidRPr="00227EB6">
        <w:rPr>
          <w:rFonts w:asciiTheme="minorHAnsi" w:hAnsiTheme="minorHAnsi"/>
          <w:sz w:val="20"/>
          <w:szCs w:val="20"/>
        </w:rPr>
        <w:t>ies</w:t>
      </w:r>
      <w:r w:rsidRPr="00227EB6">
        <w:rPr>
          <w:rFonts w:asciiTheme="minorHAnsi" w:hAnsiTheme="minorHAnsi"/>
          <w:sz w:val="20"/>
          <w:szCs w:val="20"/>
        </w:rPr>
        <w:t xml:space="preserve">, this means, in effect, that their experiences of violence are not properly recognised across the legal </w:t>
      </w:r>
      <w:r w:rsidR="00C501CA">
        <w:rPr>
          <w:rFonts w:asciiTheme="minorHAnsi" w:hAnsiTheme="minorHAnsi"/>
          <w:sz w:val="20"/>
          <w:szCs w:val="20"/>
        </w:rPr>
        <w:t xml:space="preserve">and service </w:t>
      </w:r>
      <w:r w:rsidRPr="00227EB6">
        <w:rPr>
          <w:rFonts w:asciiTheme="minorHAnsi" w:hAnsiTheme="minorHAnsi"/>
          <w:sz w:val="20"/>
          <w:szCs w:val="20"/>
        </w:rPr>
        <w:t>system</w:t>
      </w:r>
      <w:r w:rsidR="00C501CA">
        <w:rPr>
          <w:rFonts w:asciiTheme="minorHAnsi" w:hAnsiTheme="minorHAnsi"/>
          <w:sz w:val="20"/>
          <w:szCs w:val="20"/>
        </w:rPr>
        <w:t>s</w:t>
      </w:r>
      <w:r w:rsidRPr="00227EB6">
        <w:rPr>
          <w:rFonts w:asciiTheme="minorHAnsi" w:hAnsiTheme="minorHAnsi"/>
          <w:sz w:val="20"/>
          <w:szCs w:val="20"/>
        </w:rPr>
        <w:t>, they are given less protection than their counterparts who do not have disabilit</w:t>
      </w:r>
      <w:r w:rsidR="00227EB6" w:rsidRPr="00227EB6">
        <w:rPr>
          <w:rFonts w:asciiTheme="minorHAnsi" w:hAnsiTheme="minorHAnsi"/>
          <w:sz w:val="20"/>
          <w:szCs w:val="20"/>
        </w:rPr>
        <w:t>ies</w:t>
      </w:r>
      <w:r w:rsidRPr="00227EB6">
        <w:rPr>
          <w:rFonts w:asciiTheme="minorHAnsi" w:hAnsiTheme="minorHAnsi"/>
          <w:sz w:val="20"/>
          <w:szCs w:val="20"/>
        </w:rPr>
        <w:t>, and the likelihood of them benefiting from integrated and coordinated responses, including prevention, is compromised</w:t>
      </w:r>
      <w:r w:rsidR="00227EB6" w:rsidRPr="00227EB6">
        <w:rPr>
          <w:rFonts w:asciiTheme="minorHAnsi" w:hAnsiTheme="minorHAnsi"/>
          <w:sz w:val="20"/>
          <w:szCs w:val="20"/>
        </w:rPr>
        <w:t xml:space="preserve"> (</w:t>
      </w:r>
      <w:r w:rsidR="0093430E" w:rsidRPr="0093430E">
        <w:rPr>
          <w:rFonts w:asciiTheme="minorHAnsi" w:hAnsiTheme="minorHAnsi"/>
          <w:sz w:val="20"/>
          <w:szCs w:val="20"/>
        </w:rPr>
        <w:t xml:space="preserve">Frohmader &amp; </w:t>
      </w:r>
      <w:proofErr w:type="spellStart"/>
      <w:r w:rsidR="0093430E" w:rsidRPr="0093430E">
        <w:rPr>
          <w:rFonts w:asciiTheme="minorHAnsi" w:hAnsiTheme="minorHAnsi"/>
          <w:sz w:val="20"/>
          <w:szCs w:val="20"/>
        </w:rPr>
        <w:t>Cadwallader</w:t>
      </w:r>
      <w:proofErr w:type="spellEnd"/>
      <w:r w:rsidR="0093430E" w:rsidRPr="0093430E">
        <w:rPr>
          <w:rFonts w:asciiTheme="minorHAnsi" w:hAnsiTheme="minorHAnsi"/>
          <w:sz w:val="20"/>
          <w:szCs w:val="20"/>
        </w:rPr>
        <w:t xml:space="preserve"> 2014</w:t>
      </w:r>
      <w:r w:rsidR="00227EB6" w:rsidRPr="00227EB6">
        <w:rPr>
          <w:rFonts w:asciiTheme="minorHAnsi" w:hAnsiTheme="minorHAnsi"/>
          <w:sz w:val="20"/>
          <w:szCs w:val="20"/>
        </w:rPr>
        <w:t>)</w:t>
      </w:r>
      <w:r w:rsidRPr="00227EB6">
        <w:rPr>
          <w:rFonts w:asciiTheme="minorHAnsi" w:hAnsiTheme="minorHAnsi"/>
          <w:sz w:val="20"/>
          <w:szCs w:val="20"/>
        </w:rPr>
        <w:t>.</w:t>
      </w:r>
    </w:p>
    <w:p w14:paraId="58CE8076" w14:textId="5FEF0265" w:rsidR="00143980" w:rsidRPr="00143980" w:rsidRDefault="00143980" w:rsidP="00907FDF">
      <w:pPr>
        <w:pStyle w:val="Heading3"/>
        <w:rPr>
          <w:u w:val="single"/>
          <w:lang w:eastAsia="en-AU"/>
        </w:rPr>
      </w:pPr>
      <w:bookmarkStart w:id="6" w:name="_Toc410646567"/>
      <w:r w:rsidRPr="00143980">
        <w:rPr>
          <w:lang w:val="en-US" w:eastAsia="en-AU"/>
        </w:rPr>
        <w:t>3.2.1.</w:t>
      </w:r>
      <w:r w:rsidRPr="00143980">
        <w:rPr>
          <w:lang w:val="en-US" w:eastAsia="en-AU"/>
        </w:rPr>
        <w:tab/>
      </w:r>
      <w:r>
        <w:rPr>
          <w:lang w:val="en-US" w:eastAsia="en-AU"/>
        </w:rPr>
        <w:t xml:space="preserve">A human rights approach to conceptualising violence </w:t>
      </w:r>
      <w:r w:rsidRPr="00143980">
        <w:t>against women</w:t>
      </w:r>
      <w:bookmarkEnd w:id="6"/>
      <w:r w:rsidRPr="00143980">
        <w:t xml:space="preserve"> </w:t>
      </w:r>
    </w:p>
    <w:p w14:paraId="0ACB7BF4" w14:textId="2A8BBECF" w:rsidR="00143980" w:rsidRDefault="00285A83" w:rsidP="000233D7">
      <w:pPr>
        <w:spacing w:after="0" w:line="240" w:lineRule="auto"/>
        <w:jc w:val="both"/>
        <w:rPr>
          <w:rFonts w:asciiTheme="minorHAnsi" w:hAnsiTheme="minorHAnsi" w:cs="Calibri"/>
          <w:bCs/>
          <w:sz w:val="20"/>
          <w:szCs w:val="20"/>
          <w:lang w:eastAsia="en-AU"/>
        </w:rPr>
      </w:pPr>
      <w:r w:rsidRPr="002017E8">
        <w:rPr>
          <w:rFonts w:asciiTheme="minorHAnsi" w:hAnsiTheme="minorHAnsi" w:cs="Calibri"/>
          <w:bCs/>
          <w:sz w:val="20"/>
          <w:szCs w:val="20"/>
          <w:lang w:val="en-US" w:eastAsia="en-AU"/>
        </w:rPr>
        <w:t xml:space="preserve">Discrimination against women provides a breeding ground for tolerance </w:t>
      </w:r>
      <w:r>
        <w:rPr>
          <w:rFonts w:asciiTheme="minorHAnsi" w:hAnsiTheme="minorHAnsi" w:cs="Calibri"/>
          <w:bCs/>
          <w:sz w:val="20"/>
          <w:szCs w:val="20"/>
          <w:lang w:val="en-US" w:eastAsia="en-AU"/>
        </w:rPr>
        <w:t>of</w:t>
      </w:r>
      <w:r w:rsidRPr="002017E8">
        <w:rPr>
          <w:rFonts w:asciiTheme="minorHAnsi" w:hAnsiTheme="minorHAnsi" w:cs="Calibri"/>
          <w:bCs/>
          <w:sz w:val="20"/>
          <w:szCs w:val="20"/>
          <w:lang w:val="en-US" w:eastAsia="en-AU"/>
        </w:rPr>
        <w:t xml:space="preserve"> violence against </w:t>
      </w:r>
      <w:r>
        <w:rPr>
          <w:rFonts w:asciiTheme="minorHAnsi" w:hAnsiTheme="minorHAnsi" w:cs="Calibri"/>
          <w:bCs/>
          <w:sz w:val="20"/>
          <w:szCs w:val="20"/>
          <w:lang w:val="en-US" w:eastAsia="en-AU"/>
        </w:rPr>
        <w:t>them</w:t>
      </w:r>
      <w:r w:rsidRPr="002017E8">
        <w:rPr>
          <w:rFonts w:asciiTheme="minorHAnsi" w:hAnsiTheme="minorHAnsi" w:cs="Calibri"/>
          <w:bCs/>
          <w:sz w:val="20"/>
          <w:szCs w:val="20"/>
          <w:lang w:val="en-US" w:eastAsia="en-AU"/>
        </w:rPr>
        <w:t>.</w:t>
      </w:r>
      <w:r>
        <w:rPr>
          <w:rFonts w:asciiTheme="minorHAnsi" w:hAnsiTheme="minorHAnsi" w:cs="Calibri"/>
          <w:bCs/>
          <w:sz w:val="20"/>
          <w:szCs w:val="20"/>
          <w:lang w:val="en-US" w:eastAsia="en-AU"/>
        </w:rPr>
        <w:t xml:space="preserve"> </w:t>
      </w:r>
      <w:r>
        <w:rPr>
          <w:rFonts w:asciiTheme="minorHAnsi" w:hAnsiTheme="minorHAnsi" w:cs="Calibri"/>
          <w:bCs/>
          <w:sz w:val="20"/>
          <w:szCs w:val="20"/>
          <w:lang w:eastAsia="en-AU"/>
        </w:rPr>
        <w:t xml:space="preserve">A human rights approach to </w:t>
      </w:r>
      <w:r w:rsidRPr="000233D7">
        <w:rPr>
          <w:rFonts w:asciiTheme="minorHAnsi" w:hAnsiTheme="minorHAnsi" w:cs="Calibri"/>
          <w:bCs/>
          <w:sz w:val="20"/>
          <w:szCs w:val="20"/>
          <w:lang w:eastAsia="en-AU"/>
        </w:rPr>
        <w:t xml:space="preserve">conceptualising violence against women </w:t>
      </w:r>
      <w:r>
        <w:rPr>
          <w:rFonts w:asciiTheme="minorHAnsi" w:hAnsiTheme="minorHAnsi" w:cs="Calibri"/>
          <w:bCs/>
          <w:sz w:val="20"/>
          <w:szCs w:val="20"/>
          <w:lang w:eastAsia="en-AU"/>
        </w:rPr>
        <w:t>recognises that violence is a form of discrimination. ‘Discrimination’ in this context is understood as having multiple forms that combine to significantly heighten the risk of some women and girls to violence. Critically, this reflects an understanding that discrimination and violence against women is not just a matter of ‘inter-gender inequality’ between women and men, but also a matter of ‘intra-gender inequality’ among women (</w:t>
      </w:r>
      <w:proofErr w:type="spellStart"/>
      <w:r w:rsidRPr="00E35198">
        <w:rPr>
          <w:rFonts w:asciiTheme="minorHAnsi" w:hAnsiTheme="minorHAnsi" w:cs="Calibri"/>
          <w:bCs/>
          <w:sz w:val="20"/>
          <w:szCs w:val="20"/>
          <w:lang w:eastAsia="en-AU"/>
        </w:rPr>
        <w:t>Manjoo</w:t>
      </w:r>
      <w:proofErr w:type="spellEnd"/>
      <w:r>
        <w:rPr>
          <w:rFonts w:asciiTheme="minorHAnsi" w:hAnsiTheme="minorHAnsi" w:cs="Calibri"/>
          <w:bCs/>
          <w:sz w:val="20"/>
          <w:szCs w:val="20"/>
          <w:lang w:eastAsia="en-AU"/>
        </w:rPr>
        <w:t xml:space="preserve"> 2011). To date, conceptual understandings of the causes of violence against women have “</w:t>
      </w:r>
      <w:r w:rsidRPr="008A0C39">
        <w:rPr>
          <w:rFonts w:asciiTheme="minorHAnsi" w:hAnsiTheme="minorHAnsi" w:cs="Calibri"/>
          <w:bCs/>
          <w:sz w:val="20"/>
          <w:szCs w:val="20"/>
          <w:lang w:eastAsia="en-AU"/>
        </w:rPr>
        <w:t>failed to provide a comprehensive understanding of how various forms of discrimination, beyond a male/female gender binary, contextualize, exacerbate, and correlate to high levels of violence in given societies. The lack of an intersectional approach can lead to the reinforcing of one form of discrimination in attempts to alleviate another</w:t>
      </w:r>
      <w:r>
        <w:rPr>
          <w:rFonts w:asciiTheme="minorHAnsi" w:hAnsiTheme="minorHAnsi" w:cs="Calibri"/>
          <w:bCs/>
          <w:sz w:val="20"/>
          <w:szCs w:val="20"/>
          <w:lang w:eastAsia="en-AU"/>
        </w:rPr>
        <w:t>” (</w:t>
      </w:r>
      <w:proofErr w:type="spellStart"/>
      <w:r>
        <w:rPr>
          <w:rFonts w:asciiTheme="minorHAnsi" w:hAnsiTheme="minorHAnsi" w:cs="Calibri"/>
          <w:bCs/>
          <w:sz w:val="20"/>
          <w:szCs w:val="20"/>
          <w:lang w:eastAsia="en-AU"/>
        </w:rPr>
        <w:t>Manjoo</w:t>
      </w:r>
      <w:proofErr w:type="spellEnd"/>
      <w:r>
        <w:rPr>
          <w:rFonts w:asciiTheme="minorHAnsi" w:hAnsiTheme="minorHAnsi" w:cs="Calibri"/>
          <w:bCs/>
          <w:sz w:val="20"/>
          <w:szCs w:val="20"/>
          <w:lang w:eastAsia="en-AU"/>
        </w:rPr>
        <w:t xml:space="preserve"> 2011).</w:t>
      </w:r>
    </w:p>
    <w:p w14:paraId="1146885D" w14:textId="77777777" w:rsidR="00512C11" w:rsidRDefault="00512C11" w:rsidP="002017E8">
      <w:pPr>
        <w:spacing w:after="0" w:line="240" w:lineRule="auto"/>
        <w:jc w:val="both"/>
        <w:rPr>
          <w:rFonts w:asciiTheme="minorHAnsi" w:hAnsiTheme="minorHAnsi" w:cs="Calibri"/>
          <w:bCs/>
          <w:sz w:val="20"/>
          <w:szCs w:val="20"/>
          <w:lang w:val="en-US" w:eastAsia="en-AU"/>
        </w:rPr>
      </w:pPr>
    </w:p>
    <w:p w14:paraId="55688137" w14:textId="60EFF0D0" w:rsidR="008A0C39" w:rsidRDefault="00F00598" w:rsidP="008A0C39">
      <w:pPr>
        <w:spacing w:after="0" w:line="240" w:lineRule="auto"/>
        <w:jc w:val="both"/>
        <w:rPr>
          <w:rFonts w:asciiTheme="minorHAnsi" w:hAnsiTheme="minorHAnsi" w:cs="Calibri"/>
          <w:bCs/>
          <w:sz w:val="20"/>
          <w:szCs w:val="20"/>
          <w:lang w:eastAsia="en-AU"/>
        </w:rPr>
      </w:pPr>
      <w:r>
        <w:rPr>
          <w:rFonts w:asciiTheme="minorHAnsi" w:hAnsiTheme="minorHAnsi" w:cs="Calibri"/>
          <w:bCs/>
          <w:sz w:val="20"/>
          <w:szCs w:val="20"/>
          <w:lang w:eastAsia="en-AU"/>
        </w:rPr>
        <w:t xml:space="preserve">A human rights approach to </w:t>
      </w:r>
      <w:r w:rsidRPr="000233D7">
        <w:rPr>
          <w:rFonts w:asciiTheme="minorHAnsi" w:hAnsiTheme="minorHAnsi" w:cs="Calibri"/>
          <w:bCs/>
          <w:sz w:val="20"/>
          <w:szCs w:val="20"/>
          <w:lang w:eastAsia="en-AU"/>
        </w:rPr>
        <w:t>conceptualising violence against women</w:t>
      </w:r>
      <w:r w:rsidRPr="00F00598">
        <w:rPr>
          <w:rFonts w:asciiTheme="minorHAnsi" w:hAnsiTheme="minorHAnsi" w:cs="Calibri"/>
          <w:bCs/>
          <w:sz w:val="20"/>
          <w:szCs w:val="20"/>
          <w:lang w:val="en-US" w:eastAsia="en-AU"/>
        </w:rPr>
        <w:t xml:space="preserve"> underscores the interdependence and indivisibility of civil, political, economic, social and cultural rights</w:t>
      </w:r>
      <w:r w:rsidR="00E82A71">
        <w:rPr>
          <w:rFonts w:asciiTheme="minorHAnsi" w:hAnsiTheme="minorHAnsi" w:cs="Calibri"/>
          <w:bCs/>
          <w:sz w:val="20"/>
          <w:szCs w:val="20"/>
          <w:lang w:val="en-US" w:eastAsia="en-AU"/>
        </w:rPr>
        <w:t>. It</w:t>
      </w:r>
      <w:r w:rsidRPr="00F00598">
        <w:rPr>
          <w:rFonts w:asciiTheme="minorHAnsi" w:hAnsiTheme="minorHAnsi" w:cs="Calibri"/>
          <w:bCs/>
          <w:sz w:val="20"/>
          <w:szCs w:val="20"/>
          <w:lang w:val="en-US" w:eastAsia="en-AU"/>
        </w:rPr>
        <w:t xml:space="preserve"> situates violence against women on a continuum</w:t>
      </w:r>
      <w:r w:rsidR="00E82A71">
        <w:rPr>
          <w:rFonts w:asciiTheme="minorHAnsi" w:hAnsiTheme="minorHAnsi" w:cs="Calibri"/>
          <w:bCs/>
          <w:sz w:val="20"/>
          <w:szCs w:val="20"/>
          <w:lang w:val="en-US" w:eastAsia="en-AU"/>
        </w:rPr>
        <w:t xml:space="preserve"> </w:t>
      </w:r>
      <w:r w:rsidR="00815DBD" w:rsidRPr="00E82A71">
        <w:rPr>
          <w:rFonts w:asciiTheme="minorHAnsi" w:hAnsiTheme="minorHAnsi" w:cs="Calibri"/>
          <w:bCs/>
          <w:sz w:val="20"/>
          <w:szCs w:val="20"/>
          <w:lang w:val="en-US" w:eastAsia="en-AU"/>
        </w:rPr>
        <w:t xml:space="preserve">that spans interpersonal and structural violence; </w:t>
      </w:r>
      <w:r w:rsidR="00EF6882" w:rsidRPr="00F00598">
        <w:rPr>
          <w:rFonts w:asciiTheme="minorHAnsi" w:hAnsiTheme="minorHAnsi" w:cs="Calibri"/>
          <w:bCs/>
          <w:sz w:val="20"/>
          <w:szCs w:val="20"/>
          <w:lang w:val="en-US" w:eastAsia="en-AU"/>
        </w:rPr>
        <w:t>acknowledges the structural aspects and factors of discrimination, which includes structural and institutional inequalities;</w:t>
      </w:r>
      <w:r w:rsidR="00EF6882">
        <w:rPr>
          <w:rFonts w:asciiTheme="minorHAnsi" w:hAnsiTheme="minorHAnsi" w:cs="Calibri"/>
          <w:bCs/>
          <w:sz w:val="20"/>
          <w:szCs w:val="20"/>
          <w:lang w:val="en-US" w:eastAsia="en-AU"/>
        </w:rPr>
        <w:t xml:space="preserve"> and</w:t>
      </w:r>
      <w:r w:rsidR="00815DBD">
        <w:rPr>
          <w:rFonts w:asciiTheme="minorHAnsi" w:hAnsiTheme="minorHAnsi" w:cs="Calibri"/>
          <w:bCs/>
          <w:sz w:val="20"/>
          <w:szCs w:val="20"/>
          <w:lang w:val="en-US" w:eastAsia="en-AU"/>
        </w:rPr>
        <w:t xml:space="preserve"> </w:t>
      </w:r>
      <w:r w:rsidR="00815DBD" w:rsidRPr="00F00598">
        <w:rPr>
          <w:rFonts w:asciiTheme="minorHAnsi" w:hAnsiTheme="minorHAnsi" w:cs="Calibri"/>
          <w:bCs/>
          <w:sz w:val="20"/>
          <w:szCs w:val="20"/>
          <w:lang w:val="en-US" w:eastAsia="en-AU"/>
        </w:rPr>
        <w:t>analy</w:t>
      </w:r>
      <w:r w:rsidR="00D36E10">
        <w:rPr>
          <w:rFonts w:asciiTheme="minorHAnsi" w:hAnsiTheme="minorHAnsi" w:cs="Calibri"/>
          <w:bCs/>
          <w:sz w:val="20"/>
          <w:szCs w:val="20"/>
          <w:lang w:val="en-US" w:eastAsia="en-AU"/>
        </w:rPr>
        <w:t>s</w:t>
      </w:r>
      <w:r w:rsidR="00815DBD" w:rsidRPr="00F00598">
        <w:rPr>
          <w:rFonts w:asciiTheme="minorHAnsi" w:hAnsiTheme="minorHAnsi" w:cs="Calibri"/>
          <w:bCs/>
          <w:sz w:val="20"/>
          <w:szCs w:val="20"/>
          <w:lang w:val="en-US" w:eastAsia="en-AU"/>
        </w:rPr>
        <w:t>es social and/or economic hierarchies between women and men and also among women.</w:t>
      </w:r>
      <w:r w:rsidR="00EF6882">
        <w:rPr>
          <w:rFonts w:asciiTheme="minorHAnsi" w:hAnsiTheme="minorHAnsi" w:cs="Calibri"/>
          <w:bCs/>
          <w:sz w:val="20"/>
          <w:szCs w:val="20"/>
          <w:lang w:val="en-US" w:eastAsia="en-AU"/>
        </w:rPr>
        <w:t xml:space="preserve"> In so doing, i</w:t>
      </w:r>
      <w:r w:rsidR="00EF6882" w:rsidRPr="00F00598">
        <w:rPr>
          <w:rFonts w:asciiTheme="minorHAnsi" w:hAnsiTheme="minorHAnsi" w:cs="Calibri"/>
          <w:bCs/>
          <w:sz w:val="20"/>
          <w:szCs w:val="20"/>
          <w:lang w:val="en-US" w:eastAsia="en-AU"/>
        </w:rPr>
        <w:t>t explicitly interrogates the places where violence against women coincides with multiple and intersecting forms of discrimination and their attendant inequalities</w:t>
      </w:r>
      <w:r w:rsidR="00EF6882">
        <w:rPr>
          <w:rFonts w:asciiTheme="minorHAnsi" w:hAnsiTheme="minorHAnsi" w:cs="Calibri"/>
          <w:bCs/>
          <w:sz w:val="20"/>
          <w:szCs w:val="20"/>
          <w:lang w:val="en-US" w:eastAsia="en-AU"/>
        </w:rPr>
        <w:t xml:space="preserve"> </w:t>
      </w:r>
      <w:r w:rsidR="00EF6882">
        <w:rPr>
          <w:rFonts w:asciiTheme="minorHAnsi" w:hAnsiTheme="minorHAnsi" w:cs="Calibri"/>
          <w:bCs/>
          <w:sz w:val="20"/>
          <w:szCs w:val="20"/>
          <w:lang w:eastAsia="en-AU"/>
        </w:rPr>
        <w:t>(</w:t>
      </w:r>
      <w:proofErr w:type="spellStart"/>
      <w:r w:rsidR="00E35198">
        <w:rPr>
          <w:rFonts w:asciiTheme="minorHAnsi" w:hAnsiTheme="minorHAnsi" w:cs="Calibri"/>
          <w:bCs/>
          <w:sz w:val="20"/>
          <w:szCs w:val="20"/>
          <w:lang w:eastAsia="en-AU"/>
        </w:rPr>
        <w:t>Manjoo</w:t>
      </w:r>
      <w:proofErr w:type="spellEnd"/>
      <w:r w:rsidR="00E35198">
        <w:rPr>
          <w:rFonts w:asciiTheme="minorHAnsi" w:hAnsiTheme="minorHAnsi" w:cs="Calibri"/>
          <w:bCs/>
          <w:sz w:val="20"/>
          <w:szCs w:val="20"/>
          <w:lang w:eastAsia="en-AU"/>
        </w:rPr>
        <w:t xml:space="preserve"> 2011</w:t>
      </w:r>
      <w:r w:rsidR="00EF6882">
        <w:rPr>
          <w:rFonts w:asciiTheme="minorHAnsi" w:hAnsiTheme="minorHAnsi" w:cs="Calibri"/>
          <w:bCs/>
          <w:sz w:val="20"/>
          <w:szCs w:val="20"/>
          <w:lang w:eastAsia="en-AU"/>
        </w:rPr>
        <w:t>).</w:t>
      </w:r>
      <w:r w:rsidR="008A0C39">
        <w:rPr>
          <w:rFonts w:asciiTheme="minorHAnsi" w:hAnsiTheme="minorHAnsi" w:cs="Calibri"/>
          <w:bCs/>
          <w:sz w:val="20"/>
          <w:szCs w:val="20"/>
          <w:lang w:eastAsia="en-AU"/>
        </w:rPr>
        <w:t xml:space="preserve"> A human rights approach</w:t>
      </w:r>
      <w:r w:rsidR="008A0C39">
        <w:rPr>
          <w:rFonts w:asciiTheme="minorHAnsi" w:hAnsiTheme="minorHAnsi" w:cs="Calibri"/>
          <w:bCs/>
          <w:sz w:val="20"/>
          <w:szCs w:val="20"/>
          <w:lang w:val="en-US" w:eastAsia="en-AU"/>
        </w:rPr>
        <w:t xml:space="preserve"> therefore, </w:t>
      </w:r>
      <w:r w:rsidR="008A0C39">
        <w:rPr>
          <w:rFonts w:asciiTheme="minorHAnsi" w:hAnsiTheme="minorHAnsi" w:cs="Calibri"/>
          <w:bCs/>
          <w:sz w:val="20"/>
          <w:szCs w:val="20"/>
          <w:lang w:eastAsia="en-AU"/>
        </w:rPr>
        <w:t xml:space="preserve">specifically acknowledges that </w:t>
      </w:r>
      <w:r w:rsidR="008A0C39" w:rsidRPr="000233D7">
        <w:rPr>
          <w:rFonts w:asciiTheme="minorHAnsi" w:hAnsiTheme="minorHAnsi" w:cs="Calibri"/>
          <w:bCs/>
          <w:sz w:val="20"/>
          <w:szCs w:val="20"/>
          <w:lang w:eastAsia="en-AU"/>
        </w:rPr>
        <w:t>women and girls with disabilities</w:t>
      </w:r>
      <w:r w:rsidR="008A0C39">
        <w:rPr>
          <w:rFonts w:asciiTheme="minorHAnsi" w:hAnsiTheme="minorHAnsi" w:cs="Calibri"/>
          <w:bCs/>
          <w:sz w:val="20"/>
          <w:szCs w:val="20"/>
          <w:lang w:eastAsia="en-AU"/>
        </w:rPr>
        <w:t xml:space="preserve"> experience multiple and intersecting forms of discrimination and this is no different when they become victims of gender-based violence (Council of Europe 2013). These multiple and intersecting forms of discrimination cannot be ‘disconnected’ from each other when endeavouring to prevent and address violence against </w:t>
      </w:r>
      <w:r w:rsidR="008A0C39" w:rsidRPr="000233D7">
        <w:rPr>
          <w:rFonts w:asciiTheme="minorHAnsi" w:hAnsiTheme="minorHAnsi" w:cs="Calibri"/>
          <w:bCs/>
          <w:sz w:val="20"/>
          <w:szCs w:val="20"/>
          <w:lang w:eastAsia="en-AU"/>
        </w:rPr>
        <w:t>women and girls with disabilities</w:t>
      </w:r>
      <w:r w:rsidR="008A0C39">
        <w:rPr>
          <w:rFonts w:asciiTheme="minorHAnsi" w:hAnsiTheme="minorHAnsi" w:cs="Calibri"/>
          <w:bCs/>
          <w:sz w:val="20"/>
          <w:szCs w:val="20"/>
          <w:lang w:eastAsia="en-AU"/>
        </w:rPr>
        <w:t xml:space="preserve">. </w:t>
      </w:r>
    </w:p>
    <w:p w14:paraId="6A492B54" w14:textId="77777777" w:rsidR="00285A83" w:rsidRDefault="00285A83" w:rsidP="002017E8">
      <w:pPr>
        <w:spacing w:after="0" w:line="240" w:lineRule="auto"/>
        <w:jc w:val="both"/>
        <w:rPr>
          <w:rFonts w:asciiTheme="minorHAnsi" w:hAnsiTheme="minorHAnsi" w:cs="Calibri"/>
          <w:bCs/>
          <w:sz w:val="20"/>
          <w:szCs w:val="20"/>
          <w:lang w:val="en-US" w:eastAsia="en-AU"/>
        </w:rPr>
      </w:pPr>
    </w:p>
    <w:p w14:paraId="3F464353" w14:textId="0591AD5C" w:rsidR="00285A83" w:rsidRPr="009D6F4B" w:rsidRDefault="00285A83" w:rsidP="00285A83">
      <w:pPr>
        <w:spacing w:after="0" w:line="240" w:lineRule="auto"/>
        <w:jc w:val="both"/>
        <w:rPr>
          <w:rFonts w:asciiTheme="minorHAnsi" w:hAnsiTheme="minorHAnsi"/>
          <w:sz w:val="20"/>
          <w:szCs w:val="20"/>
        </w:rPr>
      </w:pPr>
      <w:r w:rsidRPr="009D6F4B">
        <w:rPr>
          <w:rFonts w:asciiTheme="minorHAnsi" w:hAnsiTheme="minorHAnsi" w:cs="Calibri"/>
          <w:bCs/>
          <w:sz w:val="20"/>
          <w:szCs w:val="20"/>
          <w:lang w:eastAsia="en-AU"/>
        </w:rPr>
        <w:lastRenderedPageBreak/>
        <w:t xml:space="preserve">Embedding a human rights perspective into conceptualising violence against women and girls with disabilities is </w:t>
      </w:r>
      <w:r>
        <w:rPr>
          <w:rFonts w:asciiTheme="minorHAnsi" w:hAnsiTheme="minorHAnsi" w:cs="Calibri"/>
          <w:bCs/>
          <w:sz w:val="20"/>
          <w:szCs w:val="20"/>
          <w:lang w:eastAsia="en-AU"/>
        </w:rPr>
        <w:t xml:space="preserve">therefore </w:t>
      </w:r>
      <w:r w:rsidRPr="009D6F4B">
        <w:rPr>
          <w:rFonts w:asciiTheme="minorHAnsi" w:hAnsiTheme="minorHAnsi" w:cs="Calibri"/>
          <w:bCs/>
          <w:sz w:val="20"/>
          <w:szCs w:val="20"/>
          <w:lang w:eastAsia="en-AU"/>
        </w:rPr>
        <w:t xml:space="preserve">critical in any and all efforts to preventing and addressing such violence. This requires broadening the current way of thinking about how we frame what violence against women encompasses. It also requires understanding that gender-based violence is not only violence directed against a woman because she is a woman, but is also violence </w:t>
      </w:r>
      <w:r w:rsidRPr="009D6F4B">
        <w:rPr>
          <w:rFonts w:asciiTheme="minorHAnsi" w:hAnsiTheme="minorHAnsi" w:cs="Calibri"/>
          <w:bCs/>
          <w:sz w:val="20"/>
          <w:szCs w:val="20"/>
          <w:u w:val="single"/>
          <w:lang w:eastAsia="en-AU"/>
        </w:rPr>
        <w:t>that affects women</w:t>
      </w:r>
      <w:r>
        <w:rPr>
          <w:rFonts w:asciiTheme="minorHAnsi" w:hAnsiTheme="minorHAnsi" w:cs="Calibri"/>
          <w:bCs/>
          <w:sz w:val="20"/>
          <w:szCs w:val="20"/>
          <w:u w:val="single"/>
          <w:lang w:eastAsia="en-AU"/>
        </w:rPr>
        <w:t>, including ‘sub-groups’ of women,</w:t>
      </w:r>
      <w:r w:rsidRPr="009D6F4B">
        <w:rPr>
          <w:rFonts w:asciiTheme="minorHAnsi" w:hAnsiTheme="minorHAnsi" w:cs="Calibri"/>
          <w:bCs/>
          <w:sz w:val="20"/>
          <w:szCs w:val="20"/>
          <w:u w:val="single"/>
          <w:lang w:eastAsia="en-AU"/>
        </w:rPr>
        <w:t xml:space="preserve"> disproportionately</w:t>
      </w:r>
      <w:r w:rsidRPr="00E343CB">
        <w:rPr>
          <w:rFonts w:asciiTheme="minorHAnsi" w:hAnsiTheme="minorHAnsi" w:cs="Calibri"/>
          <w:bCs/>
          <w:sz w:val="20"/>
          <w:szCs w:val="20"/>
          <w:lang w:eastAsia="en-AU"/>
        </w:rPr>
        <w:t xml:space="preserve"> (Council of Europe 2013).</w:t>
      </w:r>
      <w:r w:rsidRPr="009D6F4B">
        <w:rPr>
          <w:rFonts w:asciiTheme="minorHAnsi" w:hAnsiTheme="minorHAnsi" w:cs="Calibri"/>
          <w:bCs/>
          <w:sz w:val="20"/>
          <w:szCs w:val="20"/>
          <w:lang w:eastAsia="en-AU"/>
        </w:rPr>
        <w:t xml:space="preserve"> Embedding a human rights perspective into conceptualising violence against women and girls with disabilities means recognising that women and girls with disabilities </w:t>
      </w:r>
      <w:r>
        <w:rPr>
          <w:rFonts w:asciiTheme="minorHAnsi" w:hAnsiTheme="minorHAnsi" w:cs="Calibri"/>
          <w:bCs/>
          <w:sz w:val="20"/>
          <w:szCs w:val="20"/>
          <w:lang w:eastAsia="en-AU"/>
        </w:rPr>
        <w:t xml:space="preserve">experience, and </w:t>
      </w:r>
      <w:r w:rsidRPr="009D6F4B">
        <w:rPr>
          <w:rFonts w:asciiTheme="minorHAnsi" w:hAnsiTheme="minorHAnsi"/>
          <w:sz w:val="20"/>
          <w:szCs w:val="20"/>
          <w:lang w:val="en-US"/>
        </w:rPr>
        <w:t>are at greater risk of experiencing violence, injury, abuse, neglect or negligent treatment, maltreatment or exploitation. It means recognising that, irrespective of a disabled woman’s</w:t>
      </w:r>
      <w:r w:rsidRPr="009D6F4B">
        <w:rPr>
          <w:rFonts w:asciiTheme="minorHAnsi" w:hAnsiTheme="minorHAnsi" w:cs="Calibri"/>
          <w:bCs/>
          <w:sz w:val="20"/>
          <w:szCs w:val="20"/>
          <w:lang w:eastAsia="en-AU"/>
        </w:rPr>
        <w:t xml:space="preserve"> place of residence, or setting in which they live, occupy or experience, they experience and are at greater risk of violence directed against them </w:t>
      </w:r>
      <w:r w:rsidRPr="009D6F4B">
        <w:rPr>
          <w:rFonts w:asciiTheme="minorHAnsi" w:hAnsiTheme="minorHAnsi" w:cs="Calibri"/>
          <w:bCs/>
          <w:sz w:val="20"/>
          <w:szCs w:val="20"/>
          <w:u w:val="single"/>
          <w:lang w:eastAsia="en-AU"/>
        </w:rPr>
        <w:t>because they are women</w:t>
      </w:r>
      <w:r w:rsidRPr="009D6F4B">
        <w:rPr>
          <w:rFonts w:asciiTheme="minorHAnsi" w:hAnsiTheme="minorHAnsi" w:cs="Calibri"/>
          <w:bCs/>
          <w:sz w:val="20"/>
          <w:szCs w:val="20"/>
          <w:lang w:eastAsia="en-AU"/>
        </w:rPr>
        <w:t xml:space="preserve">, and also experience and are at greater risk of forms of violence </w:t>
      </w:r>
      <w:r w:rsidRPr="009D6F4B">
        <w:rPr>
          <w:rFonts w:asciiTheme="minorHAnsi" w:hAnsiTheme="minorHAnsi" w:cs="Calibri"/>
          <w:bCs/>
          <w:sz w:val="20"/>
          <w:szCs w:val="20"/>
          <w:u w:val="single"/>
          <w:lang w:eastAsia="en-AU"/>
        </w:rPr>
        <w:t>that affect them disproportionately</w:t>
      </w:r>
      <w:r w:rsidRPr="009D6F4B">
        <w:rPr>
          <w:rFonts w:asciiTheme="minorHAnsi" w:hAnsiTheme="minorHAnsi" w:cs="Calibri"/>
          <w:bCs/>
          <w:sz w:val="20"/>
          <w:szCs w:val="20"/>
          <w:lang w:eastAsia="en-AU"/>
        </w:rPr>
        <w:t>.</w:t>
      </w:r>
      <w:r>
        <w:rPr>
          <w:rFonts w:asciiTheme="minorHAnsi" w:hAnsiTheme="minorHAnsi" w:cs="Calibri"/>
          <w:bCs/>
          <w:sz w:val="20"/>
          <w:szCs w:val="20"/>
          <w:lang w:eastAsia="en-AU"/>
        </w:rPr>
        <w:t xml:space="preserve"> </w:t>
      </w:r>
    </w:p>
    <w:p w14:paraId="14101427" w14:textId="77777777" w:rsidR="00285A83" w:rsidRDefault="00285A83" w:rsidP="002017E8">
      <w:pPr>
        <w:spacing w:after="0" w:line="240" w:lineRule="auto"/>
        <w:jc w:val="both"/>
        <w:rPr>
          <w:rFonts w:asciiTheme="minorHAnsi" w:hAnsiTheme="minorHAnsi" w:cs="Calibri"/>
          <w:bCs/>
          <w:sz w:val="20"/>
          <w:szCs w:val="20"/>
          <w:lang w:val="en-US" w:eastAsia="en-AU"/>
        </w:rPr>
      </w:pPr>
    </w:p>
    <w:p w14:paraId="117EDF0F" w14:textId="58AD1F4D" w:rsidR="001B01AD" w:rsidRDefault="00715553" w:rsidP="001B01AD">
      <w:pPr>
        <w:spacing w:after="0" w:line="240" w:lineRule="auto"/>
        <w:jc w:val="both"/>
        <w:rPr>
          <w:sz w:val="20"/>
          <w:szCs w:val="20"/>
        </w:rPr>
      </w:pPr>
      <w:r>
        <w:rPr>
          <w:rFonts w:asciiTheme="minorHAnsi" w:hAnsiTheme="minorHAnsi" w:cs="Calibri"/>
          <w:bCs/>
          <w:sz w:val="20"/>
          <w:szCs w:val="20"/>
          <w:lang w:eastAsia="en-AU"/>
        </w:rPr>
        <w:t>Therefore, b</w:t>
      </w:r>
      <w:r w:rsidR="001B01AD">
        <w:rPr>
          <w:rFonts w:asciiTheme="minorHAnsi" w:hAnsiTheme="minorHAnsi" w:cs="Calibri"/>
          <w:bCs/>
          <w:sz w:val="20"/>
          <w:szCs w:val="20"/>
          <w:lang w:eastAsia="en-AU"/>
        </w:rPr>
        <w:t xml:space="preserve">efore we can ‘prevent’ and or ‘address’ violence </w:t>
      </w:r>
      <w:r w:rsidR="001B01AD" w:rsidRPr="00227EB6">
        <w:rPr>
          <w:rFonts w:asciiTheme="minorHAnsi" w:hAnsiTheme="minorHAnsi" w:cs="Calibri"/>
          <w:bCs/>
          <w:sz w:val="20"/>
          <w:szCs w:val="20"/>
          <w:lang w:eastAsia="en-AU"/>
        </w:rPr>
        <w:t>against women and girls with disabilities</w:t>
      </w:r>
      <w:r w:rsidR="001B01AD">
        <w:rPr>
          <w:rFonts w:asciiTheme="minorHAnsi" w:hAnsiTheme="minorHAnsi" w:cs="Calibri"/>
          <w:bCs/>
          <w:sz w:val="20"/>
          <w:szCs w:val="20"/>
          <w:lang w:eastAsia="en-AU"/>
        </w:rPr>
        <w:t xml:space="preserve">, we must be clear about what it is. Violence </w:t>
      </w:r>
      <w:r w:rsidR="001B01AD" w:rsidRPr="00227EB6">
        <w:rPr>
          <w:rFonts w:asciiTheme="minorHAnsi" w:hAnsiTheme="minorHAnsi" w:cs="Calibri"/>
          <w:bCs/>
          <w:sz w:val="20"/>
          <w:szCs w:val="20"/>
          <w:lang w:eastAsia="en-AU"/>
        </w:rPr>
        <w:t>against women and girls with disabilities</w:t>
      </w:r>
      <w:r w:rsidR="001B01AD">
        <w:rPr>
          <w:rFonts w:asciiTheme="minorHAnsi" w:hAnsiTheme="minorHAnsi" w:cs="Calibri"/>
          <w:bCs/>
          <w:sz w:val="20"/>
          <w:szCs w:val="20"/>
          <w:lang w:eastAsia="en-AU"/>
        </w:rPr>
        <w:t xml:space="preserve"> is:</w:t>
      </w:r>
    </w:p>
    <w:p w14:paraId="28B8BD91" w14:textId="77777777" w:rsidR="00DB7610" w:rsidRPr="00EF6475" w:rsidRDefault="00DB7610" w:rsidP="00EF6475">
      <w:pPr>
        <w:spacing w:after="0" w:line="240" w:lineRule="auto"/>
        <w:jc w:val="both"/>
        <w:rPr>
          <w:rFonts w:asciiTheme="minorHAnsi" w:hAnsiTheme="minorHAnsi" w:cs="Calibri"/>
          <w:bCs/>
          <w:sz w:val="20"/>
          <w:szCs w:val="20"/>
          <w:lang w:eastAsia="en-AU"/>
        </w:rPr>
      </w:pPr>
    </w:p>
    <w:p w14:paraId="124EF989" w14:textId="77777777" w:rsidR="002E7914" w:rsidRPr="00EF6475" w:rsidRDefault="002E7914" w:rsidP="00EF6475">
      <w:pPr>
        <w:pStyle w:val="ListParagraph"/>
        <w:numPr>
          <w:ilvl w:val="0"/>
          <w:numId w:val="3"/>
        </w:numPr>
        <w:jc w:val="both"/>
        <w:rPr>
          <w:sz w:val="20"/>
          <w:szCs w:val="20"/>
          <w:lang w:val="en-US"/>
        </w:rPr>
      </w:pPr>
      <w:r w:rsidRPr="00EF6475">
        <w:rPr>
          <w:sz w:val="20"/>
          <w:szCs w:val="20"/>
        </w:rPr>
        <w:t xml:space="preserve">a </w:t>
      </w:r>
      <w:r w:rsidRPr="00EF6475">
        <w:rPr>
          <w:sz w:val="20"/>
          <w:szCs w:val="20"/>
          <w:lang w:val="en-US"/>
        </w:rPr>
        <w:t xml:space="preserve">gross </w:t>
      </w:r>
      <w:r w:rsidRPr="00EF6475">
        <w:rPr>
          <w:sz w:val="20"/>
          <w:szCs w:val="20"/>
        </w:rPr>
        <w:t>violation of human rights</w:t>
      </w:r>
      <w:r w:rsidRPr="00EF6475">
        <w:rPr>
          <w:sz w:val="20"/>
          <w:szCs w:val="20"/>
          <w:lang w:val="en-US"/>
        </w:rPr>
        <w:t xml:space="preserve">; </w:t>
      </w:r>
    </w:p>
    <w:p w14:paraId="2122E721" w14:textId="77777777" w:rsidR="00EF6475" w:rsidRPr="00EF6475" w:rsidRDefault="00EF6475" w:rsidP="00EF6475">
      <w:pPr>
        <w:spacing w:after="0" w:line="240" w:lineRule="auto"/>
        <w:jc w:val="both"/>
        <w:rPr>
          <w:rFonts w:asciiTheme="minorHAnsi" w:hAnsiTheme="minorHAnsi"/>
          <w:sz w:val="20"/>
          <w:szCs w:val="20"/>
          <w:lang w:val="en-US"/>
        </w:rPr>
      </w:pPr>
    </w:p>
    <w:p w14:paraId="5951179A" w14:textId="77777777" w:rsidR="002E7914" w:rsidRPr="00EF6475" w:rsidRDefault="002E7914" w:rsidP="00EF6475">
      <w:pPr>
        <w:pStyle w:val="ListParagraph"/>
        <w:numPr>
          <w:ilvl w:val="0"/>
          <w:numId w:val="3"/>
        </w:numPr>
        <w:jc w:val="both"/>
        <w:rPr>
          <w:sz w:val="20"/>
          <w:szCs w:val="20"/>
          <w:lang w:val="en-US"/>
        </w:rPr>
      </w:pPr>
      <w:r w:rsidRPr="00EF6475">
        <w:rPr>
          <w:sz w:val="20"/>
          <w:szCs w:val="20"/>
        </w:rPr>
        <w:t xml:space="preserve">a form of </w:t>
      </w:r>
      <w:r w:rsidRPr="00EF6475">
        <w:rPr>
          <w:sz w:val="20"/>
          <w:szCs w:val="20"/>
          <w:lang w:val="en-US"/>
        </w:rPr>
        <w:t xml:space="preserve">disability </w:t>
      </w:r>
      <w:r w:rsidRPr="00EF6475">
        <w:rPr>
          <w:sz w:val="20"/>
          <w:szCs w:val="20"/>
        </w:rPr>
        <w:t>discrimination</w:t>
      </w:r>
      <w:r w:rsidRPr="00EF6475">
        <w:rPr>
          <w:sz w:val="20"/>
          <w:szCs w:val="20"/>
          <w:lang w:val="en-US"/>
        </w:rPr>
        <w:t>, and a form of gender-based discrimination;</w:t>
      </w:r>
    </w:p>
    <w:p w14:paraId="17034FAE" w14:textId="77777777" w:rsidR="002E7914" w:rsidRPr="00EF6475" w:rsidRDefault="002E7914" w:rsidP="00EF6475">
      <w:pPr>
        <w:spacing w:after="0" w:line="240" w:lineRule="auto"/>
        <w:jc w:val="both"/>
        <w:rPr>
          <w:rFonts w:asciiTheme="minorHAnsi" w:hAnsiTheme="minorHAnsi"/>
          <w:sz w:val="20"/>
          <w:szCs w:val="20"/>
          <w:lang w:val="en-US"/>
        </w:rPr>
      </w:pPr>
    </w:p>
    <w:p w14:paraId="2E92FCE0" w14:textId="11E38572" w:rsidR="00E327A8" w:rsidRDefault="00980C22" w:rsidP="00E327A8">
      <w:pPr>
        <w:pStyle w:val="ListParagraph"/>
        <w:numPr>
          <w:ilvl w:val="0"/>
          <w:numId w:val="3"/>
        </w:numPr>
        <w:ind w:left="714" w:hanging="357"/>
        <w:jc w:val="both"/>
        <w:rPr>
          <w:sz w:val="20"/>
          <w:szCs w:val="20"/>
          <w:lang w:val="en-US"/>
        </w:rPr>
      </w:pPr>
      <w:proofErr w:type="gramStart"/>
      <w:r w:rsidRPr="004C54EF">
        <w:rPr>
          <w:sz w:val="20"/>
          <w:szCs w:val="20"/>
          <w:lang w:val="en-US"/>
        </w:rPr>
        <w:t>gendered</w:t>
      </w:r>
      <w:proofErr w:type="gramEnd"/>
      <w:r w:rsidRPr="004C54EF">
        <w:rPr>
          <w:sz w:val="20"/>
          <w:szCs w:val="20"/>
          <w:lang w:val="en-US"/>
        </w:rPr>
        <w:t xml:space="preserve"> disability </w:t>
      </w:r>
      <w:r w:rsidR="00EF6475" w:rsidRPr="004C54EF">
        <w:rPr>
          <w:sz w:val="20"/>
          <w:szCs w:val="20"/>
          <w:lang w:val="en-US"/>
        </w:rPr>
        <w:t>violence</w:t>
      </w:r>
      <w:r w:rsidRPr="004C54EF">
        <w:rPr>
          <w:sz w:val="20"/>
          <w:szCs w:val="20"/>
          <w:lang w:val="en-US"/>
        </w:rPr>
        <w:t>, which</w:t>
      </w:r>
      <w:r w:rsidR="00EF6475" w:rsidRPr="004C54EF">
        <w:rPr>
          <w:sz w:val="20"/>
          <w:szCs w:val="20"/>
          <w:lang w:val="en-US"/>
        </w:rPr>
        <w:t xml:space="preserve"> </w:t>
      </w:r>
      <w:r w:rsidRPr="004C54EF">
        <w:rPr>
          <w:sz w:val="20"/>
          <w:szCs w:val="20"/>
          <w:lang w:val="en-US"/>
        </w:rPr>
        <w:t>is violence directed against a woman</w:t>
      </w:r>
      <w:r w:rsidR="00EF6475" w:rsidRPr="004C54EF">
        <w:rPr>
          <w:sz w:val="20"/>
          <w:szCs w:val="20"/>
          <w:lang w:val="en-US"/>
        </w:rPr>
        <w:t xml:space="preserve"> because she is a woman</w:t>
      </w:r>
      <w:r w:rsidRPr="004C54EF">
        <w:rPr>
          <w:sz w:val="20"/>
          <w:szCs w:val="20"/>
          <w:lang w:val="en-US"/>
        </w:rPr>
        <w:t xml:space="preserve"> and which is shaped by the disability context. This violence </w:t>
      </w:r>
      <w:r w:rsidR="00EF6475" w:rsidRPr="004C54EF">
        <w:rPr>
          <w:sz w:val="20"/>
          <w:szCs w:val="20"/>
          <w:lang w:val="en-US"/>
        </w:rPr>
        <w:t>affects women with disabilities disproportionately</w:t>
      </w:r>
      <w:r w:rsidR="00466BE7" w:rsidRPr="004C54EF">
        <w:rPr>
          <w:sz w:val="20"/>
          <w:szCs w:val="20"/>
          <w:lang w:val="en-US"/>
        </w:rPr>
        <w:t xml:space="preserve"> as</w:t>
      </w:r>
      <w:r w:rsidRPr="004C54EF">
        <w:rPr>
          <w:sz w:val="20"/>
          <w:szCs w:val="20"/>
          <w:lang w:val="en-US"/>
        </w:rPr>
        <w:t xml:space="preserve"> individuals and as a group</w:t>
      </w:r>
      <w:r w:rsidR="00EF6475" w:rsidRPr="004C54EF">
        <w:rPr>
          <w:sz w:val="20"/>
          <w:szCs w:val="20"/>
          <w:lang w:val="en-US"/>
        </w:rPr>
        <w:t>;</w:t>
      </w:r>
      <w:r w:rsidR="00C16801" w:rsidRPr="004C54EF">
        <w:rPr>
          <w:sz w:val="20"/>
          <w:szCs w:val="20"/>
          <w:lang w:val="en-US"/>
        </w:rPr>
        <w:t xml:space="preserve"> </w:t>
      </w:r>
    </w:p>
    <w:p w14:paraId="608319D0" w14:textId="77777777" w:rsidR="00E327A8" w:rsidRPr="00E327A8" w:rsidRDefault="00E327A8" w:rsidP="00E327A8">
      <w:pPr>
        <w:spacing w:after="0" w:line="240" w:lineRule="auto"/>
        <w:jc w:val="both"/>
        <w:rPr>
          <w:sz w:val="20"/>
          <w:szCs w:val="20"/>
          <w:lang w:val="en-US"/>
        </w:rPr>
      </w:pPr>
    </w:p>
    <w:p w14:paraId="135F8672" w14:textId="77777777" w:rsidR="00E327A8" w:rsidRPr="00EF6475" w:rsidRDefault="00E327A8" w:rsidP="00E327A8">
      <w:pPr>
        <w:pStyle w:val="ListParagraph"/>
        <w:numPr>
          <w:ilvl w:val="0"/>
          <w:numId w:val="3"/>
        </w:numPr>
        <w:jc w:val="both"/>
        <w:rPr>
          <w:sz w:val="20"/>
          <w:szCs w:val="20"/>
        </w:rPr>
      </w:pPr>
      <w:r w:rsidRPr="00EF6475">
        <w:rPr>
          <w:rFonts w:cs="Calibri"/>
          <w:bCs/>
          <w:sz w:val="20"/>
          <w:szCs w:val="20"/>
          <w:lang w:eastAsia="en-AU"/>
        </w:rPr>
        <w:t>all acts of gender‐based violence that result in, or are likely to result in, physical, sexual, psychological or economic harm or suffering to women, including threats of such acts, coercion or arbitrary deprivation of liberty, whether occurring in public or in private life;</w:t>
      </w:r>
    </w:p>
    <w:p w14:paraId="73BBDF9C" w14:textId="77777777" w:rsidR="002E7914" w:rsidRPr="00EF6475" w:rsidRDefault="002E7914" w:rsidP="00EF6475">
      <w:pPr>
        <w:spacing w:after="0" w:line="240" w:lineRule="auto"/>
        <w:jc w:val="both"/>
        <w:rPr>
          <w:rFonts w:asciiTheme="minorHAnsi" w:hAnsiTheme="minorHAnsi"/>
          <w:sz w:val="20"/>
          <w:szCs w:val="20"/>
        </w:rPr>
      </w:pPr>
    </w:p>
    <w:p w14:paraId="7C0ACE91" w14:textId="5BC856D9" w:rsidR="00F72273" w:rsidRPr="00EF6475" w:rsidRDefault="00F72273" w:rsidP="00EF6475">
      <w:pPr>
        <w:pStyle w:val="ListParagraph"/>
        <w:numPr>
          <w:ilvl w:val="0"/>
          <w:numId w:val="3"/>
        </w:numPr>
        <w:jc w:val="both"/>
        <w:rPr>
          <w:rFonts w:cs="Calibri"/>
          <w:bCs/>
          <w:sz w:val="20"/>
          <w:szCs w:val="20"/>
          <w:lang w:eastAsia="en-AU"/>
        </w:rPr>
      </w:pPr>
      <w:r w:rsidRPr="00EF6475">
        <w:rPr>
          <w:rFonts w:cs="Calibri"/>
          <w:bCs/>
          <w:sz w:val="20"/>
          <w:szCs w:val="20"/>
          <w:lang w:eastAsia="en-AU"/>
        </w:rPr>
        <w:t>all acts of physical, sexual, psychological or economic violence that occur within the family or domestic unit/setting or between former or current spouses or partners, whether or not the perpetrator shares or has shared the same residence with the victim; and/or irrespective of the nature of the relationship between victim and perpetrator</w:t>
      </w:r>
      <w:r w:rsidR="00045134" w:rsidRPr="00EF6475">
        <w:rPr>
          <w:rFonts w:cs="Calibri"/>
          <w:bCs/>
          <w:sz w:val="20"/>
          <w:szCs w:val="20"/>
          <w:lang w:eastAsia="en-AU"/>
        </w:rPr>
        <w:t>;</w:t>
      </w:r>
    </w:p>
    <w:p w14:paraId="3BE5E9CA" w14:textId="77777777" w:rsidR="00F72273" w:rsidRPr="00EF6475" w:rsidRDefault="00F72273" w:rsidP="00EF6475">
      <w:pPr>
        <w:spacing w:after="0" w:line="240" w:lineRule="auto"/>
        <w:jc w:val="both"/>
        <w:rPr>
          <w:rFonts w:asciiTheme="minorHAnsi" w:hAnsiTheme="minorHAnsi"/>
          <w:sz w:val="20"/>
          <w:szCs w:val="20"/>
        </w:rPr>
      </w:pPr>
    </w:p>
    <w:p w14:paraId="3EF129AF" w14:textId="3D5E11D0" w:rsidR="00F5004E" w:rsidRPr="00665138" w:rsidRDefault="00A94FE3" w:rsidP="00EF6475">
      <w:pPr>
        <w:pStyle w:val="ListParagraph"/>
        <w:numPr>
          <w:ilvl w:val="0"/>
          <w:numId w:val="3"/>
        </w:numPr>
        <w:jc w:val="both"/>
        <w:rPr>
          <w:sz w:val="20"/>
          <w:szCs w:val="20"/>
        </w:rPr>
      </w:pPr>
      <w:proofErr w:type="gramStart"/>
      <w:r w:rsidRPr="00665138">
        <w:rPr>
          <w:sz w:val="20"/>
          <w:szCs w:val="20"/>
        </w:rPr>
        <w:t>i</w:t>
      </w:r>
      <w:r w:rsidR="00045134" w:rsidRPr="00665138">
        <w:rPr>
          <w:sz w:val="20"/>
          <w:szCs w:val="20"/>
        </w:rPr>
        <w:t>nclu</w:t>
      </w:r>
      <w:r w:rsidRPr="00665138">
        <w:rPr>
          <w:sz w:val="20"/>
          <w:szCs w:val="20"/>
        </w:rPr>
        <w:t>sive</w:t>
      </w:r>
      <w:proofErr w:type="gramEnd"/>
      <w:r w:rsidRPr="00665138">
        <w:rPr>
          <w:sz w:val="20"/>
          <w:szCs w:val="20"/>
        </w:rPr>
        <w:t xml:space="preserve"> of</w:t>
      </w:r>
      <w:r w:rsidR="00045134" w:rsidRPr="00665138">
        <w:rPr>
          <w:sz w:val="20"/>
          <w:szCs w:val="20"/>
        </w:rPr>
        <w:t xml:space="preserve"> those acts of violence and abuse which are more unique to women and girls with disabilities and that often occur in the context of, or as a result of, the </w:t>
      </w:r>
      <w:r w:rsidR="00045134" w:rsidRPr="00665138">
        <w:rPr>
          <w:rFonts w:cs="Calibri"/>
          <w:bCs/>
          <w:sz w:val="20"/>
          <w:szCs w:val="20"/>
          <w:lang w:eastAsia="en-AU"/>
        </w:rPr>
        <w:t>settings</w:t>
      </w:r>
      <w:r w:rsidR="00045134" w:rsidRPr="00665138">
        <w:rPr>
          <w:sz w:val="20"/>
          <w:szCs w:val="20"/>
        </w:rPr>
        <w:t xml:space="preserve"> </w:t>
      </w:r>
      <w:r w:rsidR="00045134" w:rsidRPr="00665138">
        <w:rPr>
          <w:rFonts w:cs="Calibri"/>
          <w:bCs/>
          <w:sz w:val="20"/>
          <w:szCs w:val="20"/>
          <w:lang w:eastAsia="en-AU"/>
        </w:rPr>
        <w:t>in which they live, occupy, and/or experience</w:t>
      </w:r>
      <w:r w:rsidR="00045134" w:rsidRPr="00665138">
        <w:rPr>
          <w:sz w:val="20"/>
          <w:szCs w:val="20"/>
        </w:rPr>
        <w:t xml:space="preserve"> and/or the relationships they experience within these settings.</w:t>
      </w:r>
    </w:p>
    <w:p w14:paraId="723FE1C6" w14:textId="39B1E82C" w:rsidR="004E4773" w:rsidRPr="004E4773" w:rsidRDefault="006052CD" w:rsidP="001D3C79">
      <w:pPr>
        <w:pStyle w:val="Heading2"/>
        <w:rPr>
          <w:u w:val="single"/>
          <w:lang w:eastAsia="en-AU"/>
        </w:rPr>
      </w:pPr>
      <w:bookmarkStart w:id="7" w:name="_Toc410646568"/>
      <w:r>
        <w:rPr>
          <w:lang w:val="en-US" w:eastAsia="en-AU"/>
        </w:rPr>
        <w:t>3</w:t>
      </w:r>
      <w:r w:rsidR="004E4773" w:rsidRPr="004E4773">
        <w:rPr>
          <w:lang w:val="en-US" w:eastAsia="en-AU"/>
        </w:rPr>
        <w:t>.</w:t>
      </w:r>
      <w:r>
        <w:rPr>
          <w:lang w:val="en-US" w:eastAsia="en-AU"/>
        </w:rPr>
        <w:t>3</w:t>
      </w:r>
      <w:r w:rsidR="004E4773" w:rsidRPr="004E4773">
        <w:rPr>
          <w:lang w:val="en-US" w:eastAsia="en-AU"/>
        </w:rPr>
        <w:t>.</w:t>
      </w:r>
      <w:r w:rsidR="004E4773" w:rsidRPr="004E4773">
        <w:rPr>
          <w:lang w:val="en-US" w:eastAsia="en-AU"/>
        </w:rPr>
        <w:tab/>
        <w:t>Prevalence and incidence</w:t>
      </w:r>
      <w:bookmarkEnd w:id="7"/>
    </w:p>
    <w:p w14:paraId="5375A264" w14:textId="05D372F4" w:rsidR="00FF76B6" w:rsidRPr="00903B8A" w:rsidRDefault="006C39A0" w:rsidP="00903B8A">
      <w:pPr>
        <w:spacing w:after="0" w:line="240" w:lineRule="auto"/>
        <w:jc w:val="both"/>
        <w:rPr>
          <w:rFonts w:asciiTheme="minorHAnsi" w:hAnsiTheme="minorHAnsi"/>
          <w:sz w:val="20"/>
          <w:szCs w:val="20"/>
        </w:rPr>
      </w:pPr>
      <w:r w:rsidRPr="006C39A0">
        <w:rPr>
          <w:rFonts w:asciiTheme="minorHAnsi" w:hAnsiTheme="minorHAnsi"/>
          <w:sz w:val="20"/>
          <w:szCs w:val="20"/>
        </w:rPr>
        <w:t xml:space="preserve">There is currently no comprehensive strategy or mechanism in place at the national level </w:t>
      </w:r>
      <w:r w:rsidR="00E35198">
        <w:rPr>
          <w:rFonts w:asciiTheme="minorHAnsi" w:hAnsiTheme="minorHAnsi"/>
          <w:sz w:val="20"/>
          <w:szCs w:val="20"/>
        </w:rPr>
        <w:t>that</w:t>
      </w:r>
      <w:r w:rsidRPr="006C39A0">
        <w:rPr>
          <w:rFonts w:asciiTheme="minorHAnsi" w:hAnsiTheme="minorHAnsi"/>
          <w:sz w:val="20"/>
          <w:szCs w:val="20"/>
        </w:rPr>
        <w:t xml:space="preserve"> captures the prevalence, extent, nature, causes and impact of violence against women and girls with disabilities in the range of settings in which they reside or receive support services. These major gaps in the evidence base stem from the fact that there are multiple and conflicting understandings of disability and violence within the policy arena.  The Personal Safety Survey (PSS), the key national data collection instrument aimed at capturing prevalence and type of violence, excludes women who reside in settings other than private dwellings and those who have communication impairments which would require the presence of a third party to participate in the survey. These methodological restrictions mean that the PSS misses a very significant proportion of those women with disabilities who are known to be at the highest risk of experiencing violence. Despite this lack of statistically verified evidence</w:t>
      </w:r>
      <w:r w:rsidR="00FF76B6" w:rsidRPr="00903B8A">
        <w:rPr>
          <w:rFonts w:asciiTheme="minorHAnsi" w:hAnsiTheme="minorHAnsi"/>
          <w:sz w:val="20"/>
          <w:szCs w:val="20"/>
        </w:rPr>
        <w:t xml:space="preserve">, it is now well established that violence against </w:t>
      </w:r>
      <w:r w:rsidR="00FF76B6" w:rsidRPr="00903B8A">
        <w:rPr>
          <w:rFonts w:asciiTheme="minorHAnsi" w:hAnsiTheme="minorHAnsi" w:cs="Calibri"/>
          <w:bCs/>
          <w:sz w:val="20"/>
          <w:szCs w:val="20"/>
          <w:lang w:eastAsia="en-AU"/>
        </w:rPr>
        <w:t>women and girls with disabilities</w:t>
      </w:r>
      <w:r w:rsidR="00FF76B6" w:rsidRPr="00903B8A">
        <w:rPr>
          <w:rFonts w:asciiTheme="minorHAnsi" w:hAnsiTheme="minorHAnsi"/>
          <w:sz w:val="20"/>
          <w:szCs w:val="20"/>
        </w:rPr>
        <w:t xml:space="preserve"> in Australia is far more widespread than violence amongst the general population</w:t>
      </w:r>
      <w:r w:rsidR="00E35198">
        <w:rPr>
          <w:rFonts w:asciiTheme="minorHAnsi" w:hAnsiTheme="minorHAnsi"/>
          <w:sz w:val="20"/>
          <w:szCs w:val="20"/>
        </w:rPr>
        <w:t xml:space="preserve">. </w:t>
      </w:r>
      <w:r w:rsidR="00E35198" w:rsidRPr="00903B8A">
        <w:rPr>
          <w:rFonts w:asciiTheme="minorHAnsi" w:hAnsiTheme="minorHAnsi"/>
          <w:sz w:val="20"/>
          <w:szCs w:val="20"/>
        </w:rPr>
        <w:t>It is significantly more diverse in nature and more severe than for women in general.</w:t>
      </w:r>
      <w:r w:rsidR="00E35198">
        <w:rPr>
          <w:rFonts w:asciiTheme="minorHAnsi" w:hAnsiTheme="minorHAnsi"/>
          <w:sz w:val="20"/>
          <w:szCs w:val="20"/>
        </w:rPr>
        <w:t xml:space="preserve"> (Dowse et al 2013, WWDA et al 2013, </w:t>
      </w:r>
      <w:r w:rsidR="00E35198" w:rsidRPr="00E35198">
        <w:rPr>
          <w:rFonts w:asciiTheme="minorHAnsi" w:hAnsiTheme="minorHAnsi"/>
          <w:sz w:val="20"/>
          <w:szCs w:val="20"/>
        </w:rPr>
        <w:t>Victorian Equal Opportunity and Human Rights Commission</w:t>
      </w:r>
      <w:r w:rsidR="00E35198">
        <w:rPr>
          <w:rFonts w:asciiTheme="minorHAnsi" w:hAnsiTheme="minorHAnsi"/>
          <w:sz w:val="20"/>
          <w:szCs w:val="20"/>
        </w:rPr>
        <w:t xml:space="preserve"> 2014)</w:t>
      </w:r>
      <w:r w:rsidR="00FF76B6" w:rsidRPr="00903B8A">
        <w:rPr>
          <w:rFonts w:asciiTheme="minorHAnsi" w:hAnsiTheme="minorHAnsi"/>
          <w:sz w:val="20"/>
          <w:szCs w:val="20"/>
        </w:rPr>
        <w:t xml:space="preserve">. </w:t>
      </w:r>
    </w:p>
    <w:p w14:paraId="562C04C3" w14:textId="77777777" w:rsidR="00FF76B6" w:rsidRPr="00903B8A" w:rsidRDefault="00FF76B6" w:rsidP="00903B8A">
      <w:pPr>
        <w:spacing w:after="0" w:line="240" w:lineRule="auto"/>
        <w:jc w:val="both"/>
        <w:rPr>
          <w:rFonts w:asciiTheme="minorHAnsi" w:hAnsiTheme="minorHAnsi"/>
          <w:sz w:val="20"/>
          <w:szCs w:val="20"/>
        </w:rPr>
      </w:pPr>
    </w:p>
    <w:p w14:paraId="2D24B0F9" w14:textId="2E333E84" w:rsidR="00FF76B6" w:rsidRDefault="00FF76B6" w:rsidP="00903B8A">
      <w:pPr>
        <w:spacing w:after="0" w:line="240" w:lineRule="auto"/>
        <w:jc w:val="both"/>
        <w:rPr>
          <w:rFonts w:asciiTheme="minorHAnsi" w:hAnsiTheme="minorHAnsi"/>
          <w:sz w:val="20"/>
          <w:szCs w:val="20"/>
        </w:rPr>
      </w:pPr>
      <w:r w:rsidRPr="00903B8A">
        <w:rPr>
          <w:rFonts w:asciiTheme="minorHAnsi" w:hAnsiTheme="minorHAnsi"/>
          <w:sz w:val="20"/>
          <w:szCs w:val="20"/>
        </w:rPr>
        <w:t>Compared to their peers, women with disability experience substantially higher levels of all forms of violence and are subjected to such violence by a greater number of perpetrators</w:t>
      </w:r>
      <w:r w:rsidR="00E35198">
        <w:rPr>
          <w:rFonts w:asciiTheme="minorHAnsi" w:hAnsiTheme="minorHAnsi"/>
          <w:sz w:val="20"/>
          <w:szCs w:val="20"/>
        </w:rPr>
        <w:t xml:space="preserve"> (WWDA 2007)</w:t>
      </w:r>
      <w:r w:rsidRPr="00903B8A">
        <w:rPr>
          <w:rFonts w:asciiTheme="minorHAnsi" w:hAnsiTheme="minorHAnsi"/>
          <w:sz w:val="20"/>
          <w:szCs w:val="20"/>
        </w:rPr>
        <w:t>. Women with disability are 40% more likely to be the victims of domestic violence than women without disability</w:t>
      </w:r>
      <w:r w:rsidR="00E35198">
        <w:rPr>
          <w:rFonts w:asciiTheme="minorHAnsi" w:hAnsiTheme="minorHAnsi"/>
          <w:sz w:val="20"/>
          <w:szCs w:val="20"/>
        </w:rPr>
        <w:t xml:space="preserve"> (</w:t>
      </w:r>
      <w:proofErr w:type="spellStart"/>
      <w:r w:rsidR="00E35198">
        <w:rPr>
          <w:rFonts w:asciiTheme="minorHAnsi" w:hAnsiTheme="minorHAnsi"/>
          <w:sz w:val="20"/>
          <w:szCs w:val="20"/>
        </w:rPr>
        <w:t>Brownridge</w:t>
      </w:r>
      <w:proofErr w:type="spellEnd"/>
      <w:r w:rsidR="00E35198">
        <w:rPr>
          <w:rFonts w:asciiTheme="minorHAnsi" w:hAnsiTheme="minorHAnsi"/>
          <w:sz w:val="20"/>
          <w:szCs w:val="20"/>
        </w:rPr>
        <w:t xml:space="preserve"> 2006)</w:t>
      </w:r>
      <w:r w:rsidRPr="00903B8A">
        <w:rPr>
          <w:rFonts w:asciiTheme="minorHAnsi" w:hAnsiTheme="minorHAnsi"/>
          <w:sz w:val="20"/>
          <w:szCs w:val="20"/>
        </w:rPr>
        <w:t xml:space="preserve">, and </w:t>
      </w:r>
      <w:r w:rsidRPr="00903B8A">
        <w:rPr>
          <w:rFonts w:asciiTheme="minorHAnsi" w:hAnsiTheme="minorHAnsi" w:cs="Calibri"/>
          <w:sz w:val="20"/>
          <w:szCs w:val="20"/>
        </w:rPr>
        <w:t>more than 70% of women with disability have been victims of violent sexual encounters at some time in their lives</w:t>
      </w:r>
      <w:r w:rsidR="00E35198">
        <w:rPr>
          <w:rFonts w:asciiTheme="minorHAnsi" w:hAnsiTheme="minorHAnsi" w:cs="Calibri"/>
          <w:sz w:val="20"/>
          <w:szCs w:val="20"/>
        </w:rPr>
        <w:t xml:space="preserve"> (Frohmader 2014)</w:t>
      </w:r>
      <w:r w:rsidRPr="00903B8A">
        <w:rPr>
          <w:rFonts w:asciiTheme="minorHAnsi" w:hAnsiTheme="minorHAnsi" w:cs="Calibri"/>
          <w:sz w:val="20"/>
          <w:szCs w:val="20"/>
        </w:rPr>
        <w:t xml:space="preserve">. </w:t>
      </w:r>
      <w:r w:rsidRPr="00903B8A">
        <w:rPr>
          <w:rFonts w:asciiTheme="minorHAnsi" w:hAnsiTheme="minorHAnsi"/>
          <w:sz w:val="20"/>
          <w:szCs w:val="20"/>
        </w:rPr>
        <w:t>Women with disabilities in residential</w:t>
      </w:r>
      <w:r w:rsidR="00EF3387">
        <w:rPr>
          <w:rFonts w:asciiTheme="minorHAnsi" w:hAnsiTheme="minorHAnsi"/>
          <w:sz w:val="20"/>
          <w:szCs w:val="20"/>
        </w:rPr>
        <w:t xml:space="preserve">, </w:t>
      </w:r>
      <w:r w:rsidRPr="00903B8A">
        <w:rPr>
          <w:rFonts w:asciiTheme="minorHAnsi" w:hAnsiTheme="minorHAnsi"/>
          <w:sz w:val="20"/>
          <w:szCs w:val="20"/>
        </w:rPr>
        <w:t xml:space="preserve">institutional </w:t>
      </w:r>
      <w:r w:rsidR="00EF3387">
        <w:rPr>
          <w:rFonts w:asciiTheme="minorHAnsi" w:hAnsiTheme="minorHAnsi"/>
          <w:sz w:val="20"/>
          <w:szCs w:val="20"/>
        </w:rPr>
        <w:t xml:space="preserve">and service </w:t>
      </w:r>
      <w:r w:rsidRPr="00903B8A">
        <w:rPr>
          <w:rFonts w:asciiTheme="minorHAnsi" w:hAnsiTheme="minorHAnsi"/>
          <w:sz w:val="20"/>
          <w:szCs w:val="20"/>
        </w:rPr>
        <w:t>settings frequently experience sustained and multiple episodes of violence (</w:t>
      </w:r>
      <w:r w:rsidRPr="00903B8A">
        <w:rPr>
          <w:rFonts w:asciiTheme="minorHAnsi" w:hAnsiTheme="minorHAnsi" w:cs="Calibri"/>
          <w:sz w:val="20"/>
          <w:szCs w:val="20"/>
        </w:rPr>
        <w:t>particularly sexual violence)</w:t>
      </w:r>
      <w:r w:rsidR="00E35198">
        <w:rPr>
          <w:rFonts w:asciiTheme="minorHAnsi" w:hAnsiTheme="minorHAnsi" w:cs="Calibri"/>
          <w:sz w:val="20"/>
          <w:szCs w:val="20"/>
        </w:rPr>
        <w:t xml:space="preserve"> (</w:t>
      </w:r>
      <w:proofErr w:type="spellStart"/>
      <w:r w:rsidR="00E35198">
        <w:rPr>
          <w:rFonts w:asciiTheme="minorHAnsi" w:hAnsiTheme="minorHAnsi" w:cs="Calibri"/>
          <w:sz w:val="20"/>
          <w:szCs w:val="20"/>
        </w:rPr>
        <w:t>Attard</w:t>
      </w:r>
      <w:proofErr w:type="spellEnd"/>
      <w:r w:rsidR="00E35198">
        <w:rPr>
          <w:rFonts w:asciiTheme="minorHAnsi" w:hAnsiTheme="minorHAnsi" w:cs="Calibri"/>
          <w:sz w:val="20"/>
          <w:szCs w:val="20"/>
        </w:rPr>
        <w:t xml:space="preserve"> &amp; Price-Kelly 2010)</w:t>
      </w:r>
      <w:r w:rsidRPr="00903B8A">
        <w:rPr>
          <w:rFonts w:asciiTheme="minorHAnsi" w:hAnsiTheme="minorHAnsi"/>
          <w:sz w:val="20"/>
          <w:szCs w:val="20"/>
        </w:rPr>
        <w:t xml:space="preserve">. </w:t>
      </w:r>
      <w:r w:rsidRPr="00903B8A">
        <w:rPr>
          <w:rFonts w:asciiTheme="minorHAnsi" w:hAnsiTheme="minorHAnsi" w:cs="Calibri"/>
          <w:sz w:val="20"/>
          <w:szCs w:val="20"/>
        </w:rPr>
        <w:t>Twenty per cent of women with disability report a history of unwanted sex compared to 8.2% of women without disability</w:t>
      </w:r>
      <w:r w:rsidR="004933BD">
        <w:rPr>
          <w:rFonts w:asciiTheme="minorHAnsi" w:hAnsiTheme="minorHAnsi" w:cs="Calibri"/>
          <w:sz w:val="20"/>
          <w:szCs w:val="20"/>
        </w:rPr>
        <w:t xml:space="preserve"> (Dowse et al 2013)</w:t>
      </w:r>
      <w:r w:rsidRPr="00903B8A">
        <w:rPr>
          <w:rFonts w:asciiTheme="minorHAnsi" w:hAnsiTheme="minorHAnsi" w:cs="Calibri"/>
          <w:sz w:val="20"/>
          <w:szCs w:val="20"/>
        </w:rPr>
        <w:t>, and the rates of sexual victimisation of women with disability range from four to 10 times higher than for other women</w:t>
      </w:r>
      <w:r w:rsidR="004933BD">
        <w:rPr>
          <w:rFonts w:asciiTheme="minorHAnsi" w:hAnsiTheme="minorHAnsi" w:cs="Calibri"/>
          <w:sz w:val="20"/>
          <w:szCs w:val="20"/>
        </w:rPr>
        <w:t xml:space="preserve"> (Dowse et al 2013)</w:t>
      </w:r>
      <w:r w:rsidRPr="00903B8A">
        <w:rPr>
          <w:rFonts w:asciiTheme="minorHAnsi" w:hAnsiTheme="minorHAnsi" w:cs="Calibri"/>
          <w:sz w:val="20"/>
          <w:szCs w:val="20"/>
        </w:rPr>
        <w:t>. More than a quarter of rape cases reported by females in Australia are perpetrated against women with disabilities</w:t>
      </w:r>
      <w:r w:rsidR="004113BC">
        <w:rPr>
          <w:rFonts w:asciiTheme="minorHAnsi" w:hAnsiTheme="minorHAnsi" w:cs="Calibri"/>
          <w:sz w:val="20"/>
          <w:szCs w:val="20"/>
        </w:rPr>
        <w:t xml:space="preserve"> (</w:t>
      </w:r>
      <w:proofErr w:type="spellStart"/>
      <w:r w:rsidR="004113BC">
        <w:rPr>
          <w:rFonts w:asciiTheme="minorHAnsi" w:hAnsiTheme="minorHAnsi" w:cs="Calibri"/>
          <w:sz w:val="20"/>
          <w:szCs w:val="20"/>
        </w:rPr>
        <w:t>Heenan</w:t>
      </w:r>
      <w:proofErr w:type="spellEnd"/>
      <w:r w:rsidR="004113BC">
        <w:rPr>
          <w:rFonts w:asciiTheme="minorHAnsi" w:hAnsiTheme="minorHAnsi" w:cs="Calibri"/>
          <w:sz w:val="20"/>
          <w:szCs w:val="20"/>
        </w:rPr>
        <w:t xml:space="preserve"> </w:t>
      </w:r>
      <w:r w:rsidR="004113BC" w:rsidRPr="004113BC">
        <w:rPr>
          <w:rFonts w:asciiTheme="minorHAnsi" w:hAnsiTheme="minorHAnsi" w:cs="Calibri"/>
          <w:sz w:val="20"/>
          <w:szCs w:val="20"/>
        </w:rPr>
        <w:t>&amp; Murray</w:t>
      </w:r>
      <w:r w:rsidR="004113BC">
        <w:rPr>
          <w:rFonts w:asciiTheme="minorHAnsi" w:hAnsiTheme="minorHAnsi" w:cs="Calibri"/>
          <w:sz w:val="20"/>
          <w:szCs w:val="20"/>
        </w:rPr>
        <w:t xml:space="preserve"> 2006)</w:t>
      </w:r>
      <w:r w:rsidRPr="00903B8A">
        <w:rPr>
          <w:rFonts w:asciiTheme="minorHAnsi" w:hAnsiTheme="minorHAnsi" w:cs="Calibri"/>
          <w:sz w:val="20"/>
          <w:szCs w:val="20"/>
        </w:rPr>
        <w:t xml:space="preserve">. Ninety per cent </w:t>
      </w:r>
      <w:r w:rsidRPr="00903B8A">
        <w:rPr>
          <w:rFonts w:asciiTheme="minorHAnsi" w:hAnsiTheme="minorHAnsi"/>
          <w:sz w:val="20"/>
          <w:szCs w:val="20"/>
        </w:rPr>
        <w:t>of Australian women with an intellectual disability have been subjected to sexual abuse, with more than two-</w:t>
      </w:r>
      <w:r w:rsidRPr="00903B8A">
        <w:rPr>
          <w:rFonts w:asciiTheme="minorHAnsi" w:hAnsiTheme="minorHAnsi"/>
          <w:sz w:val="20"/>
          <w:szCs w:val="20"/>
        </w:rPr>
        <w:lastRenderedPageBreak/>
        <w:t>thirds (68%) having been sexually abused before they turn 18 years of age</w:t>
      </w:r>
      <w:r w:rsidR="004933BD">
        <w:rPr>
          <w:rFonts w:asciiTheme="minorHAnsi" w:hAnsiTheme="minorHAnsi"/>
          <w:sz w:val="20"/>
          <w:szCs w:val="20"/>
        </w:rPr>
        <w:t xml:space="preserve"> (</w:t>
      </w:r>
      <w:r w:rsidR="004933BD" w:rsidRPr="004933BD">
        <w:rPr>
          <w:rFonts w:asciiTheme="minorHAnsi" w:hAnsiTheme="minorHAnsi"/>
          <w:sz w:val="20"/>
          <w:szCs w:val="20"/>
        </w:rPr>
        <w:t>Australian Law Reform Commission</w:t>
      </w:r>
      <w:r w:rsidR="004933BD">
        <w:rPr>
          <w:rFonts w:asciiTheme="minorHAnsi" w:hAnsiTheme="minorHAnsi"/>
          <w:sz w:val="20"/>
          <w:szCs w:val="20"/>
        </w:rPr>
        <w:t xml:space="preserve"> 2010)</w:t>
      </w:r>
      <w:r w:rsidRPr="00903B8A">
        <w:rPr>
          <w:rFonts w:asciiTheme="minorHAnsi" w:hAnsiTheme="minorHAnsi"/>
          <w:sz w:val="20"/>
          <w:szCs w:val="20"/>
        </w:rPr>
        <w:t xml:space="preserve">. </w:t>
      </w:r>
    </w:p>
    <w:p w14:paraId="0AC801D0" w14:textId="77777777" w:rsidR="007A1821" w:rsidRPr="007A1821" w:rsidRDefault="007A1821" w:rsidP="00903B8A">
      <w:pPr>
        <w:spacing w:after="0" w:line="240" w:lineRule="auto"/>
        <w:jc w:val="both"/>
        <w:rPr>
          <w:rFonts w:asciiTheme="minorHAnsi" w:hAnsiTheme="minorHAnsi"/>
          <w:sz w:val="20"/>
          <w:szCs w:val="20"/>
        </w:rPr>
      </w:pPr>
    </w:p>
    <w:p w14:paraId="35D33731" w14:textId="40329EBF" w:rsidR="007A1821" w:rsidRPr="007A1821" w:rsidRDefault="007A1821" w:rsidP="007A1821">
      <w:pPr>
        <w:spacing w:after="0" w:line="240" w:lineRule="auto"/>
        <w:jc w:val="both"/>
        <w:rPr>
          <w:rFonts w:asciiTheme="minorHAnsi" w:hAnsiTheme="minorHAnsi"/>
          <w:sz w:val="20"/>
          <w:szCs w:val="20"/>
        </w:rPr>
      </w:pPr>
      <w:r w:rsidRPr="007A1821">
        <w:rPr>
          <w:rFonts w:asciiTheme="minorHAnsi" w:hAnsiTheme="minorHAnsi"/>
          <w:sz w:val="20"/>
          <w:szCs w:val="20"/>
        </w:rPr>
        <w:t>A national survey undertaken in 2013,</w:t>
      </w:r>
      <w:r w:rsidRPr="007A1821">
        <w:rPr>
          <w:rStyle w:val="FootnoteReference"/>
          <w:rFonts w:asciiTheme="minorHAnsi" w:hAnsiTheme="minorHAnsi"/>
          <w:sz w:val="20"/>
          <w:szCs w:val="20"/>
        </w:rPr>
        <w:t xml:space="preserve"> </w:t>
      </w:r>
      <w:r w:rsidRPr="007A1821">
        <w:rPr>
          <w:rStyle w:val="FootnoteReference"/>
          <w:rFonts w:asciiTheme="minorHAnsi" w:hAnsiTheme="minorHAnsi"/>
          <w:sz w:val="20"/>
          <w:szCs w:val="20"/>
        </w:rPr>
        <w:footnoteReference w:id="2"/>
      </w:r>
      <w:r w:rsidRPr="007A1821">
        <w:rPr>
          <w:rFonts w:asciiTheme="minorHAnsi" w:hAnsiTheme="minorHAnsi"/>
          <w:sz w:val="20"/>
          <w:szCs w:val="20"/>
        </w:rPr>
        <w:t xml:space="preserve"> found that violence is present in the lives of approximately twenty-two per cent of women and girls with disabilit</w:t>
      </w:r>
      <w:r>
        <w:rPr>
          <w:rFonts w:asciiTheme="minorHAnsi" w:hAnsiTheme="minorHAnsi"/>
          <w:sz w:val="20"/>
          <w:szCs w:val="20"/>
        </w:rPr>
        <w:t>ies</w:t>
      </w:r>
      <w:r w:rsidRPr="007A1821">
        <w:rPr>
          <w:rFonts w:asciiTheme="minorHAnsi" w:hAnsiTheme="minorHAnsi"/>
          <w:sz w:val="20"/>
          <w:szCs w:val="20"/>
        </w:rPr>
        <w:t xml:space="preserve"> who had accessed service support</w:t>
      </w:r>
      <w:r w:rsidRPr="007A1821">
        <w:rPr>
          <w:rStyle w:val="FootnoteReference"/>
          <w:rFonts w:asciiTheme="minorHAnsi" w:hAnsiTheme="minorHAnsi"/>
          <w:sz w:val="20"/>
          <w:szCs w:val="20"/>
        </w:rPr>
        <w:footnoteReference w:id="3"/>
      </w:r>
      <w:r w:rsidRPr="007A1821">
        <w:rPr>
          <w:rFonts w:asciiTheme="minorHAnsi" w:hAnsiTheme="minorHAnsi"/>
          <w:sz w:val="20"/>
          <w:szCs w:val="20"/>
        </w:rPr>
        <w:t xml:space="preserve"> in the preceding 12 months. Given that many women and girls with disabilit</w:t>
      </w:r>
      <w:r>
        <w:rPr>
          <w:rFonts w:asciiTheme="minorHAnsi" w:hAnsiTheme="minorHAnsi"/>
          <w:sz w:val="20"/>
          <w:szCs w:val="20"/>
        </w:rPr>
        <w:t>ies</w:t>
      </w:r>
      <w:r w:rsidRPr="007A1821">
        <w:rPr>
          <w:rFonts w:asciiTheme="minorHAnsi" w:hAnsiTheme="minorHAnsi"/>
          <w:sz w:val="20"/>
          <w:szCs w:val="20"/>
        </w:rPr>
        <w:t xml:space="preserve"> do not and/or cannot and/or are prevented from using and/or accessing services, the prevalence of violence against women and girls with disabilit</w:t>
      </w:r>
      <w:r>
        <w:rPr>
          <w:rFonts w:asciiTheme="minorHAnsi" w:hAnsiTheme="minorHAnsi"/>
          <w:sz w:val="20"/>
          <w:szCs w:val="20"/>
        </w:rPr>
        <w:t>ies</w:t>
      </w:r>
      <w:r w:rsidRPr="007A1821">
        <w:rPr>
          <w:rFonts w:asciiTheme="minorHAnsi" w:hAnsiTheme="minorHAnsi"/>
          <w:sz w:val="20"/>
          <w:szCs w:val="20"/>
        </w:rPr>
        <w:t xml:space="preserve"> is acknowledged to be substantially higher than the already alarming 22 per cent suggested by the national survey findings</w:t>
      </w:r>
      <w:r w:rsidR="006A3502">
        <w:rPr>
          <w:rFonts w:asciiTheme="minorHAnsi" w:hAnsiTheme="minorHAnsi"/>
          <w:sz w:val="20"/>
          <w:szCs w:val="20"/>
        </w:rPr>
        <w:t xml:space="preserve"> (Dowse et al 2013)</w:t>
      </w:r>
      <w:r w:rsidRPr="007A1821">
        <w:rPr>
          <w:rFonts w:asciiTheme="minorHAnsi" w:hAnsiTheme="minorHAnsi"/>
          <w:sz w:val="20"/>
          <w:szCs w:val="20"/>
        </w:rPr>
        <w:t>.</w:t>
      </w:r>
    </w:p>
    <w:p w14:paraId="5979D8DA" w14:textId="77777777" w:rsidR="007A1821" w:rsidRPr="007A1821" w:rsidRDefault="007A1821" w:rsidP="00903B8A">
      <w:pPr>
        <w:spacing w:after="0" w:line="240" w:lineRule="auto"/>
        <w:jc w:val="both"/>
        <w:rPr>
          <w:rFonts w:asciiTheme="minorHAnsi" w:hAnsiTheme="minorHAnsi"/>
          <w:sz w:val="20"/>
          <w:szCs w:val="20"/>
        </w:rPr>
      </w:pPr>
    </w:p>
    <w:p w14:paraId="1C56E71A" w14:textId="5CDE358C" w:rsidR="00F507AD" w:rsidRDefault="00FF76B6" w:rsidP="00903B8A">
      <w:pPr>
        <w:spacing w:after="0" w:line="240" w:lineRule="auto"/>
        <w:jc w:val="both"/>
        <w:rPr>
          <w:rFonts w:asciiTheme="minorHAnsi" w:hAnsiTheme="minorHAnsi"/>
          <w:sz w:val="20"/>
          <w:szCs w:val="20"/>
        </w:rPr>
      </w:pPr>
      <w:r w:rsidRPr="00903B8A">
        <w:rPr>
          <w:rFonts w:asciiTheme="minorHAnsi" w:hAnsiTheme="minorHAnsi"/>
          <w:sz w:val="20"/>
          <w:szCs w:val="20"/>
        </w:rPr>
        <w:t xml:space="preserve">It is widely recognised that any available data relating to incidence and prevalence of violence against </w:t>
      </w:r>
      <w:r w:rsidR="007F3191" w:rsidRPr="00903B8A">
        <w:rPr>
          <w:rFonts w:asciiTheme="minorHAnsi" w:hAnsiTheme="minorHAnsi"/>
          <w:sz w:val="20"/>
          <w:szCs w:val="20"/>
        </w:rPr>
        <w:t>women with disabilities</w:t>
      </w:r>
      <w:r w:rsidRPr="00903B8A">
        <w:rPr>
          <w:rFonts w:asciiTheme="minorHAnsi" w:hAnsiTheme="minorHAnsi"/>
          <w:sz w:val="20"/>
          <w:szCs w:val="20"/>
        </w:rPr>
        <w:t>, does not give the true picture of the level of risk and prevalence of violence and abuse, due to many factors</w:t>
      </w:r>
      <w:r w:rsidR="00EF3387">
        <w:rPr>
          <w:rFonts w:asciiTheme="minorHAnsi" w:hAnsiTheme="minorHAnsi"/>
          <w:sz w:val="20"/>
          <w:szCs w:val="20"/>
        </w:rPr>
        <w:t>, including the b</w:t>
      </w:r>
      <w:r w:rsidRPr="00903B8A">
        <w:rPr>
          <w:rFonts w:asciiTheme="minorHAnsi" w:hAnsiTheme="minorHAnsi"/>
          <w:sz w:val="20"/>
          <w:szCs w:val="20"/>
        </w:rPr>
        <w:t xml:space="preserve">arriers experienced by </w:t>
      </w:r>
      <w:r w:rsidR="007F3191" w:rsidRPr="00903B8A">
        <w:rPr>
          <w:rFonts w:asciiTheme="minorHAnsi" w:hAnsiTheme="minorHAnsi"/>
          <w:sz w:val="20"/>
          <w:szCs w:val="20"/>
        </w:rPr>
        <w:t>women</w:t>
      </w:r>
      <w:r w:rsidRPr="00903B8A">
        <w:rPr>
          <w:rFonts w:asciiTheme="minorHAnsi" w:hAnsiTheme="minorHAnsi"/>
          <w:sz w:val="20"/>
          <w:szCs w:val="20"/>
        </w:rPr>
        <w:t xml:space="preserve"> with </w:t>
      </w:r>
      <w:r w:rsidR="00EF3387">
        <w:rPr>
          <w:rFonts w:asciiTheme="minorHAnsi" w:hAnsiTheme="minorHAnsi"/>
          <w:sz w:val="20"/>
          <w:szCs w:val="20"/>
        </w:rPr>
        <w:t xml:space="preserve">disabilities </w:t>
      </w:r>
      <w:r w:rsidRPr="00903B8A">
        <w:rPr>
          <w:rFonts w:asciiTheme="minorHAnsi" w:hAnsiTheme="minorHAnsi"/>
          <w:sz w:val="20"/>
          <w:szCs w:val="20"/>
        </w:rPr>
        <w:t>to reporting violence</w:t>
      </w:r>
      <w:r w:rsidR="004113BC">
        <w:rPr>
          <w:rFonts w:asciiTheme="minorHAnsi" w:hAnsiTheme="minorHAnsi"/>
          <w:sz w:val="20"/>
          <w:szCs w:val="20"/>
        </w:rPr>
        <w:t xml:space="preserve"> (</w:t>
      </w:r>
      <w:proofErr w:type="spellStart"/>
      <w:r w:rsidR="004113BC">
        <w:rPr>
          <w:rFonts w:asciiTheme="minorHAnsi" w:hAnsiTheme="minorHAnsi"/>
          <w:sz w:val="20"/>
          <w:szCs w:val="20"/>
        </w:rPr>
        <w:t>SafePlace</w:t>
      </w:r>
      <w:proofErr w:type="spellEnd"/>
      <w:r w:rsidR="004113BC">
        <w:rPr>
          <w:rFonts w:asciiTheme="minorHAnsi" w:hAnsiTheme="minorHAnsi"/>
          <w:sz w:val="20"/>
          <w:szCs w:val="20"/>
        </w:rPr>
        <w:t xml:space="preserve"> Institute 2000)</w:t>
      </w:r>
      <w:r w:rsidRPr="00903B8A">
        <w:rPr>
          <w:rFonts w:asciiTheme="minorHAnsi" w:hAnsiTheme="minorHAnsi"/>
          <w:sz w:val="20"/>
          <w:szCs w:val="20"/>
        </w:rPr>
        <w:t xml:space="preserve">. </w:t>
      </w:r>
      <w:r w:rsidR="00EF3387">
        <w:rPr>
          <w:rFonts w:asciiTheme="minorHAnsi" w:hAnsiTheme="minorHAnsi"/>
          <w:sz w:val="20"/>
          <w:szCs w:val="20"/>
        </w:rPr>
        <w:t xml:space="preserve">Importantly, the </w:t>
      </w:r>
      <w:r w:rsidR="00EF3387" w:rsidRPr="00227EB6">
        <w:rPr>
          <w:rFonts w:asciiTheme="minorHAnsi" w:hAnsiTheme="minorHAnsi" w:cs="Calibri"/>
          <w:bCs/>
          <w:sz w:val="20"/>
          <w:szCs w:val="20"/>
          <w:lang w:eastAsia="en-AU"/>
        </w:rPr>
        <w:t>vast array of ‘settings’ and ‘places’ in which women with disabilities live, occupy, and/or experience,</w:t>
      </w:r>
      <w:r w:rsidR="00EF3387">
        <w:rPr>
          <w:rFonts w:asciiTheme="minorHAnsi" w:hAnsiTheme="minorHAnsi" w:cs="Calibri"/>
          <w:bCs/>
          <w:sz w:val="20"/>
          <w:szCs w:val="20"/>
          <w:lang w:eastAsia="en-AU"/>
        </w:rPr>
        <w:t xml:space="preserve"> also impedes the possibility of capturing the true p</w:t>
      </w:r>
      <w:r w:rsidR="00EF3387" w:rsidRPr="00EF3387">
        <w:rPr>
          <w:rFonts w:asciiTheme="minorHAnsi" w:hAnsiTheme="minorHAnsi" w:cs="Calibri"/>
          <w:bCs/>
          <w:sz w:val="20"/>
          <w:szCs w:val="20"/>
          <w:lang w:eastAsia="en-AU"/>
        </w:rPr>
        <w:t>revalence and incidence</w:t>
      </w:r>
      <w:r w:rsidR="00EF3387">
        <w:rPr>
          <w:rFonts w:asciiTheme="minorHAnsi" w:hAnsiTheme="minorHAnsi" w:cs="Calibri"/>
          <w:bCs/>
          <w:sz w:val="20"/>
          <w:szCs w:val="20"/>
          <w:lang w:eastAsia="en-AU"/>
        </w:rPr>
        <w:t xml:space="preserve"> of violence </w:t>
      </w:r>
      <w:r w:rsidR="00FF0FF7">
        <w:rPr>
          <w:rFonts w:asciiTheme="minorHAnsi" w:hAnsiTheme="minorHAnsi" w:cs="Calibri"/>
          <w:bCs/>
          <w:sz w:val="20"/>
          <w:szCs w:val="20"/>
          <w:lang w:eastAsia="en-AU"/>
        </w:rPr>
        <w:t>perpetrated against them.</w:t>
      </w:r>
      <w:r w:rsidR="00EF3387">
        <w:rPr>
          <w:rFonts w:asciiTheme="minorHAnsi" w:hAnsiTheme="minorHAnsi"/>
          <w:sz w:val="20"/>
          <w:szCs w:val="20"/>
        </w:rPr>
        <w:t xml:space="preserve"> </w:t>
      </w:r>
    </w:p>
    <w:p w14:paraId="67E1000C" w14:textId="58C9665B" w:rsidR="0031215A" w:rsidRPr="004E4773" w:rsidRDefault="0031215A" w:rsidP="001D3C79">
      <w:pPr>
        <w:pStyle w:val="Heading2"/>
        <w:ind w:left="709" w:hanging="709"/>
        <w:jc w:val="both"/>
        <w:rPr>
          <w:u w:val="single"/>
          <w:lang w:eastAsia="en-AU"/>
        </w:rPr>
      </w:pPr>
      <w:bookmarkStart w:id="8" w:name="_Toc410646569"/>
      <w:r>
        <w:rPr>
          <w:lang w:val="en-US" w:eastAsia="en-AU"/>
        </w:rPr>
        <w:t>3</w:t>
      </w:r>
      <w:r w:rsidRPr="004E4773">
        <w:rPr>
          <w:lang w:val="en-US" w:eastAsia="en-AU"/>
        </w:rPr>
        <w:t>.</w:t>
      </w:r>
      <w:r w:rsidR="00231851">
        <w:rPr>
          <w:lang w:val="en-US" w:eastAsia="en-AU"/>
        </w:rPr>
        <w:t>4</w:t>
      </w:r>
      <w:r w:rsidRPr="004E4773">
        <w:rPr>
          <w:lang w:val="en-US" w:eastAsia="en-AU"/>
        </w:rPr>
        <w:t>.</w:t>
      </w:r>
      <w:r w:rsidRPr="004E4773">
        <w:rPr>
          <w:lang w:val="en-US" w:eastAsia="en-AU"/>
        </w:rPr>
        <w:tab/>
      </w:r>
      <w:r>
        <w:rPr>
          <w:lang w:val="en-US" w:eastAsia="en-AU"/>
        </w:rPr>
        <w:t xml:space="preserve">The </w:t>
      </w:r>
      <w:r w:rsidRPr="0031215A">
        <w:rPr>
          <w:lang w:val="en-US" w:eastAsia="en-AU"/>
        </w:rPr>
        <w:t>factors contributing to</w:t>
      </w:r>
      <w:r>
        <w:rPr>
          <w:lang w:val="en-US" w:eastAsia="en-AU"/>
        </w:rPr>
        <w:t xml:space="preserve"> violence against women and girls with disabilities</w:t>
      </w:r>
      <w:bookmarkEnd w:id="8"/>
    </w:p>
    <w:p w14:paraId="4547B5E4" w14:textId="2EA7EF7F" w:rsidR="009D00CD" w:rsidRPr="009D00CD" w:rsidRDefault="009D00CD" w:rsidP="00914B73">
      <w:pPr>
        <w:spacing w:after="0" w:line="240" w:lineRule="auto"/>
        <w:jc w:val="both"/>
        <w:rPr>
          <w:rFonts w:asciiTheme="minorHAnsi" w:hAnsiTheme="minorHAnsi"/>
          <w:sz w:val="20"/>
          <w:szCs w:val="20"/>
        </w:rPr>
      </w:pPr>
      <w:r w:rsidRPr="009D00CD">
        <w:rPr>
          <w:rFonts w:asciiTheme="minorHAnsi" w:hAnsiTheme="minorHAnsi"/>
          <w:sz w:val="20"/>
          <w:szCs w:val="20"/>
        </w:rPr>
        <w:t xml:space="preserve">For </w:t>
      </w:r>
      <w:r w:rsidRPr="000544A7">
        <w:rPr>
          <w:rFonts w:asciiTheme="minorHAnsi" w:hAnsiTheme="minorHAnsi"/>
          <w:sz w:val="20"/>
          <w:szCs w:val="20"/>
        </w:rPr>
        <w:t>women and girls with disabilit</w:t>
      </w:r>
      <w:r>
        <w:rPr>
          <w:rFonts w:asciiTheme="minorHAnsi" w:hAnsiTheme="minorHAnsi"/>
          <w:sz w:val="20"/>
          <w:szCs w:val="20"/>
        </w:rPr>
        <w:t>ies</w:t>
      </w:r>
      <w:r w:rsidRPr="009D00CD">
        <w:rPr>
          <w:rFonts w:asciiTheme="minorHAnsi" w:hAnsiTheme="minorHAnsi"/>
          <w:sz w:val="20"/>
          <w:szCs w:val="20"/>
        </w:rPr>
        <w:t xml:space="preserve">, structural inequality and disability discrimination are significant determinants of violence. It is important to note that structural inequality is intersectional, meaning that the various elements of the discrimination or inequality they may face – as women, as people with disability, as Aboriginal or Torres Strait Islander people – intersect and interact to produce very different experiences of violence for different </w:t>
      </w:r>
      <w:r>
        <w:rPr>
          <w:rFonts w:asciiTheme="minorHAnsi" w:hAnsiTheme="minorHAnsi"/>
          <w:sz w:val="20"/>
          <w:szCs w:val="20"/>
        </w:rPr>
        <w:t>women</w:t>
      </w:r>
      <w:r w:rsidRPr="009D00CD">
        <w:rPr>
          <w:rFonts w:asciiTheme="minorHAnsi" w:hAnsiTheme="minorHAnsi"/>
          <w:sz w:val="20"/>
          <w:szCs w:val="20"/>
        </w:rPr>
        <w:t xml:space="preserve">. </w:t>
      </w:r>
      <w:r>
        <w:rPr>
          <w:rFonts w:asciiTheme="minorHAnsi" w:hAnsiTheme="minorHAnsi"/>
          <w:sz w:val="20"/>
          <w:szCs w:val="20"/>
        </w:rPr>
        <w:t>Understanding the</w:t>
      </w:r>
      <w:r w:rsidRPr="009D00CD">
        <w:rPr>
          <w:rFonts w:asciiTheme="minorHAnsi" w:hAnsiTheme="minorHAnsi"/>
          <w:sz w:val="20"/>
          <w:szCs w:val="20"/>
        </w:rPr>
        <w:t xml:space="preserve"> interactions between gender, ability, race and other elements of structural inequality is essential to an adequate response</w:t>
      </w:r>
      <w:r w:rsidR="00CE2187">
        <w:rPr>
          <w:rFonts w:asciiTheme="minorHAnsi" w:hAnsiTheme="minorHAnsi"/>
          <w:sz w:val="20"/>
          <w:szCs w:val="20"/>
        </w:rPr>
        <w:t xml:space="preserve"> (</w:t>
      </w:r>
      <w:r w:rsidR="00CE2187">
        <w:rPr>
          <w:rFonts w:asciiTheme="minorHAnsi" w:hAnsiTheme="minorHAnsi" w:cs="Calibri"/>
          <w:sz w:val="20"/>
          <w:szCs w:val="20"/>
        </w:rPr>
        <w:t xml:space="preserve">Frohmader &amp; </w:t>
      </w:r>
      <w:proofErr w:type="spellStart"/>
      <w:r w:rsidR="00CE2187" w:rsidRPr="002D0E34">
        <w:rPr>
          <w:rFonts w:asciiTheme="minorHAnsi" w:hAnsiTheme="minorHAnsi" w:cs="Calibri"/>
          <w:sz w:val="20"/>
          <w:szCs w:val="20"/>
        </w:rPr>
        <w:t>Cadwallader</w:t>
      </w:r>
      <w:proofErr w:type="spellEnd"/>
      <w:r w:rsidR="00CE2187" w:rsidRPr="002D0E34">
        <w:rPr>
          <w:rFonts w:asciiTheme="minorHAnsi" w:hAnsiTheme="minorHAnsi" w:cs="Calibri"/>
          <w:sz w:val="20"/>
          <w:szCs w:val="20"/>
        </w:rPr>
        <w:t xml:space="preserve"> 2014</w:t>
      </w:r>
      <w:r w:rsidR="00CE2187">
        <w:rPr>
          <w:rFonts w:asciiTheme="minorHAnsi" w:hAnsiTheme="minorHAnsi" w:cs="Calibri"/>
          <w:sz w:val="20"/>
          <w:szCs w:val="20"/>
        </w:rPr>
        <w:t>)</w:t>
      </w:r>
      <w:r w:rsidRPr="009D00CD">
        <w:rPr>
          <w:rFonts w:asciiTheme="minorHAnsi" w:hAnsiTheme="minorHAnsi"/>
          <w:sz w:val="20"/>
          <w:szCs w:val="20"/>
        </w:rPr>
        <w:t>.</w:t>
      </w:r>
    </w:p>
    <w:p w14:paraId="0EAEA2D7" w14:textId="77777777" w:rsidR="00C26B5B" w:rsidRPr="00CE2187" w:rsidRDefault="00C26B5B" w:rsidP="00914B73">
      <w:pPr>
        <w:spacing w:after="0" w:line="240" w:lineRule="auto"/>
        <w:jc w:val="both"/>
        <w:rPr>
          <w:rFonts w:asciiTheme="minorHAnsi" w:hAnsiTheme="minorHAnsi" w:cs="Calibri"/>
          <w:bCs/>
          <w:sz w:val="20"/>
          <w:szCs w:val="20"/>
          <w:lang w:eastAsia="en-AU"/>
        </w:rPr>
      </w:pPr>
    </w:p>
    <w:p w14:paraId="2ACA1064" w14:textId="4B84E0CB" w:rsidR="00914B73" w:rsidRPr="00CE2187" w:rsidRDefault="00914B73" w:rsidP="00914B73">
      <w:pPr>
        <w:spacing w:after="0" w:line="240" w:lineRule="auto"/>
        <w:jc w:val="both"/>
        <w:rPr>
          <w:rFonts w:asciiTheme="minorHAnsi" w:hAnsiTheme="minorHAnsi"/>
          <w:sz w:val="20"/>
          <w:szCs w:val="20"/>
        </w:rPr>
      </w:pPr>
      <w:r w:rsidRPr="00CE2187">
        <w:rPr>
          <w:rFonts w:asciiTheme="minorHAnsi" w:hAnsiTheme="minorHAnsi"/>
          <w:sz w:val="20"/>
          <w:szCs w:val="20"/>
        </w:rPr>
        <w:t xml:space="preserve">Research </w:t>
      </w:r>
      <w:r w:rsidR="00CE2187" w:rsidRPr="00CE2187">
        <w:rPr>
          <w:rFonts w:asciiTheme="minorHAnsi" w:hAnsiTheme="minorHAnsi"/>
          <w:sz w:val="20"/>
          <w:szCs w:val="20"/>
        </w:rPr>
        <w:t xml:space="preserve">(VicHealth 2007, Action Aid UK 2014, UN Women 2014) </w:t>
      </w:r>
      <w:r w:rsidRPr="00CE2187">
        <w:rPr>
          <w:rFonts w:asciiTheme="minorHAnsi" w:hAnsiTheme="minorHAnsi"/>
          <w:sz w:val="20"/>
          <w:szCs w:val="20"/>
        </w:rPr>
        <w:t xml:space="preserve">shows that the most significant determinants of violence against women are: </w:t>
      </w:r>
    </w:p>
    <w:p w14:paraId="4A7667CC" w14:textId="77777777" w:rsidR="00914B73" w:rsidRPr="00CE2187" w:rsidRDefault="00914B73" w:rsidP="00914B73">
      <w:pPr>
        <w:pStyle w:val="ListParagraph"/>
        <w:numPr>
          <w:ilvl w:val="0"/>
          <w:numId w:val="5"/>
        </w:numPr>
        <w:jc w:val="both"/>
        <w:rPr>
          <w:sz w:val="20"/>
          <w:szCs w:val="20"/>
        </w:rPr>
      </w:pPr>
      <w:r w:rsidRPr="00CE2187">
        <w:rPr>
          <w:sz w:val="20"/>
          <w:szCs w:val="20"/>
        </w:rPr>
        <w:t xml:space="preserve">the unequal distribution of power and resources between men and women, and institutional, cultural and individual support for (or weak sanctions against) gender inequality; and, </w:t>
      </w:r>
    </w:p>
    <w:p w14:paraId="3B78CAA9" w14:textId="306781D4" w:rsidR="00914B73" w:rsidRPr="00CE2187" w:rsidRDefault="00914B73" w:rsidP="00914B73">
      <w:pPr>
        <w:pStyle w:val="ListParagraph"/>
        <w:numPr>
          <w:ilvl w:val="0"/>
          <w:numId w:val="5"/>
        </w:numPr>
        <w:jc w:val="both"/>
        <w:rPr>
          <w:sz w:val="20"/>
          <w:szCs w:val="20"/>
        </w:rPr>
      </w:pPr>
      <w:proofErr w:type="gramStart"/>
      <w:r w:rsidRPr="00CE2187">
        <w:rPr>
          <w:sz w:val="20"/>
          <w:szCs w:val="20"/>
        </w:rPr>
        <w:t>an</w:t>
      </w:r>
      <w:proofErr w:type="gramEnd"/>
      <w:r w:rsidRPr="00CE2187">
        <w:rPr>
          <w:sz w:val="20"/>
          <w:szCs w:val="20"/>
        </w:rPr>
        <w:t xml:space="preserve"> adherence to rigidly defined gender roles expressed institutionally, culturally, organisationally and individually.</w:t>
      </w:r>
    </w:p>
    <w:p w14:paraId="24038F29" w14:textId="77777777" w:rsidR="00914B73" w:rsidRPr="00CE2187" w:rsidRDefault="00914B73" w:rsidP="00914B73">
      <w:pPr>
        <w:spacing w:after="0" w:line="240" w:lineRule="auto"/>
        <w:jc w:val="both"/>
        <w:rPr>
          <w:rFonts w:asciiTheme="minorHAnsi" w:hAnsiTheme="minorHAnsi"/>
          <w:sz w:val="20"/>
          <w:szCs w:val="20"/>
        </w:rPr>
      </w:pPr>
    </w:p>
    <w:p w14:paraId="4B4EFFB0" w14:textId="54B8A266" w:rsidR="00914B73" w:rsidRPr="00914B73" w:rsidRDefault="00914B73" w:rsidP="00914B73">
      <w:pPr>
        <w:spacing w:after="0" w:line="240" w:lineRule="auto"/>
        <w:jc w:val="both"/>
        <w:rPr>
          <w:rFonts w:asciiTheme="minorHAnsi" w:hAnsiTheme="minorHAnsi"/>
          <w:sz w:val="20"/>
          <w:szCs w:val="20"/>
        </w:rPr>
      </w:pPr>
      <w:r w:rsidRPr="00914B73">
        <w:rPr>
          <w:rFonts w:asciiTheme="minorHAnsi" w:hAnsiTheme="minorHAnsi"/>
          <w:sz w:val="20"/>
          <w:szCs w:val="20"/>
        </w:rPr>
        <w:t xml:space="preserve">These factors are frequently exacerbated and altered for women and girls with disabilities due to the structural inequality and </w:t>
      </w:r>
      <w:r w:rsidR="00285A83">
        <w:rPr>
          <w:rFonts w:asciiTheme="minorHAnsi" w:hAnsiTheme="minorHAnsi"/>
          <w:sz w:val="20"/>
          <w:szCs w:val="20"/>
        </w:rPr>
        <w:t>multiple and intersecting forms of</w:t>
      </w:r>
      <w:r w:rsidRPr="00914B73">
        <w:rPr>
          <w:rFonts w:asciiTheme="minorHAnsi" w:hAnsiTheme="minorHAnsi"/>
          <w:sz w:val="20"/>
          <w:szCs w:val="20"/>
        </w:rPr>
        <w:t xml:space="preserve"> discrimination they face. Women and girls with disabilit</w:t>
      </w:r>
      <w:r w:rsidR="00CE2187">
        <w:rPr>
          <w:rFonts w:asciiTheme="minorHAnsi" w:hAnsiTheme="minorHAnsi"/>
          <w:sz w:val="20"/>
          <w:szCs w:val="20"/>
        </w:rPr>
        <w:t>ies</w:t>
      </w:r>
      <w:r w:rsidRPr="00914B73">
        <w:rPr>
          <w:rFonts w:asciiTheme="minorHAnsi" w:hAnsiTheme="minorHAnsi"/>
          <w:sz w:val="20"/>
          <w:szCs w:val="20"/>
        </w:rPr>
        <w:t xml:space="preserve"> have fewer opportunities, lower status and less power and influence than men and boys with disabilit</w:t>
      </w:r>
      <w:r w:rsidR="00CE2187">
        <w:rPr>
          <w:rFonts w:asciiTheme="minorHAnsi" w:hAnsiTheme="minorHAnsi"/>
          <w:sz w:val="20"/>
          <w:szCs w:val="20"/>
        </w:rPr>
        <w:t>ies (WWDA 2010)</w:t>
      </w:r>
      <w:r w:rsidRPr="00914B73">
        <w:rPr>
          <w:rFonts w:asciiTheme="minorHAnsi" w:hAnsiTheme="minorHAnsi"/>
          <w:sz w:val="20"/>
          <w:szCs w:val="20"/>
        </w:rPr>
        <w:t xml:space="preserve">. </w:t>
      </w:r>
      <w:r w:rsidRPr="00914B73">
        <w:rPr>
          <w:rFonts w:asciiTheme="minorHAnsi" w:hAnsiTheme="minorHAnsi"/>
          <w:bCs/>
          <w:sz w:val="20"/>
          <w:szCs w:val="20"/>
        </w:rPr>
        <w:t>Gender-based assumptions and expectations place women with disability at a disadvantage with respect to substantive enjoyment of rights, such as freedom to act and to be recognised as autonomous, fully capable adults, to participate fully in economic, social and political development, and to make decisions concerning their circumstances and conditions</w:t>
      </w:r>
      <w:r w:rsidR="00CE2187">
        <w:rPr>
          <w:rFonts w:asciiTheme="minorHAnsi" w:hAnsiTheme="minorHAnsi"/>
          <w:bCs/>
          <w:sz w:val="20"/>
          <w:szCs w:val="20"/>
        </w:rPr>
        <w:t xml:space="preserve"> </w:t>
      </w:r>
      <w:r w:rsidR="00CE2187">
        <w:rPr>
          <w:rFonts w:asciiTheme="minorHAnsi" w:hAnsiTheme="minorHAnsi"/>
          <w:sz w:val="20"/>
          <w:szCs w:val="20"/>
        </w:rPr>
        <w:t>(</w:t>
      </w:r>
      <w:r w:rsidR="00CE2187">
        <w:rPr>
          <w:rFonts w:asciiTheme="minorHAnsi" w:hAnsiTheme="minorHAnsi" w:cs="Calibri"/>
          <w:sz w:val="20"/>
          <w:szCs w:val="20"/>
        </w:rPr>
        <w:t xml:space="preserve">Frohmader &amp; </w:t>
      </w:r>
      <w:proofErr w:type="spellStart"/>
      <w:r w:rsidR="00CE2187" w:rsidRPr="002D0E34">
        <w:rPr>
          <w:rFonts w:asciiTheme="minorHAnsi" w:hAnsiTheme="minorHAnsi" w:cs="Calibri"/>
          <w:sz w:val="20"/>
          <w:szCs w:val="20"/>
        </w:rPr>
        <w:t>Cadwallader</w:t>
      </w:r>
      <w:proofErr w:type="spellEnd"/>
      <w:r w:rsidR="00CE2187" w:rsidRPr="002D0E34">
        <w:rPr>
          <w:rFonts w:asciiTheme="minorHAnsi" w:hAnsiTheme="minorHAnsi" w:cs="Calibri"/>
          <w:sz w:val="20"/>
          <w:szCs w:val="20"/>
        </w:rPr>
        <w:t xml:space="preserve"> 2014</w:t>
      </w:r>
      <w:r w:rsidR="00CE2187">
        <w:rPr>
          <w:rFonts w:asciiTheme="minorHAnsi" w:hAnsiTheme="minorHAnsi" w:cs="Calibri"/>
          <w:sz w:val="20"/>
          <w:szCs w:val="20"/>
        </w:rPr>
        <w:t>, Frohmader 2014)</w:t>
      </w:r>
      <w:r w:rsidRPr="00914B73">
        <w:rPr>
          <w:rFonts w:asciiTheme="minorHAnsi" w:hAnsiTheme="minorHAnsi"/>
          <w:bCs/>
          <w:sz w:val="20"/>
          <w:szCs w:val="20"/>
        </w:rPr>
        <w:t>.</w:t>
      </w:r>
    </w:p>
    <w:p w14:paraId="3797E299" w14:textId="0CA1935D" w:rsidR="00914B73" w:rsidRPr="00DF152E" w:rsidRDefault="00914B73" w:rsidP="00547E33">
      <w:pPr>
        <w:spacing w:after="0" w:line="240" w:lineRule="auto"/>
        <w:jc w:val="both"/>
        <w:rPr>
          <w:rFonts w:asciiTheme="minorHAnsi" w:hAnsiTheme="minorHAnsi"/>
          <w:sz w:val="20"/>
          <w:szCs w:val="20"/>
        </w:rPr>
      </w:pPr>
    </w:p>
    <w:p w14:paraId="018DAE24" w14:textId="51858EFC" w:rsidR="00547E33" w:rsidRPr="00DF152E" w:rsidRDefault="00914B73" w:rsidP="00547E33">
      <w:pPr>
        <w:spacing w:after="0" w:line="240" w:lineRule="auto"/>
        <w:jc w:val="both"/>
        <w:rPr>
          <w:rFonts w:asciiTheme="minorHAnsi" w:hAnsiTheme="minorHAnsi"/>
          <w:sz w:val="20"/>
          <w:szCs w:val="20"/>
        </w:rPr>
      </w:pPr>
      <w:r w:rsidRPr="00DF152E">
        <w:rPr>
          <w:rFonts w:asciiTheme="minorHAnsi" w:hAnsiTheme="minorHAnsi"/>
          <w:sz w:val="20"/>
          <w:szCs w:val="20"/>
        </w:rPr>
        <w:t xml:space="preserve">A critical aspect of promoting gender equality is the empowerment of women, with a focus on identifying and redressing power imbalances and giving women more autonomy to manage their own lives. However as noted by the 2013 national </w:t>
      </w:r>
      <w:r w:rsidRPr="00DF152E">
        <w:rPr>
          <w:rFonts w:asciiTheme="minorHAnsi" w:hAnsiTheme="minorHAnsi"/>
          <w:i/>
          <w:sz w:val="20"/>
          <w:szCs w:val="20"/>
        </w:rPr>
        <w:t>‘Stop the Violence Project’</w:t>
      </w:r>
      <w:r w:rsidRPr="00DF152E">
        <w:rPr>
          <w:rFonts w:asciiTheme="minorHAnsi" w:hAnsiTheme="minorHAnsi"/>
          <w:sz w:val="20"/>
          <w:szCs w:val="20"/>
        </w:rPr>
        <w:t xml:space="preserve"> (STVP), women and girls with disabilit</w:t>
      </w:r>
      <w:r w:rsidR="00CE2187">
        <w:rPr>
          <w:rFonts w:asciiTheme="minorHAnsi" w:hAnsiTheme="minorHAnsi"/>
          <w:sz w:val="20"/>
          <w:szCs w:val="20"/>
        </w:rPr>
        <w:t>ies</w:t>
      </w:r>
      <w:r w:rsidRPr="00DF152E">
        <w:rPr>
          <w:rFonts w:asciiTheme="minorHAnsi" w:hAnsiTheme="minorHAnsi"/>
          <w:sz w:val="20"/>
          <w:szCs w:val="20"/>
        </w:rPr>
        <w:t xml:space="preserve"> are at high risk of gender</w:t>
      </w:r>
      <w:r w:rsidR="00CE2187">
        <w:rPr>
          <w:rFonts w:asciiTheme="minorHAnsi" w:hAnsiTheme="minorHAnsi"/>
          <w:sz w:val="20"/>
          <w:szCs w:val="20"/>
        </w:rPr>
        <w:t xml:space="preserve">ed </w:t>
      </w:r>
      <w:r w:rsidR="00DF152E">
        <w:rPr>
          <w:rFonts w:asciiTheme="minorHAnsi" w:hAnsiTheme="minorHAnsi"/>
          <w:sz w:val="20"/>
          <w:szCs w:val="20"/>
        </w:rPr>
        <w:t>disability</w:t>
      </w:r>
      <w:r w:rsidRPr="00DF152E">
        <w:rPr>
          <w:rFonts w:asciiTheme="minorHAnsi" w:hAnsiTheme="minorHAnsi"/>
          <w:sz w:val="20"/>
          <w:szCs w:val="20"/>
        </w:rPr>
        <w:t xml:space="preserve"> violence based on social stereotypes and biases that attempt to dehumanise or infantilise them, exclude or isolate them, target them for sexual and other forms of violence, and put them at greater risk of institutionalised violence</w:t>
      </w:r>
      <w:r w:rsidR="00CE2187">
        <w:rPr>
          <w:rFonts w:asciiTheme="minorHAnsi" w:hAnsiTheme="minorHAnsi"/>
          <w:sz w:val="20"/>
          <w:szCs w:val="20"/>
        </w:rPr>
        <w:t xml:space="preserve"> (Dowse et al 2013, WWDA et al 2013)</w:t>
      </w:r>
      <w:r w:rsidRPr="00DF152E">
        <w:rPr>
          <w:rFonts w:asciiTheme="minorHAnsi" w:hAnsiTheme="minorHAnsi"/>
          <w:sz w:val="20"/>
          <w:szCs w:val="20"/>
        </w:rPr>
        <w:t>. A combination of factors at the societal and individual level – such as exclusion from participation in community life due to prejudices, stigma and discrimination, lack of access to quality education, employment and livelihood, as well as access to healthcare and other support services and resources - result in marginalisation, disempowerment, dehumanisation and the systemic denial of the rights of women and girls with disability</w:t>
      </w:r>
      <w:r w:rsidR="00CE2187">
        <w:rPr>
          <w:rFonts w:asciiTheme="minorHAnsi" w:hAnsiTheme="minorHAnsi"/>
          <w:sz w:val="20"/>
          <w:szCs w:val="20"/>
        </w:rPr>
        <w:t xml:space="preserve"> (Dowse et al 2013)</w:t>
      </w:r>
      <w:r w:rsidRPr="00DF152E">
        <w:rPr>
          <w:rFonts w:asciiTheme="minorHAnsi" w:hAnsiTheme="minorHAnsi"/>
          <w:sz w:val="20"/>
          <w:szCs w:val="20"/>
        </w:rPr>
        <w:t>.</w:t>
      </w:r>
      <w:r w:rsidR="00547E33">
        <w:rPr>
          <w:rFonts w:asciiTheme="minorHAnsi" w:hAnsiTheme="minorHAnsi"/>
          <w:sz w:val="20"/>
          <w:szCs w:val="20"/>
        </w:rPr>
        <w:t xml:space="preserve"> </w:t>
      </w:r>
    </w:p>
    <w:p w14:paraId="7ABB275A" w14:textId="6B003211" w:rsidR="00914B73" w:rsidRDefault="00914B73" w:rsidP="00547E33">
      <w:pPr>
        <w:spacing w:after="0" w:line="240" w:lineRule="auto"/>
        <w:jc w:val="both"/>
        <w:rPr>
          <w:rFonts w:asciiTheme="minorHAnsi" w:hAnsiTheme="minorHAnsi"/>
          <w:sz w:val="20"/>
          <w:szCs w:val="20"/>
        </w:rPr>
      </w:pPr>
    </w:p>
    <w:p w14:paraId="3B39DA1D" w14:textId="543B4C68" w:rsidR="00547E33" w:rsidRPr="00DF152E" w:rsidRDefault="00547E33" w:rsidP="00547E33">
      <w:pPr>
        <w:spacing w:after="0" w:line="240" w:lineRule="auto"/>
        <w:jc w:val="both"/>
        <w:rPr>
          <w:rFonts w:asciiTheme="minorHAnsi" w:hAnsiTheme="minorHAnsi"/>
          <w:sz w:val="20"/>
          <w:szCs w:val="20"/>
        </w:rPr>
      </w:pPr>
      <w:r>
        <w:rPr>
          <w:rFonts w:asciiTheme="minorHAnsi" w:hAnsiTheme="minorHAnsi"/>
          <w:sz w:val="20"/>
          <w:szCs w:val="20"/>
        </w:rPr>
        <w:t>R</w:t>
      </w:r>
      <w:r w:rsidRPr="00DF152E">
        <w:rPr>
          <w:rFonts w:asciiTheme="minorHAnsi" w:hAnsiTheme="minorHAnsi"/>
          <w:sz w:val="20"/>
          <w:szCs w:val="20"/>
        </w:rPr>
        <w:t xml:space="preserve">esearch has found that there remains a significant lack of awareness and understanding of the extent, nature, incidence, and impact of </w:t>
      </w:r>
      <w:r w:rsidR="003C45A7" w:rsidRPr="00DF152E">
        <w:rPr>
          <w:rFonts w:asciiTheme="minorHAnsi" w:hAnsiTheme="minorHAnsi"/>
          <w:sz w:val="20"/>
          <w:szCs w:val="20"/>
        </w:rPr>
        <w:t>gendered</w:t>
      </w:r>
      <w:r w:rsidR="00285A83">
        <w:rPr>
          <w:rFonts w:asciiTheme="minorHAnsi" w:hAnsiTheme="minorHAnsi"/>
          <w:sz w:val="20"/>
          <w:szCs w:val="20"/>
        </w:rPr>
        <w:t xml:space="preserve"> </w:t>
      </w:r>
      <w:r w:rsidR="003C45A7">
        <w:rPr>
          <w:rFonts w:asciiTheme="minorHAnsi" w:hAnsiTheme="minorHAnsi"/>
          <w:sz w:val="20"/>
          <w:szCs w:val="20"/>
        </w:rPr>
        <w:t xml:space="preserve">disability </w:t>
      </w:r>
      <w:r w:rsidRPr="00DF152E">
        <w:rPr>
          <w:rFonts w:asciiTheme="minorHAnsi" w:hAnsiTheme="minorHAnsi"/>
          <w:sz w:val="20"/>
          <w:szCs w:val="20"/>
        </w:rPr>
        <w:t>violence at the individual, community, service provider, and criminal justice system levels</w:t>
      </w:r>
      <w:r w:rsidR="00CE2187">
        <w:rPr>
          <w:rFonts w:asciiTheme="minorHAnsi" w:hAnsiTheme="minorHAnsi"/>
          <w:sz w:val="20"/>
          <w:szCs w:val="20"/>
        </w:rPr>
        <w:t xml:space="preserve"> (Dowse et al 2013, WWDA et al 2013)</w:t>
      </w:r>
      <w:r w:rsidRPr="00DF152E">
        <w:rPr>
          <w:rFonts w:asciiTheme="minorHAnsi" w:hAnsiTheme="minorHAnsi"/>
          <w:sz w:val="20"/>
          <w:szCs w:val="20"/>
        </w:rPr>
        <w:t xml:space="preserve">. </w:t>
      </w:r>
      <w:r w:rsidR="003C45A7">
        <w:rPr>
          <w:rFonts w:asciiTheme="minorHAnsi" w:hAnsiTheme="minorHAnsi"/>
          <w:sz w:val="20"/>
          <w:szCs w:val="20"/>
        </w:rPr>
        <w:t>W</w:t>
      </w:r>
      <w:r w:rsidRPr="00DF152E">
        <w:rPr>
          <w:rFonts w:asciiTheme="minorHAnsi" w:hAnsiTheme="minorHAnsi"/>
          <w:sz w:val="20"/>
          <w:szCs w:val="20"/>
        </w:rPr>
        <w:t>omen and girls</w:t>
      </w:r>
      <w:r w:rsidR="003C45A7">
        <w:rPr>
          <w:rFonts w:asciiTheme="minorHAnsi" w:hAnsiTheme="minorHAnsi"/>
          <w:sz w:val="20"/>
          <w:szCs w:val="20"/>
        </w:rPr>
        <w:t xml:space="preserve"> with disabilities</w:t>
      </w:r>
      <w:r w:rsidRPr="00DF152E">
        <w:rPr>
          <w:rFonts w:asciiTheme="minorHAnsi" w:hAnsiTheme="minorHAnsi"/>
          <w:sz w:val="20"/>
          <w:szCs w:val="20"/>
        </w:rPr>
        <w:t xml:space="preserve"> are regularly deprived of the information, education and skills to recognise and address violence. </w:t>
      </w:r>
      <w:r w:rsidR="003C45A7">
        <w:rPr>
          <w:rFonts w:asciiTheme="minorHAnsi" w:hAnsiTheme="minorHAnsi"/>
          <w:sz w:val="20"/>
          <w:szCs w:val="20"/>
        </w:rPr>
        <w:t>T</w:t>
      </w:r>
      <w:r w:rsidRPr="00DF152E">
        <w:rPr>
          <w:rFonts w:asciiTheme="minorHAnsi" w:hAnsiTheme="minorHAnsi"/>
          <w:sz w:val="20"/>
          <w:szCs w:val="20"/>
        </w:rPr>
        <w:t xml:space="preserve">hose who </w:t>
      </w:r>
      <w:proofErr w:type="gramStart"/>
      <w:r w:rsidR="003C45A7" w:rsidRPr="00227EB6">
        <w:rPr>
          <w:rFonts w:asciiTheme="minorHAnsi" w:hAnsiTheme="minorHAnsi" w:cs="Calibri"/>
          <w:bCs/>
          <w:sz w:val="20"/>
          <w:szCs w:val="20"/>
          <w:lang w:eastAsia="en-AU"/>
        </w:rPr>
        <w:t>live,</w:t>
      </w:r>
      <w:proofErr w:type="gramEnd"/>
      <w:r w:rsidR="003C45A7" w:rsidRPr="00227EB6">
        <w:rPr>
          <w:rFonts w:asciiTheme="minorHAnsi" w:hAnsiTheme="minorHAnsi" w:cs="Calibri"/>
          <w:bCs/>
          <w:sz w:val="20"/>
          <w:szCs w:val="20"/>
          <w:lang w:eastAsia="en-AU"/>
        </w:rPr>
        <w:t xml:space="preserve"> occupy, and/or experience</w:t>
      </w:r>
      <w:r w:rsidR="003C45A7">
        <w:rPr>
          <w:rFonts w:asciiTheme="minorHAnsi" w:hAnsiTheme="minorHAnsi" w:cs="Calibri"/>
          <w:bCs/>
          <w:sz w:val="20"/>
          <w:szCs w:val="20"/>
          <w:lang w:eastAsia="en-AU"/>
        </w:rPr>
        <w:t xml:space="preserve"> </w:t>
      </w:r>
      <w:r w:rsidR="003C45A7" w:rsidRPr="00DF152E">
        <w:rPr>
          <w:rFonts w:asciiTheme="minorHAnsi" w:hAnsiTheme="minorHAnsi"/>
          <w:sz w:val="20"/>
          <w:szCs w:val="20"/>
        </w:rPr>
        <w:t>institutional</w:t>
      </w:r>
      <w:r w:rsidR="003C45A7">
        <w:rPr>
          <w:rFonts w:asciiTheme="minorHAnsi" w:hAnsiTheme="minorHAnsi"/>
          <w:sz w:val="20"/>
          <w:szCs w:val="20"/>
        </w:rPr>
        <w:t xml:space="preserve">, </w:t>
      </w:r>
      <w:r w:rsidR="003C45A7" w:rsidRPr="00DF152E">
        <w:rPr>
          <w:rFonts w:asciiTheme="minorHAnsi" w:hAnsiTheme="minorHAnsi"/>
          <w:sz w:val="20"/>
          <w:szCs w:val="20"/>
        </w:rPr>
        <w:t xml:space="preserve">residential </w:t>
      </w:r>
      <w:r w:rsidR="003C45A7">
        <w:rPr>
          <w:rFonts w:asciiTheme="minorHAnsi" w:hAnsiTheme="minorHAnsi"/>
          <w:sz w:val="20"/>
          <w:szCs w:val="20"/>
        </w:rPr>
        <w:t xml:space="preserve">and service </w:t>
      </w:r>
      <w:r w:rsidR="003C45A7" w:rsidRPr="00DF152E">
        <w:rPr>
          <w:rFonts w:asciiTheme="minorHAnsi" w:hAnsiTheme="minorHAnsi"/>
          <w:sz w:val="20"/>
          <w:szCs w:val="20"/>
        </w:rPr>
        <w:t>settings</w:t>
      </w:r>
      <w:r w:rsidR="003C45A7">
        <w:rPr>
          <w:rFonts w:asciiTheme="minorHAnsi" w:hAnsiTheme="minorHAnsi"/>
          <w:sz w:val="20"/>
          <w:szCs w:val="20"/>
        </w:rPr>
        <w:t xml:space="preserve"> </w:t>
      </w:r>
      <w:r w:rsidRPr="00DF152E">
        <w:rPr>
          <w:rFonts w:asciiTheme="minorHAnsi" w:hAnsiTheme="minorHAnsi"/>
          <w:sz w:val="20"/>
          <w:szCs w:val="20"/>
        </w:rPr>
        <w:t xml:space="preserve">are </w:t>
      </w:r>
      <w:r w:rsidR="003C45A7">
        <w:rPr>
          <w:rFonts w:asciiTheme="minorHAnsi" w:hAnsiTheme="minorHAnsi"/>
          <w:sz w:val="20"/>
          <w:szCs w:val="20"/>
        </w:rPr>
        <w:t xml:space="preserve">often </w:t>
      </w:r>
      <w:r w:rsidRPr="00DF152E">
        <w:rPr>
          <w:rFonts w:asciiTheme="minorHAnsi" w:hAnsiTheme="minorHAnsi"/>
          <w:sz w:val="20"/>
          <w:szCs w:val="20"/>
        </w:rPr>
        <w:t xml:space="preserve">taught and ‘rewarded’ for, </w:t>
      </w:r>
      <w:r w:rsidRPr="00DF152E">
        <w:rPr>
          <w:rFonts w:asciiTheme="minorHAnsi" w:hAnsiTheme="minorHAnsi"/>
          <w:sz w:val="20"/>
          <w:szCs w:val="20"/>
        </w:rPr>
        <w:lastRenderedPageBreak/>
        <w:t xml:space="preserve">unquestioning compliance. In such settings, criminal behaviours </w:t>
      </w:r>
      <w:r w:rsidR="003C45A7">
        <w:rPr>
          <w:rFonts w:asciiTheme="minorHAnsi" w:hAnsiTheme="minorHAnsi"/>
          <w:sz w:val="20"/>
          <w:szCs w:val="20"/>
        </w:rPr>
        <w:t>are</w:t>
      </w:r>
      <w:r w:rsidRPr="00DF152E">
        <w:rPr>
          <w:rFonts w:asciiTheme="minorHAnsi" w:hAnsiTheme="minorHAnsi"/>
          <w:sz w:val="20"/>
          <w:szCs w:val="20"/>
        </w:rPr>
        <w:t xml:space="preserve"> </w:t>
      </w:r>
      <w:r w:rsidR="003C45A7">
        <w:rPr>
          <w:rFonts w:asciiTheme="minorHAnsi" w:hAnsiTheme="minorHAnsi"/>
          <w:sz w:val="20"/>
          <w:szCs w:val="20"/>
        </w:rPr>
        <w:t>often</w:t>
      </w:r>
      <w:r w:rsidRPr="00DF152E">
        <w:rPr>
          <w:rFonts w:asciiTheme="minorHAnsi" w:hAnsiTheme="minorHAnsi"/>
          <w:sz w:val="20"/>
          <w:szCs w:val="20"/>
        </w:rPr>
        <w:t xml:space="preserve"> normalised. Many </w:t>
      </w:r>
      <w:r w:rsidR="003C45A7">
        <w:rPr>
          <w:rFonts w:asciiTheme="minorHAnsi" w:hAnsiTheme="minorHAnsi"/>
          <w:sz w:val="20"/>
          <w:szCs w:val="20"/>
        </w:rPr>
        <w:t>w</w:t>
      </w:r>
      <w:r w:rsidR="003C45A7" w:rsidRPr="00DF152E">
        <w:rPr>
          <w:rFonts w:asciiTheme="minorHAnsi" w:hAnsiTheme="minorHAnsi"/>
          <w:sz w:val="20"/>
          <w:szCs w:val="20"/>
        </w:rPr>
        <w:t>omen and girls</w:t>
      </w:r>
      <w:r w:rsidR="003C45A7">
        <w:rPr>
          <w:rFonts w:asciiTheme="minorHAnsi" w:hAnsiTheme="minorHAnsi"/>
          <w:sz w:val="20"/>
          <w:szCs w:val="20"/>
        </w:rPr>
        <w:t xml:space="preserve"> with disabilities</w:t>
      </w:r>
      <w:r w:rsidR="003C45A7" w:rsidRPr="00DF152E">
        <w:rPr>
          <w:rFonts w:asciiTheme="minorHAnsi" w:hAnsiTheme="minorHAnsi"/>
          <w:sz w:val="20"/>
          <w:szCs w:val="20"/>
        </w:rPr>
        <w:t xml:space="preserve"> </w:t>
      </w:r>
      <w:r w:rsidRPr="00DF152E">
        <w:rPr>
          <w:rFonts w:asciiTheme="minorHAnsi" w:hAnsiTheme="minorHAnsi"/>
          <w:sz w:val="20"/>
          <w:szCs w:val="20"/>
        </w:rPr>
        <w:t xml:space="preserve">do not recognise the violence perpetrated against them as a crime, are unaware of how to seek help and support; or are actively prevented from seeking help and support. There is a dearth of accessible information and education resources about violence against </w:t>
      </w:r>
      <w:r w:rsidR="003C45A7">
        <w:rPr>
          <w:rFonts w:asciiTheme="minorHAnsi" w:hAnsiTheme="minorHAnsi"/>
          <w:sz w:val="20"/>
          <w:szCs w:val="20"/>
        </w:rPr>
        <w:t>w</w:t>
      </w:r>
      <w:r w:rsidR="003C45A7" w:rsidRPr="00DF152E">
        <w:rPr>
          <w:rFonts w:asciiTheme="minorHAnsi" w:hAnsiTheme="minorHAnsi"/>
          <w:sz w:val="20"/>
          <w:szCs w:val="20"/>
        </w:rPr>
        <w:t>omen and girls</w:t>
      </w:r>
      <w:r w:rsidR="003C45A7">
        <w:rPr>
          <w:rFonts w:asciiTheme="minorHAnsi" w:hAnsiTheme="minorHAnsi"/>
          <w:sz w:val="20"/>
          <w:szCs w:val="20"/>
        </w:rPr>
        <w:t xml:space="preserve"> with disabilities</w:t>
      </w:r>
      <w:r w:rsidRPr="00DF152E">
        <w:rPr>
          <w:rFonts w:asciiTheme="minorHAnsi" w:hAnsiTheme="minorHAnsi"/>
          <w:sz w:val="20"/>
          <w:szCs w:val="20"/>
        </w:rPr>
        <w:t xml:space="preserve"> - for </w:t>
      </w:r>
      <w:r w:rsidR="003C45A7">
        <w:rPr>
          <w:rFonts w:asciiTheme="minorHAnsi" w:hAnsiTheme="minorHAnsi"/>
          <w:sz w:val="20"/>
          <w:szCs w:val="20"/>
        </w:rPr>
        <w:t>the women</w:t>
      </w:r>
      <w:r w:rsidRPr="00DF152E">
        <w:rPr>
          <w:rFonts w:asciiTheme="minorHAnsi" w:hAnsiTheme="minorHAnsi"/>
          <w:sz w:val="20"/>
          <w:szCs w:val="20"/>
        </w:rPr>
        <w:t xml:space="preserve"> themselves, the service sector, and the broader community</w:t>
      </w:r>
      <w:r w:rsidR="00FB27EE">
        <w:rPr>
          <w:rFonts w:asciiTheme="minorHAnsi" w:hAnsiTheme="minorHAnsi"/>
          <w:sz w:val="20"/>
          <w:szCs w:val="20"/>
        </w:rPr>
        <w:t xml:space="preserve"> (</w:t>
      </w:r>
      <w:r w:rsidR="00CE2187">
        <w:rPr>
          <w:rFonts w:asciiTheme="minorHAnsi" w:hAnsiTheme="minorHAnsi" w:cs="Calibri"/>
          <w:sz w:val="20"/>
          <w:szCs w:val="20"/>
        </w:rPr>
        <w:t xml:space="preserve">Frohmader &amp; </w:t>
      </w:r>
      <w:proofErr w:type="spellStart"/>
      <w:r w:rsidR="00CE2187" w:rsidRPr="002D0E34">
        <w:rPr>
          <w:rFonts w:asciiTheme="minorHAnsi" w:hAnsiTheme="minorHAnsi" w:cs="Calibri"/>
          <w:sz w:val="20"/>
          <w:szCs w:val="20"/>
        </w:rPr>
        <w:t>Cadwallader</w:t>
      </w:r>
      <w:proofErr w:type="spellEnd"/>
      <w:r w:rsidR="00CE2187" w:rsidRPr="002D0E34">
        <w:rPr>
          <w:rFonts w:asciiTheme="minorHAnsi" w:hAnsiTheme="minorHAnsi" w:cs="Calibri"/>
          <w:sz w:val="20"/>
          <w:szCs w:val="20"/>
        </w:rPr>
        <w:t xml:space="preserve"> 2014</w:t>
      </w:r>
      <w:r w:rsidR="00FB27EE">
        <w:rPr>
          <w:rFonts w:asciiTheme="minorHAnsi" w:hAnsiTheme="minorHAnsi"/>
          <w:sz w:val="20"/>
          <w:szCs w:val="20"/>
        </w:rPr>
        <w:t>)</w:t>
      </w:r>
      <w:r w:rsidRPr="00DF152E">
        <w:rPr>
          <w:rFonts w:asciiTheme="minorHAnsi" w:hAnsiTheme="minorHAnsi"/>
          <w:sz w:val="20"/>
          <w:szCs w:val="20"/>
        </w:rPr>
        <w:t>.</w:t>
      </w:r>
    </w:p>
    <w:p w14:paraId="23C08142" w14:textId="77777777" w:rsidR="00547E33" w:rsidRDefault="00547E33" w:rsidP="00547E33">
      <w:pPr>
        <w:spacing w:after="0" w:line="240" w:lineRule="auto"/>
        <w:jc w:val="both"/>
        <w:rPr>
          <w:rFonts w:asciiTheme="minorHAnsi" w:hAnsiTheme="minorHAnsi"/>
          <w:sz w:val="20"/>
          <w:szCs w:val="20"/>
        </w:rPr>
      </w:pPr>
    </w:p>
    <w:p w14:paraId="3E112A11" w14:textId="14EC692B" w:rsidR="00547E33" w:rsidRPr="00DF152E" w:rsidRDefault="00547E33" w:rsidP="00547E33">
      <w:pPr>
        <w:spacing w:after="0" w:line="240" w:lineRule="auto"/>
        <w:jc w:val="both"/>
        <w:rPr>
          <w:rFonts w:asciiTheme="minorHAnsi" w:hAnsiTheme="minorHAnsi"/>
          <w:sz w:val="20"/>
          <w:szCs w:val="20"/>
        </w:rPr>
      </w:pPr>
      <w:r w:rsidRPr="00DF152E">
        <w:rPr>
          <w:rFonts w:asciiTheme="minorHAnsi" w:hAnsiTheme="minorHAnsi"/>
          <w:sz w:val="20"/>
          <w:szCs w:val="20"/>
        </w:rPr>
        <w:t>The empowerment of women is vital in any framework to tackle violence against women and girls, and this is even more potent for women with disabilit</w:t>
      </w:r>
      <w:r>
        <w:rPr>
          <w:rFonts w:asciiTheme="minorHAnsi" w:hAnsiTheme="minorHAnsi"/>
          <w:sz w:val="20"/>
          <w:szCs w:val="20"/>
        </w:rPr>
        <w:t>ies</w:t>
      </w:r>
      <w:r w:rsidRPr="00DF152E">
        <w:rPr>
          <w:rFonts w:asciiTheme="minorHAnsi" w:hAnsiTheme="minorHAnsi"/>
          <w:sz w:val="20"/>
          <w:szCs w:val="20"/>
        </w:rPr>
        <w:t>, who have made it clear that empowerment for them comes from speaking and/or acting in their own interests; the presence of a collectivity and a basis in self-determination; and a discourse of human rights</w:t>
      </w:r>
      <w:r w:rsidR="00CE2187">
        <w:rPr>
          <w:rFonts w:asciiTheme="minorHAnsi" w:hAnsiTheme="minorHAnsi"/>
          <w:sz w:val="20"/>
          <w:szCs w:val="20"/>
        </w:rPr>
        <w:t xml:space="preserve"> (Frohmader 2011)</w:t>
      </w:r>
      <w:r w:rsidRPr="00DF152E">
        <w:rPr>
          <w:rFonts w:asciiTheme="minorHAnsi" w:hAnsiTheme="minorHAnsi"/>
          <w:sz w:val="20"/>
          <w:szCs w:val="20"/>
        </w:rPr>
        <w:t>.</w:t>
      </w:r>
      <w:r w:rsidR="00FB27EE">
        <w:rPr>
          <w:rFonts w:asciiTheme="minorHAnsi" w:hAnsiTheme="minorHAnsi"/>
          <w:sz w:val="20"/>
          <w:szCs w:val="20"/>
        </w:rPr>
        <w:t xml:space="preserve"> </w:t>
      </w:r>
      <w:r w:rsidR="00285A83">
        <w:rPr>
          <w:rFonts w:asciiTheme="minorHAnsi" w:hAnsiTheme="minorHAnsi"/>
          <w:sz w:val="20"/>
          <w:szCs w:val="20"/>
        </w:rPr>
        <w:t>‘</w:t>
      </w:r>
      <w:r w:rsidR="0042748A">
        <w:rPr>
          <w:rFonts w:asciiTheme="minorHAnsi" w:hAnsiTheme="minorHAnsi"/>
          <w:sz w:val="20"/>
          <w:szCs w:val="20"/>
        </w:rPr>
        <w:t>Empowerment</w:t>
      </w:r>
      <w:r w:rsidR="00285A83">
        <w:rPr>
          <w:rFonts w:asciiTheme="minorHAnsi" w:hAnsiTheme="minorHAnsi"/>
          <w:sz w:val="20"/>
          <w:szCs w:val="20"/>
        </w:rPr>
        <w:t>’</w:t>
      </w:r>
      <w:r w:rsidR="0042748A">
        <w:rPr>
          <w:rFonts w:asciiTheme="minorHAnsi" w:hAnsiTheme="minorHAnsi"/>
          <w:sz w:val="20"/>
          <w:szCs w:val="20"/>
        </w:rPr>
        <w:t xml:space="preserve"> in the context of women and girls with disabilities, means empowerment in </w:t>
      </w:r>
      <w:r w:rsidR="0042748A" w:rsidRPr="00285A83">
        <w:rPr>
          <w:rFonts w:asciiTheme="minorHAnsi" w:hAnsiTheme="minorHAnsi"/>
          <w:sz w:val="20"/>
          <w:szCs w:val="20"/>
          <w:u w:val="single"/>
        </w:rPr>
        <w:t>all</w:t>
      </w:r>
      <w:r w:rsidR="0042748A">
        <w:rPr>
          <w:rFonts w:asciiTheme="minorHAnsi" w:hAnsiTheme="minorHAnsi"/>
          <w:sz w:val="20"/>
          <w:szCs w:val="20"/>
        </w:rPr>
        <w:t xml:space="preserve"> aspects of life, including political and economic empowerment. This reflects the greater aim of achieving gender equality by increasing women’s agency and reducing their vulnerability to violence (Council of Europe 2013). </w:t>
      </w:r>
      <w:r w:rsidR="00FB27EE" w:rsidRPr="00DF152E">
        <w:rPr>
          <w:rFonts w:asciiTheme="minorHAnsi" w:hAnsiTheme="minorHAnsi"/>
          <w:sz w:val="20"/>
          <w:szCs w:val="20"/>
        </w:rPr>
        <w:t>Organisations, groups and networks of women with disabilit</w:t>
      </w:r>
      <w:r w:rsidR="0042748A">
        <w:rPr>
          <w:rFonts w:asciiTheme="minorHAnsi" w:hAnsiTheme="minorHAnsi"/>
          <w:sz w:val="20"/>
          <w:szCs w:val="20"/>
        </w:rPr>
        <w:t>ies</w:t>
      </w:r>
      <w:r w:rsidR="00FB27EE" w:rsidRPr="00DF152E">
        <w:rPr>
          <w:rFonts w:asciiTheme="minorHAnsi" w:hAnsiTheme="minorHAnsi"/>
          <w:sz w:val="20"/>
          <w:szCs w:val="20"/>
        </w:rPr>
        <w:t xml:space="preserve"> play an essential role in efforts to promote the rights of women and girls with disability to freedom from </w:t>
      </w:r>
      <w:r w:rsidR="00FB27EE" w:rsidRPr="00DF152E">
        <w:rPr>
          <w:rFonts w:asciiTheme="minorHAnsi" w:hAnsiTheme="minorHAnsi"/>
          <w:sz w:val="20"/>
          <w:szCs w:val="20"/>
          <w:u w:val="single"/>
        </w:rPr>
        <w:t>all</w:t>
      </w:r>
      <w:r w:rsidR="00FB27EE" w:rsidRPr="00DF152E">
        <w:rPr>
          <w:rFonts w:asciiTheme="minorHAnsi" w:hAnsiTheme="minorHAnsi"/>
          <w:sz w:val="20"/>
          <w:szCs w:val="20"/>
        </w:rPr>
        <w:t xml:space="preserve"> forms of violence</w:t>
      </w:r>
      <w:r w:rsidR="00FB27EE">
        <w:rPr>
          <w:rFonts w:asciiTheme="minorHAnsi" w:hAnsiTheme="minorHAnsi"/>
          <w:sz w:val="20"/>
          <w:szCs w:val="20"/>
        </w:rPr>
        <w:t>.</w:t>
      </w:r>
    </w:p>
    <w:p w14:paraId="649BEC38" w14:textId="77777777" w:rsidR="00547E33" w:rsidRDefault="00547E33" w:rsidP="00547E33">
      <w:pPr>
        <w:spacing w:after="0" w:line="240" w:lineRule="auto"/>
        <w:jc w:val="both"/>
        <w:rPr>
          <w:rFonts w:asciiTheme="minorHAnsi" w:hAnsiTheme="minorHAnsi"/>
          <w:sz w:val="20"/>
          <w:szCs w:val="20"/>
        </w:rPr>
      </w:pPr>
    </w:p>
    <w:p w14:paraId="5989AF1A" w14:textId="0FDF360B" w:rsidR="008555AA" w:rsidRPr="00DF152E" w:rsidRDefault="008555AA" w:rsidP="00DF152E">
      <w:pPr>
        <w:spacing w:after="0" w:line="240" w:lineRule="auto"/>
        <w:jc w:val="both"/>
        <w:rPr>
          <w:rFonts w:asciiTheme="minorHAnsi" w:hAnsiTheme="minorHAnsi"/>
          <w:sz w:val="20"/>
          <w:szCs w:val="20"/>
        </w:rPr>
      </w:pPr>
      <w:r w:rsidRPr="00DF152E">
        <w:rPr>
          <w:rFonts w:asciiTheme="minorHAnsi" w:hAnsiTheme="minorHAnsi"/>
          <w:sz w:val="20"/>
          <w:szCs w:val="20"/>
        </w:rPr>
        <w:t>Women with disabilities have identified a raft of factors</w:t>
      </w:r>
      <w:r w:rsidR="0042748A">
        <w:rPr>
          <w:rStyle w:val="FootnoteReference"/>
          <w:rFonts w:asciiTheme="minorHAnsi" w:hAnsiTheme="minorHAnsi"/>
          <w:sz w:val="20"/>
          <w:szCs w:val="20"/>
        </w:rPr>
        <w:footnoteReference w:id="4"/>
      </w:r>
      <w:r w:rsidRPr="00DF152E">
        <w:rPr>
          <w:rFonts w:asciiTheme="minorHAnsi" w:hAnsiTheme="minorHAnsi"/>
          <w:sz w:val="20"/>
          <w:szCs w:val="20"/>
        </w:rPr>
        <w:t xml:space="preserve"> </w:t>
      </w:r>
      <w:r w:rsidR="003F5DAC">
        <w:rPr>
          <w:rFonts w:asciiTheme="minorHAnsi" w:hAnsiTheme="minorHAnsi"/>
          <w:sz w:val="20"/>
          <w:szCs w:val="20"/>
        </w:rPr>
        <w:t>that</w:t>
      </w:r>
      <w:r w:rsidRPr="00DF152E">
        <w:rPr>
          <w:rFonts w:asciiTheme="minorHAnsi" w:hAnsiTheme="minorHAnsi"/>
          <w:sz w:val="20"/>
          <w:szCs w:val="20"/>
        </w:rPr>
        <w:t xml:space="preserve"> contribute to the pervasive and extensive violence perpetrated against them</w:t>
      </w:r>
      <w:r w:rsidR="00DF152E" w:rsidRPr="00DF152E">
        <w:rPr>
          <w:rFonts w:asciiTheme="minorHAnsi" w:hAnsiTheme="minorHAnsi"/>
          <w:sz w:val="20"/>
          <w:szCs w:val="20"/>
        </w:rPr>
        <w:t>.</w:t>
      </w:r>
      <w:r w:rsidRPr="00DF152E">
        <w:rPr>
          <w:rFonts w:asciiTheme="minorHAnsi" w:hAnsiTheme="minorHAnsi"/>
          <w:sz w:val="20"/>
          <w:szCs w:val="20"/>
        </w:rPr>
        <w:t xml:space="preserve"> It is outside the scope of this </w:t>
      </w:r>
      <w:r w:rsidR="00DF152E" w:rsidRPr="00DF152E">
        <w:rPr>
          <w:rFonts w:asciiTheme="minorHAnsi" w:hAnsiTheme="minorHAnsi"/>
          <w:sz w:val="20"/>
          <w:szCs w:val="20"/>
        </w:rPr>
        <w:t>paper</w:t>
      </w:r>
      <w:r w:rsidRPr="00DF152E">
        <w:rPr>
          <w:rFonts w:asciiTheme="minorHAnsi" w:hAnsiTheme="minorHAnsi"/>
          <w:sz w:val="20"/>
          <w:szCs w:val="20"/>
        </w:rPr>
        <w:t xml:space="preserve"> to examine all these factors in detail, however, some of the key factors include:</w:t>
      </w:r>
    </w:p>
    <w:p w14:paraId="4FD6ABFD" w14:textId="46B9CEFD" w:rsidR="00DF152E" w:rsidRPr="00FB27EE" w:rsidRDefault="00DF152E" w:rsidP="00FB27EE">
      <w:pPr>
        <w:pStyle w:val="ListParagraph"/>
        <w:numPr>
          <w:ilvl w:val="0"/>
          <w:numId w:val="6"/>
        </w:numPr>
        <w:jc w:val="both"/>
        <w:rPr>
          <w:sz w:val="20"/>
          <w:szCs w:val="20"/>
        </w:rPr>
      </w:pPr>
      <w:r w:rsidRPr="00FB27EE">
        <w:rPr>
          <w:sz w:val="20"/>
          <w:szCs w:val="20"/>
        </w:rPr>
        <w:t xml:space="preserve">Poverty and lack of economic </w:t>
      </w:r>
      <w:r w:rsidR="00F439D4" w:rsidRPr="00F439D4">
        <w:rPr>
          <w:sz w:val="20"/>
          <w:szCs w:val="20"/>
        </w:rPr>
        <w:t>independence</w:t>
      </w:r>
    </w:p>
    <w:p w14:paraId="6F7B45F9" w14:textId="70172D9A" w:rsidR="00DF152E" w:rsidRPr="00FB27EE" w:rsidRDefault="00DF152E" w:rsidP="00FB27EE">
      <w:pPr>
        <w:pStyle w:val="ListParagraph"/>
        <w:numPr>
          <w:ilvl w:val="0"/>
          <w:numId w:val="6"/>
        </w:numPr>
        <w:jc w:val="both"/>
        <w:rPr>
          <w:sz w:val="20"/>
          <w:szCs w:val="20"/>
        </w:rPr>
      </w:pPr>
      <w:r w:rsidRPr="00FB27EE">
        <w:rPr>
          <w:sz w:val="20"/>
          <w:szCs w:val="20"/>
        </w:rPr>
        <w:t xml:space="preserve">Place of residence/Service Setting </w:t>
      </w:r>
    </w:p>
    <w:p w14:paraId="7057ED1F" w14:textId="5A246572" w:rsidR="00DF152E" w:rsidRPr="00FB27EE" w:rsidRDefault="00DF152E" w:rsidP="00FB27EE">
      <w:pPr>
        <w:pStyle w:val="ListParagraph"/>
        <w:numPr>
          <w:ilvl w:val="0"/>
          <w:numId w:val="6"/>
        </w:numPr>
        <w:jc w:val="both"/>
        <w:rPr>
          <w:sz w:val="20"/>
          <w:szCs w:val="20"/>
        </w:rPr>
      </w:pPr>
      <w:r w:rsidRPr="00FB27EE">
        <w:rPr>
          <w:sz w:val="20"/>
          <w:szCs w:val="20"/>
        </w:rPr>
        <w:t xml:space="preserve">Exclusion from the labour </w:t>
      </w:r>
      <w:r w:rsidR="00547E33" w:rsidRPr="00FB27EE">
        <w:rPr>
          <w:sz w:val="20"/>
          <w:szCs w:val="20"/>
        </w:rPr>
        <w:t>market</w:t>
      </w:r>
    </w:p>
    <w:p w14:paraId="7C89E0B4" w14:textId="4154A400" w:rsidR="00DF152E" w:rsidRPr="00FB27EE" w:rsidRDefault="00DF152E" w:rsidP="00FB27EE">
      <w:pPr>
        <w:pStyle w:val="ListParagraph"/>
        <w:numPr>
          <w:ilvl w:val="0"/>
          <w:numId w:val="6"/>
        </w:numPr>
        <w:jc w:val="both"/>
        <w:rPr>
          <w:sz w:val="20"/>
          <w:szCs w:val="20"/>
        </w:rPr>
      </w:pPr>
      <w:r w:rsidRPr="00FB27EE">
        <w:rPr>
          <w:sz w:val="20"/>
          <w:szCs w:val="20"/>
        </w:rPr>
        <w:t xml:space="preserve">Dependence on others </w:t>
      </w:r>
    </w:p>
    <w:p w14:paraId="0CD42F5C" w14:textId="67247734" w:rsidR="00DF152E" w:rsidRPr="00FB27EE" w:rsidRDefault="00DF152E" w:rsidP="00FB27EE">
      <w:pPr>
        <w:pStyle w:val="ListParagraph"/>
        <w:numPr>
          <w:ilvl w:val="0"/>
          <w:numId w:val="6"/>
        </w:numPr>
        <w:jc w:val="both"/>
        <w:rPr>
          <w:sz w:val="20"/>
          <w:szCs w:val="20"/>
        </w:rPr>
      </w:pPr>
      <w:r w:rsidRPr="00FB27EE">
        <w:rPr>
          <w:sz w:val="20"/>
          <w:szCs w:val="20"/>
        </w:rPr>
        <w:t xml:space="preserve">Credibility and fear of disclosure </w:t>
      </w:r>
    </w:p>
    <w:p w14:paraId="4ED605E4" w14:textId="7CFDF29C" w:rsidR="00DF152E" w:rsidRPr="00FB27EE" w:rsidRDefault="00DF152E" w:rsidP="00FB27EE">
      <w:pPr>
        <w:pStyle w:val="ListParagraph"/>
        <w:numPr>
          <w:ilvl w:val="0"/>
          <w:numId w:val="6"/>
        </w:numPr>
        <w:jc w:val="both"/>
        <w:rPr>
          <w:sz w:val="20"/>
          <w:szCs w:val="20"/>
        </w:rPr>
      </w:pPr>
      <w:r w:rsidRPr="00FB27EE">
        <w:rPr>
          <w:sz w:val="20"/>
          <w:szCs w:val="20"/>
        </w:rPr>
        <w:t xml:space="preserve">Lack of access to the criminal justice system </w:t>
      </w:r>
    </w:p>
    <w:p w14:paraId="023ABF22" w14:textId="4B236A8C" w:rsidR="00DF152E" w:rsidRPr="00FB27EE" w:rsidRDefault="00DF152E" w:rsidP="00FB27EE">
      <w:pPr>
        <w:pStyle w:val="ListParagraph"/>
        <w:numPr>
          <w:ilvl w:val="0"/>
          <w:numId w:val="6"/>
        </w:numPr>
        <w:jc w:val="both"/>
        <w:rPr>
          <w:sz w:val="20"/>
          <w:szCs w:val="20"/>
        </w:rPr>
      </w:pPr>
      <w:r w:rsidRPr="00FB27EE">
        <w:rPr>
          <w:sz w:val="20"/>
          <w:szCs w:val="20"/>
        </w:rPr>
        <w:t xml:space="preserve">Lack of awareness and knowledge </w:t>
      </w:r>
    </w:p>
    <w:p w14:paraId="4ED2EC54" w14:textId="353679E1" w:rsidR="00DF152E" w:rsidRPr="00FB27EE" w:rsidRDefault="00DF152E" w:rsidP="00FB27EE">
      <w:pPr>
        <w:pStyle w:val="ListParagraph"/>
        <w:numPr>
          <w:ilvl w:val="0"/>
          <w:numId w:val="6"/>
        </w:numPr>
        <w:jc w:val="both"/>
        <w:rPr>
          <w:sz w:val="20"/>
          <w:szCs w:val="20"/>
        </w:rPr>
      </w:pPr>
      <w:r w:rsidRPr="00FB27EE">
        <w:rPr>
          <w:sz w:val="20"/>
          <w:szCs w:val="20"/>
        </w:rPr>
        <w:t xml:space="preserve">Lack of access to crisis accommodation and support </w:t>
      </w:r>
    </w:p>
    <w:p w14:paraId="200B8D06" w14:textId="2BA4E251" w:rsidR="00DF152E" w:rsidRPr="00FB27EE" w:rsidRDefault="00DF152E" w:rsidP="00FB27EE">
      <w:pPr>
        <w:pStyle w:val="ListParagraph"/>
        <w:numPr>
          <w:ilvl w:val="0"/>
          <w:numId w:val="6"/>
        </w:numPr>
        <w:jc w:val="both"/>
        <w:rPr>
          <w:sz w:val="20"/>
          <w:szCs w:val="20"/>
        </w:rPr>
      </w:pPr>
      <w:r w:rsidRPr="00FB27EE">
        <w:rPr>
          <w:sz w:val="20"/>
          <w:szCs w:val="20"/>
        </w:rPr>
        <w:t xml:space="preserve">Service system issues </w:t>
      </w:r>
    </w:p>
    <w:p w14:paraId="7C4B4958" w14:textId="089F99C6" w:rsidR="00950E4C" w:rsidRPr="00665138" w:rsidRDefault="00DF152E" w:rsidP="00950E4C">
      <w:pPr>
        <w:pStyle w:val="ListParagraph"/>
        <w:numPr>
          <w:ilvl w:val="0"/>
          <w:numId w:val="6"/>
        </w:numPr>
        <w:jc w:val="both"/>
        <w:rPr>
          <w:sz w:val="20"/>
          <w:szCs w:val="20"/>
        </w:rPr>
      </w:pPr>
      <w:r w:rsidRPr="00665138">
        <w:rPr>
          <w:sz w:val="20"/>
          <w:szCs w:val="20"/>
        </w:rPr>
        <w:t xml:space="preserve">Lack of participation, access to decision-making, and representation </w:t>
      </w:r>
    </w:p>
    <w:p w14:paraId="6F49B41F" w14:textId="65F29C35" w:rsidR="00950E4C" w:rsidRPr="004E4773" w:rsidRDefault="00950E4C" w:rsidP="001D3C79">
      <w:pPr>
        <w:pStyle w:val="Heading2"/>
        <w:rPr>
          <w:u w:val="single"/>
          <w:lang w:eastAsia="en-AU"/>
        </w:rPr>
      </w:pPr>
      <w:bookmarkStart w:id="9" w:name="_Toc410646570"/>
      <w:r>
        <w:rPr>
          <w:lang w:val="en-US" w:eastAsia="en-AU"/>
        </w:rPr>
        <w:t>3</w:t>
      </w:r>
      <w:r w:rsidRPr="004E4773">
        <w:rPr>
          <w:lang w:val="en-US" w:eastAsia="en-AU"/>
        </w:rPr>
        <w:t>.</w:t>
      </w:r>
      <w:r w:rsidR="00231851">
        <w:rPr>
          <w:lang w:val="en-US" w:eastAsia="en-AU"/>
        </w:rPr>
        <w:t>5</w:t>
      </w:r>
      <w:r w:rsidRPr="004E4773">
        <w:rPr>
          <w:lang w:val="en-US" w:eastAsia="en-AU"/>
        </w:rPr>
        <w:t>.</w:t>
      </w:r>
      <w:r w:rsidRPr="004E4773">
        <w:rPr>
          <w:lang w:val="en-US" w:eastAsia="en-AU"/>
        </w:rPr>
        <w:tab/>
      </w:r>
      <w:r>
        <w:rPr>
          <w:lang w:val="en-US" w:eastAsia="en-AU"/>
        </w:rPr>
        <w:t>The impact</w:t>
      </w:r>
      <w:bookmarkEnd w:id="9"/>
    </w:p>
    <w:p w14:paraId="21725DE6" w14:textId="77777777" w:rsidR="00950E4C" w:rsidRPr="00DF152E" w:rsidRDefault="00950E4C" w:rsidP="00950E4C">
      <w:pPr>
        <w:spacing w:after="0" w:line="240" w:lineRule="auto"/>
        <w:jc w:val="both"/>
        <w:rPr>
          <w:rFonts w:asciiTheme="minorHAnsi" w:hAnsiTheme="minorHAnsi"/>
          <w:sz w:val="20"/>
          <w:szCs w:val="20"/>
        </w:rPr>
      </w:pPr>
      <w:r w:rsidRPr="000544A7">
        <w:rPr>
          <w:rFonts w:asciiTheme="minorHAnsi" w:hAnsiTheme="minorHAnsi"/>
          <w:sz w:val="20"/>
          <w:szCs w:val="20"/>
        </w:rPr>
        <w:t>Like most women who experience violence, the impact and effects for women and girls with disability are profound, long-term and wide-ranging – with the impact over time of different types of violence and of multiple episodes found to be cumulative</w:t>
      </w:r>
      <w:r>
        <w:rPr>
          <w:rFonts w:asciiTheme="minorHAnsi" w:hAnsiTheme="minorHAnsi"/>
          <w:sz w:val="20"/>
          <w:szCs w:val="20"/>
        </w:rPr>
        <w:t xml:space="preserve"> (WWDA 2007)</w:t>
      </w:r>
      <w:r w:rsidRPr="000544A7">
        <w:rPr>
          <w:rFonts w:asciiTheme="minorHAnsi" w:hAnsiTheme="minorHAnsi"/>
          <w:sz w:val="20"/>
          <w:szCs w:val="20"/>
        </w:rPr>
        <w:t>. Of significance is the fact that the consequences of violence against women and girls with disability are pervasive, due to the length of time that they endure such violence, the severity of the violence, the fact there are often multiple perpetrators of the violence, and that many women and girls with disabilit</w:t>
      </w:r>
      <w:r>
        <w:rPr>
          <w:rFonts w:asciiTheme="minorHAnsi" w:hAnsiTheme="minorHAnsi"/>
          <w:sz w:val="20"/>
          <w:szCs w:val="20"/>
        </w:rPr>
        <w:t>ies</w:t>
      </w:r>
      <w:r w:rsidRPr="000544A7">
        <w:rPr>
          <w:rFonts w:asciiTheme="minorHAnsi" w:hAnsiTheme="minorHAnsi"/>
          <w:sz w:val="20"/>
          <w:szCs w:val="20"/>
        </w:rPr>
        <w:t xml:space="preserve"> are unable to ever disclose the violence or seek help to stop it. Even when they do disclose,</w:t>
      </w:r>
      <w:r>
        <w:rPr>
          <w:rFonts w:asciiTheme="minorHAnsi" w:hAnsiTheme="minorHAnsi"/>
          <w:sz w:val="20"/>
          <w:szCs w:val="20"/>
        </w:rPr>
        <w:t xml:space="preserve"> </w:t>
      </w:r>
      <w:r>
        <w:rPr>
          <w:rFonts w:asciiTheme="minorHAnsi" w:hAnsiTheme="minorHAnsi" w:cs="Calibri"/>
          <w:sz w:val="20"/>
          <w:szCs w:val="20"/>
        </w:rPr>
        <w:t>w</w:t>
      </w:r>
      <w:r w:rsidRPr="000544A7">
        <w:rPr>
          <w:rFonts w:asciiTheme="minorHAnsi" w:hAnsiTheme="minorHAnsi" w:cs="Calibri"/>
          <w:sz w:val="20"/>
          <w:szCs w:val="20"/>
        </w:rPr>
        <w:t>omen and girls with disabilit</w:t>
      </w:r>
      <w:r>
        <w:rPr>
          <w:rFonts w:asciiTheme="minorHAnsi" w:hAnsiTheme="minorHAnsi" w:cs="Calibri"/>
          <w:sz w:val="20"/>
          <w:szCs w:val="20"/>
        </w:rPr>
        <w:t>ies</w:t>
      </w:r>
      <w:r w:rsidRPr="000544A7">
        <w:rPr>
          <w:rFonts w:asciiTheme="minorHAnsi" w:hAnsiTheme="minorHAnsi" w:cs="Calibri"/>
          <w:sz w:val="20"/>
          <w:szCs w:val="20"/>
        </w:rPr>
        <w:t xml:space="preserve"> have far less chance of being believed when reporting sexual assault, domestic violence, and other forms of violence, than other women and girls</w:t>
      </w:r>
      <w:r>
        <w:rPr>
          <w:rFonts w:asciiTheme="minorHAnsi" w:hAnsiTheme="minorHAnsi" w:cs="Calibri"/>
          <w:sz w:val="20"/>
          <w:szCs w:val="20"/>
        </w:rPr>
        <w:t xml:space="preserve"> (Frohmader 2011)</w:t>
      </w:r>
      <w:r w:rsidRPr="000544A7">
        <w:rPr>
          <w:rFonts w:asciiTheme="minorHAnsi" w:hAnsiTheme="minorHAnsi" w:cs="Calibri"/>
          <w:sz w:val="20"/>
          <w:szCs w:val="20"/>
        </w:rPr>
        <w:t xml:space="preserve">. </w:t>
      </w:r>
      <w:r w:rsidRPr="00DF152E">
        <w:rPr>
          <w:rFonts w:asciiTheme="minorHAnsi" w:hAnsiTheme="minorHAnsi"/>
          <w:sz w:val="20"/>
          <w:szCs w:val="20"/>
        </w:rPr>
        <w:t>Research has also found that discriminatory attitudes and negative police culture, including the tendency to blame the victim; refusal to investigate allegations of violence; treating crimes of violence as a ‘service incidents’; failing to make reasonable adjustments; assuming that a prosecution will not succeed because the court may think the person lacks credibility; along with negative or paternalistic stereotypes of people with disability – contributes to the pervasive and extensive violence perpetrated against women and girls</w:t>
      </w:r>
      <w:r>
        <w:rPr>
          <w:rFonts w:asciiTheme="minorHAnsi" w:hAnsiTheme="minorHAnsi"/>
          <w:sz w:val="20"/>
          <w:szCs w:val="20"/>
        </w:rPr>
        <w:t xml:space="preserve"> with disabilities (</w:t>
      </w:r>
      <w:r>
        <w:rPr>
          <w:rFonts w:asciiTheme="minorHAnsi" w:hAnsiTheme="minorHAnsi" w:cs="Calibri"/>
          <w:sz w:val="20"/>
          <w:szCs w:val="20"/>
        </w:rPr>
        <w:t xml:space="preserve">Frohmader &amp; </w:t>
      </w:r>
      <w:proofErr w:type="spellStart"/>
      <w:r w:rsidRPr="002D0E34">
        <w:rPr>
          <w:rFonts w:asciiTheme="minorHAnsi" w:hAnsiTheme="minorHAnsi" w:cs="Calibri"/>
          <w:sz w:val="20"/>
          <w:szCs w:val="20"/>
        </w:rPr>
        <w:t>Cadwallader</w:t>
      </w:r>
      <w:proofErr w:type="spellEnd"/>
      <w:r w:rsidRPr="002D0E34">
        <w:rPr>
          <w:rFonts w:asciiTheme="minorHAnsi" w:hAnsiTheme="minorHAnsi" w:cs="Calibri"/>
          <w:sz w:val="20"/>
          <w:szCs w:val="20"/>
        </w:rPr>
        <w:t xml:space="preserve"> 2014</w:t>
      </w:r>
      <w:r>
        <w:rPr>
          <w:rFonts w:asciiTheme="minorHAnsi" w:hAnsiTheme="minorHAnsi" w:cs="Calibri"/>
          <w:sz w:val="20"/>
          <w:szCs w:val="20"/>
        </w:rPr>
        <w:t xml:space="preserve">, </w:t>
      </w:r>
      <w:r w:rsidRPr="002D0E34">
        <w:rPr>
          <w:rFonts w:asciiTheme="minorHAnsi" w:hAnsiTheme="minorHAnsi" w:cs="Calibri"/>
          <w:sz w:val="20"/>
          <w:szCs w:val="20"/>
        </w:rPr>
        <w:t>Victorian Equal Opportuni</w:t>
      </w:r>
      <w:r>
        <w:rPr>
          <w:rFonts w:asciiTheme="minorHAnsi" w:hAnsiTheme="minorHAnsi" w:cs="Calibri"/>
          <w:sz w:val="20"/>
          <w:szCs w:val="20"/>
        </w:rPr>
        <w:t xml:space="preserve">ty and Human Rights Commission </w:t>
      </w:r>
      <w:r w:rsidRPr="002D0E34">
        <w:rPr>
          <w:rFonts w:asciiTheme="minorHAnsi" w:hAnsiTheme="minorHAnsi" w:cs="Calibri"/>
          <w:sz w:val="20"/>
          <w:szCs w:val="20"/>
        </w:rPr>
        <w:t>2014)</w:t>
      </w:r>
      <w:r w:rsidRPr="00DF152E">
        <w:rPr>
          <w:rFonts w:asciiTheme="minorHAnsi" w:hAnsiTheme="minorHAnsi"/>
          <w:sz w:val="20"/>
          <w:szCs w:val="20"/>
        </w:rPr>
        <w:t>.</w:t>
      </w:r>
    </w:p>
    <w:p w14:paraId="3B890C75" w14:textId="77777777" w:rsidR="00950E4C" w:rsidRDefault="00950E4C" w:rsidP="00950E4C">
      <w:pPr>
        <w:spacing w:after="0" w:line="240" w:lineRule="auto"/>
        <w:jc w:val="both"/>
        <w:rPr>
          <w:rFonts w:asciiTheme="minorHAnsi" w:hAnsiTheme="minorHAnsi" w:cs="Calibri"/>
          <w:sz w:val="20"/>
          <w:szCs w:val="20"/>
        </w:rPr>
      </w:pPr>
    </w:p>
    <w:p w14:paraId="79EAB9B9" w14:textId="3B3C805E" w:rsidR="007C3F60" w:rsidRPr="000544A7" w:rsidRDefault="00950E4C" w:rsidP="001D3C79">
      <w:pPr>
        <w:spacing w:after="0" w:line="240" w:lineRule="auto"/>
        <w:jc w:val="both"/>
        <w:rPr>
          <w:rFonts w:asciiTheme="minorHAnsi" w:hAnsiTheme="minorHAnsi"/>
          <w:sz w:val="20"/>
          <w:szCs w:val="20"/>
        </w:rPr>
      </w:pPr>
      <w:r w:rsidRPr="000544A7">
        <w:rPr>
          <w:rFonts w:asciiTheme="minorHAnsi" w:hAnsiTheme="minorHAnsi" w:cs="Calibri"/>
          <w:sz w:val="20"/>
          <w:szCs w:val="20"/>
        </w:rPr>
        <w:t xml:space="preserve">Crimes of violence committed against women and girls with disability </w:t>
      </w:r>
      <w:r>
        <w:rPr>
          <w:rFonts w:asciiTheme="minorHAnsi" w:hAnsiTheme="minorHAnsi" w:cs="Calibri"/>
          <w:sz w:val="20"/>
          <w:szCs w:val="20"/>
        </w:rPr>
        <w:t xml:space="preserve">therefore </w:t>
      </w:r>
      <w:r w:rsidRPr="000544A7">
        <w:rPr>
          <w:rFonts w:asciiTheme="minorHAnsi" w:hAnsiTheme="minorHAnsi" w:cs="Calibri"/>
          <w:sz w:val="20"/>
          <w:szCs w:val="20"/>
        </w:rPr>
        <w:t xml:space="preserve">often go unreported, and when they are, they are either </w:t>
      </w:r>
      <w:r>
        <w:rPr>
          <w:rFonts w:asciiTheme="minorHAnsi" w:hAnsiTheme="minorHAnsi" w:cs="Calibri"/>
          <w:sz w:val="20"/>
          <w:szCs w:val="20"/>
        </w:rPr>
        <w:t xml:space="preserve">dismissed, </w:t>
      </w:r>
      <w:r w:rsidRPr="000544A7">
        <w:rPr>
          <w:rFonts w:asciiTheme="minorHAnsi" w:hAnsiTheme="minorHAnsi" w:cs="Calibri"/>
          <w:sz w:val="20"/>
          <w:szCs w:val="20"/>
        </w:rPr>
        <w:t xml:space="preserve">ignored, </w:t>
      </w:r>
      <w:r>
        <w:rPr>
          <w:rFonts w:asciiTheme="minorHAnsi" w:hAnsiTheme="minorHAnsi" w:cs="Calibri"/>
          <w:sz w:val="20"/>
          <w:szCs w:val="20"/>
        </w:rPr>
        <w:t xml:space="preserve">covered up by service staff and/or management, </w:t>
      </w:r>
      <w:r w:rsidRPr="000544A7">
        <w:rPr>
          <w:rFonts w:asciiTheme="minorHAnsi" w:hAnsiTheme="minorHAnsi" w:cs="Calibri"/>
          <w:sz w:val="20"/>
          <w:szCs w:val="20"/>
        </w:rPr>
        <w:t>inadequately investigated, remain unsolved or result in minimal sentences</w:t>
      </w:r>
      <w:r>
        <w:rPr>
          <w:rFonts w:asciiTheme="minorHAnsi" w:hAnsiTheme="minorHAnsi" w:cs="Calibri"/>
          <w:sz w:val="20"/>
          <w:szCs w:val="20"/>
        </w:rPr>
        <w:t xml:space="preserve"> (Frohmader 2014, Frohmader &amp; </w:t>
      </w:r>
      <w:proofErr w:type="spellStart"/>
      <w:r w:rsidRPr="002D0E34">
        <w:rPr>
          <w:rFonts w:asciiTheme="minorHAnsi" w:hAnsiTheme="minorHAnsi" w:cs="Calibri"/>
          <w:sz w:val="20"/>
          <w:szCs w:val="20"/>
        </w:rPr>
        <w:t>Cadwallader</w:t>
      </w:r>
      <w:proofErr w:type="spellEnd"/>
      <w:r w:rsidRPr="002D0E34">
        <w:rPr>
          <w:rFonts w:asciiTheme="minorHAnsi" w:hAnsiTheme="minorHAnsi" w:cs="Calibri"/>
          <w:sz w:val="20"/>
          <w:szCs w:val="20"/>
        </w:rPr>
        <w:t xml:space="preserve"> 2014</w:t>
      </w:r>
      <w:r>
        <w:rPr>
          <w:rFonts w:asciiTheme="minorHAnsi" w:hAnsiTheme="minorHAnsi" w:cs="Calibri"/>
          <w:sz w:val="20"/>
          <w:szCs w:val="20"/>
        </w:rPr>
        <w:t>, French et al 2010)</w:t>
      </w:r>
      <w:r w:rsidRPr="000544A7">
        <w:rPr>
          <w:rFonts w:asciiTheme="minorHAnsi" w:hAnsiTheme="minorHAnsi" w:cs="Calibri"/>
          <w:sz w:val="20"/>
          <w:szCs w:val="20"/>
        </w:rPr>
        <w:t xml:space="preserve">. </w:t>
      </w:r>
      <w:r w:rsidR="007C3F60" w:rsidRPr="000544A7">
        <w:rPr>
          <w:rFonts w:asciiTheme="minorHAnsi" w:hAnsiTheme="minorHAnsi"/>
          <w:sz w:val="20"/>
          <w:szCs w:val="20"/>
        </w:rPr>
        <w:br w:type="page"/>
      </w:r>
    </w:p>
    <w:p w14:paraId="56407DE2" w14:textId="0EF0E299" w:rsidR="00676CAD" w:rsidRPr="00C30324" w:rsidRDefault="00D17ED1" w:rsidP="001D3C79">
      <w:pPr>
        <w:pStyle w:val="Heading1"/>
        <w:ind w:left="284" w:hanging="284"/>
        <w:jc w:val="both"/>
      </w:pPr>
      <w:bookmarkStart w:id="10" w:name="_Toc410646571"/>
      <w:r w:rsidRPr="00C30324">
        <w:lastRenderedPageBreak/>
        <w:t>4.</w:t>
      </w:r>
      <w:r w:rsidRPr="00C30324">
        <w:tab/>
      </w:r>
      <w:r w:rsidR="00676CAD" w:rsidRPr="00C30324">
        <w:t>Implications for policy and practice</w:t>
      </w:r>
      <w:r w:rsidR="00C30324" w:rsidRPr="00C30324">
        <w:t xml:space="preserve">: the </w:t>
      </w:r>
      <w:r w:rsidR="00C30324" w:rsidRPr="00C30324">
        <w:rPr>
          <w:lang w:val="en-US" w:eastAsia="en-AU"/>
        </w:rPr>
        <w:t>legislative, policy and service response vacuum</w:t>
      </w:r>
      <w:bookmarkEnd w:id="10"/>
    </w:p>
    <w:p w14:paraId="032A2750" w14:textId="77777777" w:rsidR="00676CAD" w:rsidRPr="007C3F60" w:rsidRDefault="00676CAD" w:rsidP="00676CAD">
      <w:pPr>
        <w:pBdr>
          <w:bottom w:val="single" w:sz="12" w:space="1" w:color="auto"/>
        </w:pBdr>
        <w:spacing w:after="0" w:line="240" w:lineRule="auto"/>
        <w:rPr>
          <w:rFonts w:asciiTheme="minorHAnsi" w:hAnsiTheme="minorHAnsi"/>
          <w:sz w:val="16"/>
          <w:szCs w:val="16"/>
        </w:rPr>
      </w:pPr>
    </w:p>
    <w:p w14:paraId="2465991F" w14:textId="77777777" w:rsidR="00C30324" w:rsidRPr="00B132C6" w:rsidRDefault="00C30324" w:rsidP="00C30324">
      <w:pPr>
        <w:spacing w:after="0" w:line="240" w:lineRule="auto"/>
        <w:jc w:val="both"/>
        <w:rPr>
          <w:rFonts w:asciiTheme="minorHAnsi" w:hAnsiTheme="minorHAnsi" w:cs="Calibri"/>
          <w:bCs/>
          <w:sz w:val="20"/>
          <w:szCs w:val="20"/>
          <w:lang w:eastAsia="en-AU"/>
        </w:rPr>
      </w:pPr>
    </w:p>
    <w:p w14:paraId="68AFFA53" w14:textId="12B82546" w:rsidR="00C30324" w:rsidRPr="00B132C6" w:rsidRDefault="00C30324" w:rsidP="00C30324">
      <w:pPr>
        <w:spacing w:after="0" w:line="240" w:lineRule="auto"/>
        <w:jc w:val="both"/>
        <w:rPr>
          <w:rFonts w:asciiTheme="minorHAnsi" w:hAnsiTheme="minorHAnsi" w:cs="Calibri"/>
          <w:bCs/>
          <w:sz w:val="20"/>
          <w:szCs w:val="20"/>
          <w:lang w:eastAsia="en-AU"/>
        </w:rPr>
      </w:pPr>
      <w:r w:rsidRPr="00B132C6">
        <w:rPr>
          <w:rFonts w:asciiTheme="minorHAnsi" w:hAnsiTheme="minorHAnsi"/>
          <w:sz w:val="20"/>
          <w:szCs w:val="20"/>
        </w:rPr>
        <w:t xml:space="preserve">Violence perpetrated against women and girls with disabilities </w:t>
      </w:r>
      <w:r w:rsidR="00285A83">
        <w:rPr>
          <w:rFonts w:asciiTheme="minorHAnsi" w:hAnsiTheme="minorHAnsi"/>
          <w:sz w:val="20"/>
          <w:szCs w:val="20"/>
        </w:rPr>
        <w:t xml:space="preserve">continues to fall </w:t>
      </w:r>
      <w:r w:rsidRPr="00B132C6">
        <w:rPr>
          <w:rFonts w:asciiTheme="minorHAnsi" w:hAnsiTheme="minorHAnsi"/>
          <w:sz w:val="20"/>
          <w:szCs w:val="20"/>
        </w:rPr>
        <w:t>through legislative</w:t>
      </w:r>
      <w:r>
        <w:rPr>
          <w:rFonts w:asciiTheme="minorHAnsi" w:hAnsiTheme="minorHAnsi"/>
          <w:sz w:val="20"/>
          <w:szCs w:val="20"/>
        </w:rPr>
        <w:t>,</w:t>
      </w:r>
      <w:r w:rsidRPr="00B132C6">
        <w:rPr>
          <w:rFonts w:asciiTheme="minorHAnsi" w:hAnsiTheme="minorHAnsi"/>
          <w:sz w:val="20"/>
          <w:szCs w:val="20"/>
        </w:rPr>
        <w:t xml:space="preserve"> policy</w:t>
      </w:r>
      <w:r>
        <w:rPr>
          <w:rFonts w:asciiTheme="minorHAnsi" w:hAnsiTheme="minorHAnsi"/>
          <w:sz w:val="20"/>
          <w:szCs w:val="20"/>
        </w:rPr>
        <w:t xml:space="preserve"> and service response</w:t>
      </w:r>
      <w:r w:rsidRPr="00B132C6">
        <w:rPr>
          <w:rFonts w:asciiTheme="minorHAnsi" w:hAnsiTheme="minorHAnsi"/>
          <w:sz w:val="20"/>
          <w:szCs w:val="20"/>
        </w:rPr>
        <w:t xml:space="preserve"> ‘gaps’ as a result of the failure to understand the intersectional nature of the violence that they experience, and the multiple and intersecting forms of discrimination which make them more likely to experience, and be at risk of, violence. </w:t>
      </w:r>
    </w:p>
    <w:p w14:paraId="4223279B" w14:textId="77777777" w:rsidR="00C30324" w:rsidRPr="00B132C6" w:rsidRDefault="00C30324" w:rsidP="00C30324">
      <w:pPr>
        <w:spacing w:after="0" w:line="240" w:lineRule="auto"/>
        <w:jc w:val="both"/>
        <w:rPr>
          <w:rFonts w:asciiTheme="minorHAnsi" w:hAnsiTheme="minorHAnsi" w:cs="Calibri"/>
          <w:bCs/>
          <w:sz w:val="20"/>
          <w:szCs w:val="20"/>
          <w:lang w:eastAsia="en-AU"/>
        </w:rPr>
      </w:pPr>
    </w:p>
    <w:p w14:paraId="59B33CE6" w14:textId="77777777" w:rsidR="00C30324" w:rsidRPr="00B132C6" w:rsidRDefault="00C30324" w:rsidP="00C30324">
      <w:pPr>
        <w:spacing w:after="0" w:line="240" w:lineRule="auto"/>
        <w:jc w:val="both"/>
        <w:rPr>
          <w:rFonts w:asciiTheme="minorHAnsi" w:hAnsiTheme="minorHAnsi" w:cs="Calibri"/>
          <w:bCs/>
          <w:sz w:val="20"/>
          <w:szCs w:val="20"/>
          <w:lang w:eastAsia="en-AU"/>
        </w:rPr>
      </w:pPr>
      <w:r w:rsidRPr="00B132C6">
        <w:rPr>
          <w:rFonts w:asciiTheme="minorHAnsi" w:hAnsiTheme="minorHAnsi"/>
          <w:sz w:val="20"/>
          <w:szCs w:val="20"/>
        </w:rPr>
        <w:t>In Australia, there is no national, coordinated legislation to prevent and address violence against women, including family/domestic violence</w:t>
      </w:r>
      <w:r>
        <w:rPr>
          <w:rFonts w:asciiTheme="minorHAnsi" w:hAnsiTheme="minorHAnsi"/>
          <w:sz w:val="20"/>
          <w:szCs w:val="20"/>
        </w:rPr>
        <w:t xml:space="preserve"> (Australian Government 2012)</w:t>
      </w:r>
      <w:r w:rsidRPr="00B132C6">
        <w:rPr>
          <w:rFonts w:asciiTheme="minorHAnsi" w:hAnsiTheme="minorHAnsi"/>
          <w:sz w:val="20"/>
          <w:szCs w:val="20"/>
        </w:rPr>
        <w:t xml:space="preserve">. No existing Commonwealth or State/Territory domestic/family violence legislation is framed in a human rights framework setting it in the context of Australia’s obligations to the core international human rights treaties to which it is a party. </w:t>
      </w:r>
      <w:r w:rsidRPr="00B132C6">
        <w:rPr>
          <w:rFonts w:asciiTheme="minorHAnsi" w:hAnsiTheme="minorHAnsi" w:cs="Calibri"/>
          <w:bCs/>
          <w:sz w:val="20"/>
          <w:szCs w:val="20"/>
          <w:lang w:eastAsia="en-AU"/>
        </w:rPr>
        <w:t>Domestic and family violence legislation and policy frameworks differ across States and Territories providing different levels of protection and definitions of what constitutes ‘family violence’, ‘domestic violence’ and what constitutes a ‘domestic relationship’.</w:t>
      </w:r>
      <w:r>
        <w:rPr>
          <w:rFonts w:asciiTheme="minorHAnsi" w:hAnsiTheme="minorHAnsi" w:cs="Calibri"/>
          <w:bCs/>
          <w:sz w:val="20"/>
          <w:szCs w:val="20"/>
          <w:lang w:eastAsia="en-AU"/>
        </w:rPr>
        <w:t xml:space="preserve"> </w:t>
      </w:r>
    </w:p>
    <w:p w14:paraId="4C342A5B" w14:textId="77777777" w:rsidR="00C30324" w:rsidRPr="00B132C6" w:rsidRDefault="00C30324" w:rsidP="00C30324">
      <w:pPr>
        <w:spacing w:after="0" w:line="240" w:lineRule="auto"/>
        <w:jc w:val="both"/>
        <w:rPr>
          <w:rFonts w:asciiTheme="minorHAnsi" w:hAnsiTheme="minorHAnsi" w:cs="Calibri"/>
          <w:bCs/>
          <w:sz w:val="20"/>
          <w:szCs w:val="20"/>
          <w:lang w:eastAsia="en-AU"/>
        </w:rPr>
      </w:pPr>
    </w:p>
    <w:p w14:paraId="0849C6FE" w14:textId="77777777" w:rsidR="00C30324" w:rsidRPr="00B132C6" w:rsidRDefault="00C30324" w:rsidP="00C30324">
      <w:pPr>
        <w:spacing w:after="0" w:line="240" w:lineRule="auto"/>
        <w:jc w:val="both"/>
        <w:rPr>
          <w:rFonts w:asciiTheme="minorHAnsi" w:hAnsiTheme="minorHAnsi" w:cs="Calibri"/>
          <w:bCs/>
          <w:sz w:val="20"/>
          <w:szCs w:val="20"/>
          <w:lang w:eastAsia="en-AU"/>
        </w:rPr>
      </w:pPr>
      <w:r w:rsidRPr="00B132C6">
        <w:rPr>
          <w:rFonts w:asciiTheme="minorHAnsi" w:hAnsiTheme="minorHAnsi" w:cs="Calibri"/>
          <w:bCs/>
          <w:sz w:val="20"/>
          <w:szCs w:val="20"/>
          <w:lang w:eastAsia="en-AU"/>
        </w:rPr>
        <w:t xml:space="preserve">The lack of agreed definitions and conceptual understandings of what constitutes ‘violence against women’, ‘family violence’, ‘domestic violence’, ‘domestic relationship’ and so on, has serious implications for women and girls with disabilities. </w:t>
      </w:r>
      <w:r w:rsidRPr="00B132C6">
        <w:rPr>
          <w:rFonts w:asciiTheme="minorHAnsi" w:hAnsiTheme="minorHAnsi"/>
          <w:sz w:val="20"/>
          <w:szCs w:val="20"/>
        </w:rPr>
        <w:t>Research has found that the lack of a clear definition and legal recognition of the violence against women and girls with disabilities in legislation and policy frameworks results in low priority being given to the issue within service environments, where the service sector is largely governed by a range of specific legislative and policy frameworks designed to ensure effective service delivery that addresses one area alone such as disability or gendered violence</w:t>
      </w:r>
      <w:r>
        <w:rPr>
          <w:rFonts w:asciiTheme="minorHAnsi" w:hAnsiTheme="minorHAnsi"/>
          <w:sz w:val="20"/>
          <w:szCs w:val="20"/>
        </w:rPr>
        <w:t xml:space="preserve"> (Dowse et al 2013, WWDA et al 2013)</w:t>
      </w:r>
      <w:r w:rsidRPr="00B132C6">
        <w:rPr>
          <w:rFonts w:asciiTheme="minorHAnsi" w:hAnsiTheme="minorHAnsi"/>
          <w:sz w:val="20"/>
          <w:szCs w:val="20"/>
        </w:rPr>
        <w:t>.</w:t>
      </w:r>
      <w:r>
        <w:rPr>
          <w:rFonts w:asciiTheme="minorHAnsi" w:hAnsiTheme="minorHAnsi"/>
          <w:sz w:val="20"/>
          <w:szCs w:val="20"/>
        </w:rPr>
        <w:t xml:space="preserve"> </w:t>
      </w:r>
      <w:r w:rsidRPr="00B132C6">
        <w:rPr>
          <w:rFonts w:asciiTheme="minorHAnsi" w:hAnsiTheme="minorHAnsi"/>
          <w:sz w:val="20"/>
          <w:szCs w:val="20"/>
        </w:rPr>
        <w:t xml:space="preserve">The Australian Law Reform Commission (ALRC) in its 2012 </w:t>
      </w:r>
      <w:r w:rsidRPr="00B132C6">
        <w:rPr>
          <w:rFonts w:asciiTheme="minorHAnsi" w:hAnsiTheme="minorHAnsi"/>
          <w:i/>
          <w:sz w:val="20"/>
          <w:szCs w:val="20"/>
        </w:rPr>
        <w:t>National Inquiry into Family Violence and Commonwealth Laws</w:t>
      </w:r>
      <w:r w:rsidRPr="00B132C6">
        <w:rPr>
          <w:rFonts w:asciiTheme="minorHAnsi" w:hAnsiTheme="minorHAnsi"/>
          <w:sz w:val="20"/>
          <w:szCs w:val="20"/>
        </w:rPr>
        <w:t>,</w:t>
      </w:r>
      <w:r>
        <w:rPr>
          <w:rFonts w:asciiTheme="minorHAnsi" w:hAnsiTheme="minorHAnsi"/>
          <w:sz w:val="20"/>
          <w:szCs w:val="20"/>
        </w:rPr>
        <w:t xml:space="preserve"> (</w:t>
      </w:r>
      <w:r w:rsidRPr="003F5DAC">
        <w:rPr>
          <w:rFonts w:asciiTheme="minorHAnsi" w:hAnsiTheme="minorHAnsi"/>
          <w:sz w:val="20"/>
          <w:szCs w:val="20"/>
        </w:rPr>
        <w:t xml:space="preserve">Australian Law Reform Commission </w:t>
      </w:r>
      <w:r>
        <w:rPr>
          <w:rFonts w:asciiTheme="minorHAnsi" w:hAnsiTheme="minorHAnsi"/>
          <w:sz w:val="20"/>
          <w:szCs w:val="20"/>
        </w:rPr>
        <w:t>2012)</w:t>
      </w:r>
      <w:r w:rsidRPr="00B132C6">
        <w:rPr>
          <w:rFonts w:asciiTheme="minorHAnsi" w:hAnsiTheme="minorHAnsi"/>
          <w:sz w:val="20"/>
          <w:szCs w:val="20"/>
        </w:rPr>
        <w:t xml:space="preserve"> recommended that in relation to people with disability, the term ‘family violence’ should be inclusive of the types of family violence experienced by people with disabilities, including: domestic, sexual or physical assault; stealing and financial exploitation including misappropriation of social security payments and other benefits and concessions; neglect and deprivation of things such as shelter, nutrition and essential medical treatment; and other specific types of violence and abuse such as withholding equipment, food and medication; and forced sterilisation and abortion</w:t>
      </w:r>
      <w:r>
        <w:rPr>
          <w:rFonts w:asciiTheme="minorHAnsi" w:hAnsiTheme="minorHAnsi"/>
          <w:sz w:val="20"/>
          <w:szCs w:val="20"/>
        </w:rPr>
        <w:t xml:space="preserve"> (</w:t>
      </w:r>
      <w:r w:rsidRPr="003F5DAC">
        <w:rPr>
          <w:rFonts w:asciiTheme="minorHAnsi" w:hAnsiTheme="minorHAnsi"/>
          <w:sz w:val="20"/>
          <w:szCs w:val="20"/>
        </w:rPr>
        <w:t xml:space="preserve">Australian Law Reform Commission </w:t>
      </w:r>
      <w:r>
        <w:rPr>
          <w:rFonts w:asciiTheme="minorHAnsi" w:hAnsiTheme="minorHAnsi"/>
          <w:sz w:val="20"/>
          <w:szCs w:val="20"/>
        </w:rPr>
        <w:t>2012)</w:t>
      </w:r>
      <w:r w:rsidRPr="00B132C6">
        <w:rPr>
          <w:rFonts w:asciiTheme="minorHAnsi" w:hAnsiTheme="minorHAnsi"/>
          <w:sz w:val="20"/>
          <w:szCs w:val="20"/>
        </w:rPr>
        <w:t>. Conceptualising ‘family violence’ in this way is critical for women and girls with disabilities, as it not only helps to ensure legal protection but importantly, helps to promote a culture where no form of violence against women with disabilities is tolerated.</w:t>
      </w:r>
    </w:p>
    <w:p w14:paraId="1163C143" w14:textId="77777777" w:rsidR="00C30324" w:rsidRPr="00B132C6" w:rsidRDefault="00C30324" w:rsidP="00C30324">
      <w:pPr>
        <w:spacing w:after="0" w:line="240" w:lineRule="auto"/>
        <w:jc w:val="both"/>
        <w:rPr>
          <w:rFonts w:asciiTheme="minorHAnsi" w:hAnsiTheme="minorHAnsi" w:cs="Calibri"/>
          <w:bCs/>
          <w:sz w:val="20"/>
          <w:szCs w:val="20"/>
          <w:lang w:eastAsia="en-AU"/>
        </w:rPr>
      </w:pPr>
    </w:p>
    <w:p w14:paraId="3AF9E9A7" w14:textId="5F024D91" w:rsidR="00C30324" w:rsidRPr="00AB1B5D" w:rsidRDefault="00C30324" w:rsidP="00C30324">
      <w:pPr>
        <w:spacing w:after="0" w:line="240" w:lineRule="auto"/>
        <w:jc w:val="both"/>
        <w:rPr>
          <w:rFonts w:asciiTheme="minorHAnsi" w:hAnsiTheme="minorHAnsi"/>
          <w:sz w:val="20"/>
          <w:szCs w:val="20"/>
        </w:rPr>
      </w:pPr>
      <w:r w:rsidRPr="00B132C6">
        <w:rPr>
          <w:rFonts w:asciiTheme="minorHAnsi" w:hAnsiTheme="minorHAnsi" w:cs="Calibri"/>
          <w:bCs/>
          <w:sz w:val="20"/>
          <w:szCs w:val="20"/>
          <w:lang w:eastAsia="en-AU"/>
        </w:rPr>
        <w:t xml:space="preserve">The problem of </w:t>
      </w:r>
      <w:r>
        <w:rPr>
          <w:rFonts w:asciiTheme="minorHAnsi" w:hAnsiTheme="minorHAnsi" w:cs="Calibri"/>
          <w:bCs/>
          <w:sz w:val="20"/>
          <w:szCs w:val="20"/>
          <w:lang w:eastAsia="en-AU"/>
        </w:rPr>
        <w:t xml:space="preserve">narrow and </w:t>
      </w:r>
      <w:r w:rsidRPr="00B132C6">
        <w:rPr>
          <w:rFonts w:asciiTheme="minorHAnsi" w:hAnsiTheme="minorHAnsi" w:cs="Calibri"/>
          <w:bCs/>
          <w:sz w:val="20"/>
          <w:szCs w:val="20"/>
          <w:lang w:eastAsia="en-AU"/>
        </w:rPr>
        <w:t xml:space="preserve">non-inclusive conceptual understandings of what constitutes ‘violence against women’, and/or ‘gender-based violence’ and/or ‘a human rights approach to addressing violence against women’, is evident in current national policy frameworks to address violence against women, and to advance the rights of people with disabilities. For example, the </w:t>
      </w:r>
      <w:r w:rsidRPr="00B132C6">
        <w:rPr>
          <w:rFonts w:asciiTheme="minorHAnsi" w:hAnsiTheme="minorHAnsi"/>
          <w:i/>
          <w:sz w:val="20"/>
          <w:szCs w:val="20"/>
        </w:rPr>
        <w:t xml:space="preserve">National Plan to Reduce violence against women and their Children 2010–2022’ </w:t>
      </w:r>
      <w:r w:rsidRPr="00B132C6">
        <w:rPr>
          <w:rFonts w:asciiTheme="minorHAnsi" w:hAnsiTheme="minorHAnsi"/>
          <w:sz w:val="20"/>
          <w:szCs w:val="20"/>
        </w:rPr>
        <w:t xml:space="preserve">has significant limitations, in that </w:t>
      </w:r>
      <w:r>
        <w:rPr>
          <w:rFonts w:asciiTheme="minorHAnsi" w:hAnsiTheme="minorHAnsi"/>
          <w:sz w:val="20"/>
          <w:szCs w:val="20"/>
        </w:rPr>
        <w:t xml:space="preserve">it has </w:t>
      </w:r>
      <w:r w:rsidRPr="00B132C6">
        <w:rPr>
          <w:rFonts w:asciiTheme="minorHAnsi" w:hAnsiTheme="minorHAnsi"/>
          <w:sz w:val="20"/>
          <w:szCs w:val="20"/>
        </w:rPr>
        <w:t>little emph</w:t>
      </w:r>
      <w:r>
        <w:rPr>
          <w:rFonts w:asciiTheme="minorHAnsi" w:hAnsiTheme="minorHAnsi"/>
          <w:sz w:val="20"/>
          <w:szCs w:val="20"/>
        </w:rPr>
        <w:t xml:space="preserve">asis on girls with disabilities, </w:t>
      </w:r>
      <w:r w:rsidRPr="00B132C6">
        <w:rPr>
          <w:rFonts w:asciiTheme="minorHAnsi" w:hAnsiTheme="minorHAnsi"/>
          <w:sz w:val="20"/>
          <w:szCs w:val="20"/>
        </w:rPr>
        <w:t>it focuses on traditional notions of domestic/family violence (</w:t>
      </w:r>
      <w:proofErr w:type="spellStart"/>
      <w:r w:rsidRPr="00B132C6">
        <w:rPr>
          <w:rFonts w:asciiTheme="minorHAnsi" w:hAnsiTheme="minorHAnsi"/>
          <w:sz w:val="20"/>
          <w:szCs w:val="20"/>
        </w:rPr>
        <w:t>ie</w:t>
      </w:r>
      <w:proofErr w:type="spellEnd"/>
      <w:r w:rsidRPr="00B132C6">
        <w:rPr>
          <w:rFonts w:asciiTheme="minorHAnsi" w:hAnsiTheme="minorHAnsi"/>
          <w:sz w:val="20"/>
          <w:szCs w:val="20"/>
        </w:rPr>
        <w:t>: intimate partner violence) and sexual assault,</w:t>
      </w:r>
      <w:r>
        <w:rPr>
          <w:rFonts w:asciiTheme="minorHAnsi" w:hAnsiTheme="minorHAnsi"/>
          <w:sz w:val="20"/>
          <w:szCs w:val="20"/>
        </w:rPr>
        <w:t xml:space="preserve"> and</w:t>
      </w:r>
      <w:r w:rsidRPr="00B132C6">
        <w:rPr>
          <w:rFonts w:asciiTheme="minorHAnsi" w:hAnsiTheme="minorHAnsi"/>
          <w:sz w:val="20"/>
          <w:szCs w:val="20"/>
        </w:rPr>
        <w:t xml:space="preserve"> fails to address the many </w:t>
      </w:r>
      <w:r>
        <w:rPr>
          <w:rFonts w:asciiTheme="minorHAnsi" w:hAnsiTheme="minorHAnsi"/>
          <w:sz w:val="20"/>
          <w:szCs w:val="20"/>
        </w:rPr>
        <w:t xml:space="preserve">other </w:t>
      </w:r>
      <w:r w:rsidRPr="00B132C6">
        <w:rPr>
          <w:rFonts w:asciiTheme="minorHAnsi" w:hAnsiTheme="minorHAnsi"/>
          <w:sz w:val="20"/>
          <w:szCs w:val="20"/>
        </w:rPr>
        <w:t xml:space="preserve">forms of violence perpetrated against women and girls with disabilities (such as violence in institutions and </w:t>
      </w:r>
      <w:r>
        <w:rPr>
          <w:rFonts w:asciiTheme="minorHAnsi" w:hAnsiTheme="minorHAnsi"/>
          <w:sz w:val="20"/>
          <w:szCs w:val="20"/>
        </w:rPr>
        <w:t>service</w:t>
      </w:r>
      <w:r w:rsidRPr="00B132C6">
        <w:rPr>
          <w:rFonts w:asciiTheme="minorHAnsi" w:hAnsiTheme="minorHAnsi"/>
          <w:sz w:val="20"/>
          <w:szCs w:val="20"/>
        </w:rPr>
        <w:t xml:space="preserve"> settings; sexual and reproductive rights violations; restrictive practices; seclusion and restraint; deprivation of liberty). These forms of violence currently fall ‘outside’ the scope of the </w:t>
      </w:r>
      <w:r w:rsidRPr="00B132C6">
        <w:rPr>
          <w:rFonts w:asciiTheme="minorHAnsi" w:hAnsiTheme="minorHAnsi"/>
          <w:i/>
          <w:sz w:val="20"/>
          <w:szCs w:val="20"/>
        </w:rPr>
        <w:t>National Plan</w:t>
      </w:r>
      <w:r w:rsidRPr="00B132C6">
        <w:rPr>
          <w:rFonts w:asciiTheme="minorHAnsi" w:hAnsiTheme="minorHAnsi"/>
          <w:sz w:val="20"/>
          <w:szCs w:val="20"/>
        </w:rPr>
        <w:t>. Whilst the second three year action plan of the National Plan [</w:t>
      </w:r>
      <w:r w:rsidRPr="00B132C6">
        <w:rPr>
          <w:rFonts w:asciiTheme="minorHAnsi" w:hAnsiTheme="minorHAnsi"/>
          <w:i/>
          <w:sz w:val="20"/>
          <w:szCs w:val="20"/>
        </w:rPr>
        <w:t>‘Moving Ahead 2013-2016’</w:t>
      </w:r>
      <w:r w:rsidRPr="00B132C6">
        <w:rPr>
          <w:rFonts w:asciiTheme="minorHAnsi" w:hAnsiTheme="minorHAnsi"/>
          <w:sz w:val="20"/>
          <w:szCs w:val="20"/>
        </w:rPr>
        <w:t>], does prioritise women with disabilit</w:t>
      </w:r>
      <w:r>
        <w:rPr>
          <w:rFonts w:asciiTheme="minorHAnsi" w:hAnsiTheme="minorHAnsi"/>
          <w:sz w:val="20"/>
          <w:szCs w:val="20"/>
        </w:rPr>
        <w:t>ies</w:t>
      </w:r>
      <w:r w:rsidRPr="00B132C6">
        <w:rPr>
          <w:rFonts w:asciiTheme="minorHAnsi" w:hAnsiTheme="minorHAnsi"/>
          <w:sz w:val="20"/>
          <w:szCs w:val="20"/>
        </w:rPr>
        <w:t xml:space="preserve"> by providing the opportunity to </w:t>
      </w:r>
      <w:r w:rsidRPr="00B132C6">
        <w:rPr>
          <w:rFonts w:asciiTheme="minorHAnsi" w:hAnsiTheme="minorHAnsi"/>
          <w:i/>
          <w:sz w:val="20"/>
          <w:szCs w:val="20"/>
        </w:rPr>
        <w:t>‘prioritise and implement key outcomes from the Stop the Violence Project’</w:t>
      </w:r>
      <w:r w:rsidR="00AB1B5D">
        <w:rPr>
          <w:rFonts w:asciiTheme="minorHAnsi" w:hAnsiTheme="minorHAnsi"/>
          <w:sz w:val="20"/>
          <w:szCs w:val="20"/>
        </w:rPr>
        <w:t xml:space="preserve"> (</w:t>
      </w:r>
      <w:r w:rsidR="00AB1B5D" w:rsidRPr="00AB1B5D">
        <w:rPr>
          <w:rFonts w:asciiTheme="minorHAnsi" w:hAnsiTheme="minorHAnsi"/>
          <w:sz w:val="20"/>
          <w:szCs w:val="20"/>
        </w:rPr>
        <w:t>Department of Social Services</w:t>
      </w:r>
      <w:r w:rsidR="00AB1B5D" w:rsidRPr="00AB1B5D">
        <w:rPr>
          <w:rStyle w:val="FootnoteReference"/>
          <w:rFonts w:asciiTheme="minorHAnsi" w:hAnsiTheme="minorHAnsi"/>
          <w:sz w:val="20"/>
          <w:szCs w:val="20"/>
          <w:vertAlign w:val="baseline"/>
        </w:rPr>
        <w:t xml:space="preserve"> </w:t>
      </w:r>
      <w:r w:rsidR="00AB1B5D">
        <w:rPr>
          <w:rFonts w:asciiTheme="minorHAnsi" w:hAnsiTheme="minorHAnsi"/>
          <w:sz w:val="20"/>
          <w:szCs w:val="20"/>
        </w:rPr>
        <w:t>2014),</w:t>
      </w:r>
      <w:r w:rsidRPr="00B132C6">
        <w:rPr>
          <w:rFonts w:asciiTheme="minorHAnsi" w:hAnsiTheme="minorHAnsi"/>
          <w:sz w:val="20"/>
          <w:szCs w:val="20"/>
        </w:rPr>
        <w:t xml:space="preserve"> the STVP was itself, limited in scope as its contracted focus was on building the evidence base to reform service provision for women with disabilities who are experiencing or at risk of violence. The Project was unable to </w:t>
      </w:r>
      <w:r w:rsidRPr="00B132C6">
        <w:rPr>
          <w:rFonts w:asciiTheme="minorHAnsi" w:hAnsiTheme="minorHAnsi"/>
          <w:i/>
          <w:sz w:val="20"/>
          <w:szCs w:val="20"/>
        </w:rPr>
        <w:t>‘address the myriad issues and complexities inherent in the multiple forms of violence perpetrated against women with disabilities</w:t>
      </w:r>
      <w:r w:rsidR="00AB1B5D">
        <w:rPr>
          <w:rFonts w:asciiTheme="minorHAnsi" w:hAnsiTheme="minorHAnsi"/>
          <w:i/>
          <w:sz w:val="20"/>
          <w:szCs w:val="20"/>
        </w:rPr>
        <w:t xml:space="preserve">’ </w:t>
      </w:r>
      <w:r w:rsidR="00AB1B5D" w:rsidRPr="00AB1B5D">
        <w:rPr>
          <w:rFonts w:asciiTheme="minorHAnsi" w:hAnsiTheme="minorHAnsi"/>
          <w:sz w:val="20"/>
          <w:szCs w:val="20"/>
        </w:rPr>
        <w:t>(Dowse et al 2013, WWDA et al 2013)</w:t>
      </w:r>
      <w:r w:rsidR="00AB1B5D">
        <w:rPr>
          <w:rFonts w:asciiTheme="minorHAnsi" w:hAnsiTheme="minorHAnsi"/>
          <w:sz w:val="20"/>
          <w:szCs w:val="20"/>
        </w:rPr>
        <w:t>.</w:t>
      </w:r>
      <w:r w:rsidRPr="00AB1B5D">
        <w:rPr>
          <w:rFonts w:asciiTheme="minorHAnsi" w:hAnsiTheme="minorHAnsi"/>
          <w:sz w:val="20"/>
          <w:szCs w:val="20"/>
        </w:rPr>
        <w:t xml:space="preserve"> </w:t>
      </w:r>
    </w:p>
    <w:p w14:paraId="20857BFE" w14:textId="77777777" w:rsidR="00C30324" w:rsidRPr="00B132C6" w:rsidRDefault="00C30324" w:rsidP="00C30324">
      <w:pPr>
        <w:spacing w:after="0" w:line="240" w:lineRule="auto"/>
        <w:jc w:val="both"/>
        <w:rPr>
          <w:rFonts w:asciiTheme="minorHAnsi" w:hAnsiTheme="minorHAnsi" w:cs="Calibri"/>
          <w:bCs/>
          <w:sz w:val="20"/>
          <w:szCs w:val="20"/>
          <w:lang w:eastAsia="en-AU"/>
        </w:rPr>
      </w:pPr>
    </w:p>
    <w:p w14:paraId="3BF28E53" w14:textId="23D5FC23" w:rsidR="00C30324" w:rsidRDefault="00C30324" w:rsidP="00C30324">
      <w:pPr>
        <w:spacing w:after="0" w:line="240" w:lineRule="auto"/>
        <w:jc w:val="both"/>
        <w:rPr>
          <w:rFonts w:asciiTheme="minorHAnsi" w:hAnsiTheme="minorHAnsi"/>
          <w:sz w:val="20"/>
          <w:szCs w:val="20"/>
        </w:rPr>
      </w:pPr>
      <w:r w:rsidRPr="00B132C6">
        <w:rPr>
          <w:rFonts w:asciiTheme="minorHAnsi" w:hAnsiTheme="minorHAnsi"/>
          <w:sz w:val="20"/>
          <w:szCs w:val="20"/>
        </w:rPr>
        <w:t xml:space="preserve">The </w:t>
      </w:r>
      <w:r w:rsidRPr="00B132C6">
        <w:rPr>
          <w:rFonts w:asciiTheme="minorHAnsi" w:hAnsiTheme="minorHAnsi"/>
          <w:i/>
          <w:sz w:val="20"/>
          <w:szCs w:val="20"/>
        </w:rPr>
        <w:t>National Disability Strategy</w:t>
      </w:r>
      <w:r w:rsidRPr="00B132C6">
        <w:rPr>
          <w:rFonts w:asciiTheme="minorHAnsi" w:hAnsiTheme="minorHAnsi"/>
          <w:sz w:val="20"/>
          <w:szCs w:val="20"/>
        </w:rPr>
        <w:t xml:space="preserve"> (NDS) sets </w:t>
      </w:r>
      <w:r w:rsidRPr="00B132C6">
        <w:rPr>
          <w:rFonts w:asciiTheme="minorHAnsi" w:hAnsiTheme="minorHAnsi"/>
          <w:sz w:val="20"/>
          <w:szCs w:val="20"/>
          <w:lang w:val="x-none"/>
        </w:rPr>
        <w:t xml:space="preserve">out the national policy framework for guiding Australian governments to meet their obligations under the </w:t>
      </w:r>
      <w:r w:rsidRPr="00B132C6">
        <w:rPr>
          <w:rFonts w:asciiTheme="minorHAnsi" w:hAnsiTheme="minorHAnsi"/>
          <w:i/>
          <w:sz w:val="20"/>
          <w:szCs w:val="20"/>
        </w:rPr>
        <w:t>Convention on the Rights of Persons with Disabilities</w:t>
      </w:r>
      <w:r w:rsidRPr="00B132C6">
        <w:rPr>
          <w:rFonts w:asciiTheme="minorHAnsi" w:hAnsiTheme="minorHAnsi"/>
          <w:sz w:val="20"/>
          <w:szCs w:val="20"/>
        </w:rPr>
        <w:t xml:space="preserve"> (CRPD)</w:t>
      </w:r>
      <w:r w:rsidRPr="00B132C6">
        <w:rPr>
          <w:rFonts w:asciiTheme="minorHAnsi" w:hAnsiTheme="minorHAnsi"/>
          <w:sz w:val="20"/>
          <w:szCs w:val="20"/>
          <w:lang w:val="x-none"/>
        </w:rPr>
        <w:t xml:space="preserve">. </w:t>
      </w:r>
      <w:r w:rsidRPr="00B132C6">
        <w:rPr>
          <w:rFonts w:asciiTheme="minorHAnsi" w:hAnsiTheme="minorHAnsi"/>
          <w:sz w:val="20"/>
          <w:szCs w:val="20"/>
        </w:rPr>
        <w:t>The NDS is supported by three Implementation Plans developed over its ten-year life span. The</w:t>
      </w:r>
      <w:r w:rsidRPr="00B132C6">
        <w:rPr>
          <w:rFonts w:asciiTheme="minorHAnsi" w:hAnsiTheme="minorHAnsi"/>
          <w:sz w:val="20"/>
          <w:szCs w:val="20"/>
          <w:lang w:val="x-none"/>
        </w:rPr>
        <w:t xml:space="preserve"> NDS i</w:t>
      </w:r>
      <w:r w:rsidR="00285A83">
        <w:rPr>
          <w:rFonts w:asciiTheme="minorHAnsi" w:hAnsiTheme="minorHAnsi"/>
          <w:sz w:val="20"/>
          <w:szCs w:val="20"/>
          <w:lang w:val="x-none"/>
        </w:rPr>
        <w:t>s</w:t>
      </w:r>
      <w:r w:rsidRPr="00B132C6">
        <w:rPr>
          <w:rFonts w:asciiTheme="minorHAnsi" w:hAnsiTheme="minorHAnsi"/>
          <w:sz w:val="20"/>
          <w:szCs w:val="20"/>
          <w:lang w:val="x-none"/>
        </w:rPr>
        <w:t xml:space="preserve"> not gendered, and contains limited measures to address violence against people with disabilities, identifying only that there is a need to </w:t>
      </w:r>
      <w:r w:rsidRPr="00B132C6">
        <w:rPr>
          <w:rFonts w:asciiTheme="minorHAnsi" w:hAnsiTheme="minorHAnsi"/>
          <w:i/>
          <w:sz w:val="20"/>
          <w:szCs w:val="20"/>
          <w:lang w:val="x-none"/>
        </w:rPr>
        <w:t>‘develop strategies to reduce violence, abuse and neglect of people with disabilities</w:t>
      </w:r>
      <w:r w:rsidRPr="00B132C6">
        <w:rPr>
          <w:rFonts w:asciiTheme="minorHAnsi" w:hAnsiTheme="minorHAnsi"/>
          <w:sz w:val="20"/>
          <w:szCs w:val="20"/>
          <w:lang w:val="x-none"/>
        </w:rPr>
        <w:t>’.</w:t>
      </w:r>
      <w:r w:rsidRPr="00B132C6">
        <w:rPr>
          <w:rFonts w:asciiTheme="minorHAnsi" w:hAnsiTheme="minorHAnsi"/>
          <w:sz w:val="20"/>
          <w:szCs w:val="20"/>
        </w:rPr>
        <w:t xml:space="preserve"> The first NDS Implementation Plan - </w:t>
      </w:r>
      <w:r w:rsidRPr="00B132C6">
        <w:rPr>
          <w:rFonts w:asciiTheme="minorHAnsi" w:hAnsiTheme="minorHAnsi"/>
          <w:i/>
          <w:sz w:val="20"/>
          <w:szCs w:val="20"/>
        </w:rPr>
        <w:t>Laying the Groundwork: 2011–2014</w:t>
      </w:r>
      <w:r w:rsidRPr="00B132C6">
        <w:rPr>
          <w:rFonts w:asciiTheme="minorHAnsi" w:hAnsiTheme="minorHAnsi"/>
          <w:sz w:val="20"/>
          <w:szCs w:val="20"/>
        </w:rPr>
        <w:t xml:space="preserve"> -contains only </w:t>
      </w:r>
      <w:r w:rsidRPr="00B132C6">
        <w:rPr>
          <w:rFonts w:asciiTheme="minorHAnsi" w:hAnsiTheme="minorHAnsi"/>
          <w:sz w:val="20"/>
          <w:szCs w:val="20"/>
          <w:u w:val="single"/>
        </w:rPr>
        <w:t>one</w:t>
      </w:r>
      <w:r w:rsidRPr="00B132C6">
        <w:rPr>
          <w:rFonts w:asciiTheme="minorHAnsi" w:hAnsiTheme="minorHAnsi"/>
          <w:sz w:val="20"/>
          <w:szCs w:val="20"/>
        </w:rPr>
        <w:t xml:space="preserve"> specific action to achieve this, which is to: ‘ensure that the </w:t>
      </w:r>
      <w:r w:rsidRPr="00B132C6">
        <w:rPr>
          <w:rFonts w:asciiTheme="minorHAnsi" w:hAnsiTheme="minorHAnsi"/>
          <w:i/>
          <w:sz w:val="20"/>
          <w:szCs w:val="20"/>
        </w:rPr>
        <w:t>National Plan to Reduce violence against women and their Children 2010–2022</w:t>
      </w:r>
      <w:r w:rsidRPr="00B132C6">
        <w:rPr>
          <w:rFonts w:asciiTheme="minorHAnsi" w:hAnsiTheme="minorHAnsi"/>
          <w:sz w:val="20"/>
          <w:szCs w:val="20"/>
        </w:rPr>
        <w:t xml:space="preserve"> and the </w:t>
      </w:r>
      <w:r w:rsidRPr="00B132C6">
        <w:rPr>
          <w:rFonts w:asciiTheme="minorHAnsi" w:hAnsiTheme="minorHAnsi"/>
          <w:i/>
          <w:sz w:val="20"/>
          <w:szCs w:val="20"/>
        </w:rPr>
        <w:t>National Framework for Protecting Australia’s Children</w:t>
      </w:r>
      <w:r w:rsidRPr="00B132C6">
        <w:rPr>
          <w:rFonts w:asciiTheme="minorHAnsi" w:hAnsiTheme="minorHAnsi"/>
          <w:sz w:val="20"/>
          <w:szCs w:val="20"/>
        </w:rPr>
        <w:t xml:space="preserve"> have priority action to improve the safety and wellbeing of women and children with disability’</w:t>
      </w:r>
      <w:r w:rsidR="00AB1B5D">
        <w:rPr>
          <w:rFonts w:asciiTheme="minorHAnsi" w:hAnsiTheme="minorHAnsi"/>
          <w:sz w:val="20"/>
          <w:szCs w:val="20"/>
        </w:rPr>
        <w:t xml:space="preserve"> (</w:t>
      </w:r>
      <w:r w:rsidR="00AB1B5D" w:rsidRPr="00AB1B5D">
        <w:rPr>
          <w:rFonts w:asciiTheme="minorHAnsi" w:hAnsiTheme="minorHAnsi"/>
          <w:sz w:val="20"/>
          <w:szCs w:val="20"/>
        </w:rPr>
        <w:t>Department of Families, Housing, Community Services and Indigenous Affairs 2013)</w:t>
      </w:r>
      <w:r w:rsidR="00AB1B5D">
        <w:rPr>
          <w:rFonts w:asciiTheme="minorHAnsi" w:hAnsiTheme="minorHAnsi"/>
          <w:sz w:val="20"/>
          <w:szCs w:val="20"/>
        </w:rPr>
        <w:t>.</w:t>
      </w:r>
    </w:p>
    <w:p w14:paraId="634AD1D4" w14:textId="77777777" w:rsidR="00C30324" w:rsidRPr="00B132C6" w:rsidRDefault="00C30324" w:rsidP="00C30324">
      <w:pPr>
        <w:spacing w:after="0" w:line="240" w:lineRule="auto"/>
        <w:jc w:val="both"/>
        <w:rPr>
          <w:rFonts w:asciiTheme="minorHAnsi" w:hAnsiTheme="minorHAnsi"/>
          <w:sz w:val="20"/>
          <w:szCs w:val="20"/>
        </w:rPr>
      </w:pPr>
    </w:p>
    <w:p w14:paraId="48609D63" w14:textId="65ED6731" w:rsidR="00C30324" w:rsidRPr="00B132C6" w:rsidRDefault="00C30324" w:rsidP="00C30324">
      <w:pPr>
        <w:pStyle w:val="NoSpacing"/>
        <w:jc w:val="both"/>
        <w:rPr>
          <w:rFonts w:asciiTheme="minorHAnsi" w:hAnsiTheme="minorHAnsi"/>
          <w:sz w:val="20"/>
          <w:szCs w:val="20"/>
        </w:rPr>
      </w:pPr>
      <w:proofErr w:type="gramStart"/>
      <w:r>
        <w:rPr>
          <w:rFonts w:asciiTheme="minorHAnsi" w:hAnsiTheme="minorHAnsi"/>
          <w:sz w:val="20"/>
          <w:szCs w:val="20"/>
        </w:rPr>
        <w:t xml:space="preserve">Neither the </w:t>
      </w:r>
      <w:r w:rsidRPr="00B132C6">
        <w:rPr>
          <w:rFonts w:asciiTheme="minorHAnsi" w:hAnsiTheme="minorHAnsi"/>
          <w:i/>
          <w:sz w:val="20"/>
          <w:szCs w:val="20"/>
        </w:rPr>
        <w:t>National Plan</w:t>
      </w:r>
      <w:r w:rsidRPr="00B132C6">
        <w:rPr>
          <w:rFonts w:asciiTheme="minorHAnsi" w:hAnsiTheme="minorHAnsi"/>
          <w:sz w:val="20"/>
          <w:szCs w:val="20"/>
        </w:rPr>
        <w:t xml:space="preserve"> </w:t>
      </w:r>
      <w:r>
        <w:rPr>
          <w:rFonts w:asciiTheme="minorHAnsi" w:hAnsiTheme="minorHAnsi"/>
          <w:sz w:val="20"/>
          <w:szCs w:val="20"/>
        </w:rPr>
        <w:t>or</w:t>
      </w:r>
      <w:proofErr w:type="gramEnd"/>
      <w:r>
        <w:rPr>
          <w:rFonts w:asciiTheme="minorHAnsi" w:hAnsiTheme="minorHAnsi"/>
          <w:sz w:val="20"/>
          <w:szCs w:val="20"/>
        </w:rPr>
        <w:t xml:space="preserve"> the NDS are embedded in a comprehensive human rights framework. For example, </w:t>
      </w:r>
      <w:r w:rsidRPr="00B132C6">
        <w:rPr>
          <w:rFonts w:asciiTheme="minorHAnsi" w:hAnsiTheme="minorHAnsi"/>
          <w:sz w:val="20"/>
          <w:szCs w:val="20"/>
        </w:rPr>
        <w:t xml:space="preserve">The </w:t>
      </w:r>
      <w:r w:rsidRPr="00B132C6">
        <w:rPr>
          <w:rFonts w:asciiTheme="minorHAnsi" w:hAnsiTheme="minorHAnsi"/>
          <w:i/>
          <w:sz w:val="20"/>
          <w:szCs w:val="20"/>
        </w:rPr>
        <w:t>National Plan</w:t>
      </w:r>
      <w:r w:rsidRPr="00B132C6">
        <w:rPr>
          <w:rFonts w:asciiTheme="minorHAnsi" w:hAnsiTheme="minorHAnsi"/>
          <w:sz w:val="20"/>
          <w:szCs w:val="20"/>
        </w:rPr>
        <w:t xml:space="preserve"> is only linked to </w:t>
      </w:r>
      <w:r w:rsidRPr="00B132C6">
        <w:rPr>
          <w:rFonts w:asciiTheme="minorHAnsi" w:hAnsiTheme="minorHAnsi" w:cs="Segoe UI"/>
          <w:bCs/>
          <w:i/>
          <w:sz w:val="20"/>
          <w:szCs w:val="20"/>
          <w:lang w:eastAsia="en-AU"/>
        </w:rPr>
        <w:t>Convention on the Elimination of Discrimination against Women</w:t>
      </w:r>
      <w:r w:rsidRPr="00B132C6">
        <w:rPr>
          <w:rFonts w:asciiTheme="minorHAnsi" w:hAnsiTheme="minorHAnsi" w:cs="Segoe UI"/>
          <w:bCs/>
          <w:sz w:val="20"/>
          <w:szCs w:val="20"/>
          <w:lang w:eastAsia="en-AU"/>
        </w:rPr>
        <w:t xml:space="preserve"> (CEDAW),</w:t>
      </w:r>
      <w:r w:rsidRPr="00B132C6">
        <w:rPr>
          <w:rFonts w:asciiTheme="minorHAnsi" w:hAnsiTheme="minorHAnsi"/>
          <w:sz w:val="20"/>
          <w:szCs w:val="20"/>
        </w:rPr>
        <w:t xml:space="preserve"> and so is primarily focused on meeting human rights obligations in relation to gender discrimination. The </w:t>
      </w:r>
      <w:r w:rsidRPr="00A43407">
        <w:rPr>
          <w:rFonts w:asciiTheme="minorHAnsi" w:hAnsiTheme="minorHAnsi" w:cs="Calibri"/>
          <w:bCs/>
          <w:i/>
          <w:sz w:val="20"/>
          <w:szCs w:val="20"/>
          <w:lang w:eastAsia="en-AU"/>
        </w:rPr>
        <w:t>National Disability Strategy</w:t>
      </w:r>
      <w:r w:rsidRPr="00B132C6">
        <w:rPr>
          <w:rFonts w:asciiTheme="minorHAnsi" w:hAnsiTheme="minorHAnsi" w:cs="Calibri"/>
          <w:bCs/>
          <w:sz w:val="20"/>
          <w:szCs w:val="20"/>
          <w:lang w:eastAsia="en-AU"/>
        </w:rPr>
        <w:t xml:space="preserve"> (NDS) is only linked to the </w:t>
      </w:r>
      <w:r w:rsidRPr="00A43407">
        <w:rPr>
          <w:rFonts w:asciiTheme="minorHAnsi" w:hAnsiTheme="minorHAnsi" w:cs="Calibri"/>
          <w:bCs/>
          <w:i/>
          <w:sz w:val="20"/>
          <w:szCs w:val="20"/>
          <w:lang w:eastAsia="en-AU"/>
        </w:rPr>
        <w:t>Convention on the Rights of Persons with Disabilities</w:t>
      </w:r>
      <w:r w:rsidRPr="00B132C6">
        <w:rPr>
          <w:rFonts w:asciiTheme="minorHAnsi" w:hAnsiTheme="minorHAnsi" w:cs="Calibri"/>
          <w:bCs/>
          <w:sz w:val="20"/>
          <w:szCs w:val="20"/>
          <w:lang w:eastAsia="en-AU"/>
        </w:rPr>
        <w:t xml:space="preserve"> (CRPD), and so is primarily focused on meeting human rights obligations in relation to disability discrimination. A human rights approach to the prevention of violence against women, including women with disabilities, requires such policy frameworks to be </w:t>
      </w:r>
      <w:r>
        <w:rPr>
          <w:rFonts w:asciiTheme="minorHAnsi" w:hAnsiTheme="minorHAnsi"/>
          <w:sz w:val="20"/>
          <w:szCs w:val="20"/>
        </w:rPr>
        <w:t>developed</w:t>
      </w:r>
      <w:r w:rsidRPr="00B132C6">
        <w:rPr>
          <w:rFonts w:asciiTheme="minorHAnsi" w:hAnsiTheme="minorHAnsi"/>
          <w:sz w:val="20"/>
          <w:szCs w:val="20"/>
        </w:rPr>
        <w:t xml:space="preserve"> </w:t>
      </w:r>
      <w:r w:rsidRPr="00A43407">
        <w:rPr>
          <w:rFonts w:asciiTheme="minorHAnsi" w:hAnsiTheme="minorHAnsi"/>
          <w:sz w:val="20"/>
          <w:szCs w:val="20"/>
          <w:u w:val="single"/>
        </w:rPr>
        <w:t>and</w:t>
      </w:r>
      <w:r w:rsidRPr="00B132C6">
        <w:rPr>
          <w:rFonts w:asciiTheme="minorHAnsi" w:hAnsiTheme="minorHAnsi"/>
          <w:sz w:val="20"/>
          <w:szCs w:val="20"/>
        </w:rPr>
        <w:t xml:space="preserve"> operationalised in a comprehensive human rights framework</w:t>
      </w:r>
      <w:r w:rsidR="00AB1B5D">
        <w:rPr>
          <w:rFonts w:asciiTheme="minorHAnsi" w:hAnsiTheme="minorHAnsi"/>
          <w:sz w:val="20"/>
          <w:szCs w:val="20"/>
        </w:rPr>
        <w:t xml:space="preserve"> (UN </w:t>
      </w:r>
      <w:r w:rsidR="00AB1B5D" w:rsidRPr="00AB1B5D">
        <w:rPr>
          <w:rFonts w:asciiTheme="minorHAnsi" w:hAnsiTheme="minorHAnsi"/>
          <w:sz w:val="20"/>
          <w:szCs w:val="20"/>
        </w:rPr>
        <w:t>Committee on Economic, Social and Cultural Rights 2009)</w:t>
      </w:r>
      <w:r w:rsidRPr="00B132C6">
        <w:rPr>
          <w:rFonts w:asciiTheme="minorHAnsi" w:hAnsiTheme="minorHAnsi"/>
          <w:sz w:val="20"/>
          <w:szCs w:val="20"/>
        </w:rPr>
        <w:t xml:space="preserve">. This means recognising that prevention of violence against women is an obligation in relation to gender rights, civil and political rights; economic, social and cultural rights; disability rights; child rights; as well as rights to be free from torture (and other cruel, inhuman or degrading treatment or punishment); and racial discrimination. </w:t>
      </w:r>
    </w:p>
    <w:p w14:paraId="3D82C3F8" w14:textId="77777777" w:rsidR="00C30324" w:rsidRPr="00B132C6" w:rsidRDefault="00C30324" w:rsidP="00C30324">
      <w:pPr>
        <w:spacing w:after="0" w:line="240" w:lineRule="auto"/>
        <w:jc w:val="both"/>
        <w:rPr>
          <w:rFonts w:asciiTheme="minorHAnsi" w:hAnsiTheme="minorHAnsi" w:cs="Calibri"/>
          <w:bCs/>
          <w:sz w:val="20"/>
          <w:szCs w:val="20"/>
          <w:lang w:eastAsia="en-AU"/>
        </w:rPr>
      </w:pPr>
    </w:p>
    <w:p w14:paraId="5CA4D53D" w14:textId="30AA9BB0" w:rsidR="00C30324" w:rsidRPr="00B132C6" w:rsidRDefault="00C30324" w:rsidP="00C30324">
      <w:pPr>
        <w:spacing w:after="0" w:line="240" w:lineRule="auto"/>
        <w:jc w:val="both"/>
        <w:rPr>
          <w:rFonts w:asciiTheme="minorHAnsi" w:hAnsiTheme="minorHAnsi"/>
          <w:sz w:val="20"/>
          <w:szCs w:val="20"/>
        </w:rPr>
      </w:pPr>
      <w:r w:rsidRPr="00B132C6">
        <w:rPr>
          <w:rFonts w:asciiTheme="minorHAnsi" w:hAnsiTheme="minorHAnsi"/>
          <w:sz w:val="20"/>
          <w:szCs w:val="20"/>
        </w:rPr>
        <w:t>This type of policy ‘siloing’, and lack of understanding of the intersectional nature of violence against women and girls with disabilities, contributes to women with disabilit</w:t>
      </w:r>
      <w:r>
        <w:rPr>
          <w:rFonts w:asciiTheme="minorHAnsi" w:hAnsiTheme="minorHAnsi"/>
          <w:sz w:val="20"/>
          <w:szCs w:val="20"/>
        </w:rPr>
        <w:t>ies</w:t>
      </w:r>
      <w:r w:rsidRPr="00B132C6">
        <w:rPr>
          <w:rFonts w:asciiTheme="minorHAnsi" w:hAnsiTheme="minorHAnsi"/>
          <w:sz w:val="20"/>
          <w:szCs w:val="20"/>
        </w:rPr>
        <w:t xml:space="preserve"> who experience, and who are at risk of experiencing violence, falling through violence prevention legislation, policy, program and service delivery gaps</w:t>
      </w:r>
      <w:r w:rsidR="009B7737">
        <w:rPr>
          <w:rFonts w:asciiTheme="minorHAnsi" w:hAnsiTheme="minorHAnsi"/>
          <w:sz w:val="20"/>
          <w:szCs w:val="20"/>
        </w:rPr>
        <w:t xml:space="preserve"> (Dowse et al 2013)</w:t>
      </w:r>
      <w:r w:rsidRPr="00B132C6">
        <w:rPr>
          <w:rFonts w:asciiTheme="minorHAnsi" w:hAnsiTheme="minorHAnsi"/>
          <w:sz w:val="20"/>
          <w:szCs w:val="20"/>
        </w:rPr>
        <w:t>. The multiple forms and complex nature of violence perpetrated against women and girls with disabilities currently sit in a legislative</w:t>
      </w:r>
      <w:r w:rsidR="00285A83">
        <w:rPr>
          <w:rFonts w:asciiTheme="minorHAnsi" w:hAnsiTheme="minorHAnsi"/>
          <w:sz w:val="20"/>
          <w:szCs w:val="20"/>
        </w:rPr>
        <w:t xml:space="preserve">, </w:t>
      </w:r>
      <w:r w:rsidRPr="00B132C6">
        <w:rPr>
          <w:rFonts w:asciiTheme="minorHAnsi" w:hAnsiTheme="minorHAnsi"/>
          <w:sz w:val="20"/>
          <w:szCs w:val="20"/>
        </w:rPr>
        <w:t xml:space="preserve">policy </w:t>
      </w:r>
      <w:r w:rsidR="00285A83">
        <w:rPr>
          <w:rFonts w:asciiTheme="minorHAnsi" w:hAnsiTheme="minorHAnsi"/>
          <w:sz w:val="20"/>
          <w:szCs w:val="20"/>
        </w:rPr>
        <w:t xml:space="preserve">and service response </w:t>
      </w:r>
      <w:r w:rsidRPr="00B132C6">
        <w:rPr>
          <w:rFonts w:asciiTheme="minorHAnsi" w:hAnsiTheme="minorHAnsi"/>
          <w:sz w:val="20"/>
          <w:szCs w:val="20"/>
        </w:rPr>
        <w:t>vacuum.</w:t>
      </w:r>
    </w:p>
    <w:p w14:paraId="3A955E53" w14:textId="77777777" w:rsidR="00C30324" w:rsidRPr="00B132C6" w:rsidRDefault="00C30324" w:rsidP="00C30324">
      <w:pPr>
        <w:spacing w:after="0" w:line="240" w:lineRule="auto"/>
        <w:jc w:val="both"/>
        <w:rPr>
          <w:rFonts w:asciiTheme="minorHAnsi" w:hAnsiTheme="minorHAnsi" w:cs="Calibri"/>
          <w:bCs/>
          <w:sz w:val="20"/>
          <w:szCs w:val="20"/>
          <w:lang w:eastAsia="en-AU"/>
        </w:rPr>
      </w:pPr>
    </w:p>
    <w:p w14:paraId="0F5075D7" w14:textId="77777777" w:rsidR="00C30324" w:rsidRDefault="00C30324" w:rsidP="00C30324">
      <w:pPr>
        <w:spacing w:after="0" w:line="240" w:lineRule="auto"/>
        <w:jc w:val="both"/>
        <w:rPr>
          <w:rFonts w:asciiTheme="minorHAnsi" w:hAnsiTheme="minorHAnsi" w:cs="Calibri"/>
          <w:bCs/>
          <w:sz w:val="20"/>
          <w:szCs w:val="20"/>
          <w:lang w:eastAsia="en-AU"/>
        </w:rPr>
      </w:pPr>
      <w:r>
        <w:rPr>
          <w:rFonts w:asciiTheme="minorHAnsi" w:hAnsiTheme="minorHAnsi" w:cs="Calibri"/>
          <w:bCs/>
          <w:sz w:val="20"/>
          <w:szCs w:val="20"/>
          <w:lang w:eastAsia="en-AU"/>
        </w:rPr>
        <w:t>Although Australia has clear obligations under international human rights law, to address and prevent violence against women, v</w:t>
      </w:r>
      <w:r w:rsidRPr="001E4161">
        <w:rPr>
          <w:rFonts w:asciiTheme="minorHAnsi" w:hAnsiTheme="minorHAnsi" w:cs="Calibri"/>
          <w:bCs/>
          <w:sz w:val="20"/>
          <w:szCs w:val="20"/>
          <w:lang w:eastAsia="en-AU"/>
        </w:rPr>
        <w:t xml:space="preserve">iolence against women and girls with disabilities, in all its forms, remains widespread and </w:t>
      </w:r>
      <w:r>
        <w:rPr>
          <w:rFonts w:asciiTheme="minorHAnsi" w:hAnsiTheme="minorHAnsi" w:cs="Calibri"/>
          <w:bCs/>
          <w:sz w:val="20"/>
          <w:szCs w:val="20"/>
          <w:lang w:eastAsia="en-AU"/>
        </w:rPr>
        <w:t xml:space="preserve">largely </w:t>
      </w:r>
      <w:r w:rsidRPr="001E4161">
        <w:rPr>
          <w:rFonts w:asciiTheme="minorHAnsi" w:hAnsiTheme="minorHAnsi" w:cs="Calibri"/>
          <w:bCs/>
          <w:sz w:val="20"/>
          <w:szCs w:val="20"/>
          <w:lang w:eastAsia="en-AU"/>
        </w:rPr>
        <w:t>unaddressed in Australia.</w:t>
      </w:r>
    </w:p>
    <w:p w14:paraId="1CC56ADC" w14:textId="77777777" w:rsidR="00C30324" w:rsidRDefault="00C30324" w:rsidP="00C30324">
      <w:pPr>
        <w:spacing w:after="0" w:line="240" w:lineRule="auto"/>
        <w:jc w:val="both"/>
        <w:rPr>
          <w:rFonts w:asciiTheme="minorHAnsi" w:hAnsiTheme="minorHAnsi" w:cs="Calibri"/>
          <w:bCs/>
          <w:sz w:val="20"/>
          <w:szCs w:val="20"/>
          <w:lang w:eastAsia="en-AU"/>
        </w:rPr>
      </w:pPr>
    </w:p>
    <w:p w14:paraId="5CA144C6" w14:textId="1C236D35" w:rsidR="00C30324" w:rsidRPr="00EF6882" w:rsidRDefault="00C30324" w:rsidP="00C30324">
      <w:pPr>
        <w:pStyle w:val="NoSpacing"/>
        <w:jc w:val="both"/>
        <w:rPr>
          <w:rFonts w:asciiTheme="minorHAnsi" w:hAnsiTheme="minorHAnsi"/>
          <w:sz w:val="20"/>
          <w:szCs w:val="20"/>
        </w:rPr>
      </w:pPr>
      <w:r w:rsidRPr="00EF6882">
        <w:rPr>
          <w:rFonts w:asciiTheme="minorHAnsi" w:hAnsiTheme="minorHAnsi"/>
          <w:sz w:val="20"/>
          <w:szCs w:val="20"/>
        </w:rPr>
        <w:t xml:space="preserve">Several of the international human rights </w:t>
      </w:r>
      <w:proofErr w:type="gramStart"/>
      <w:r w:rsidRPr="00EF6882">
        <w:rPr>
          <w:rFonts w:asciiTheme="minorHAnsi" w:hAnsiTheme="minorHAnsi"/>
          <w:sz w:val="20"/>
          <w:szCs w:val="20"/>
        </w:rPr>
        <w:t>treaty monitoring bodies have</w:t>
      </w:r>
      <w:proofErr w:type="gramEnd"/>
      <w:r w:rsidRPr="00EF6882">
        <w:rPr>
          <w:rFonts w:asciiTheme="minorHAnsi" w:hAnsiTheme="minorHAnsi"/>
          <w:sz w:val="20"/>
          <w:szCs w:val="20"/>
        </w:rPr>
        <w:t xml:space="preserve"> repeatedly expressed their deep concern about the high levels of violence experienced by women and girls with disabilities in Australia</w:t>
      </w:r>
      <w:r>
        <w:rPr>
          <w:rFonts w:asciiTheme="minorHAnsi" w:hAnsiTheme="minorHAnsi"/>
          <w:sz w:val="20"/>
          <w:szCs w:val="20"/>
        </w:rPr>
        <w:t xml:space="preserve">. They have found that </w:t>
      </w:r>
      <w:r w:rsidRPr="00EF6882">
        <w:rPr>
          <w:rFonts w:asciiTheme="minorHAnsi" w:hAnsiTheme="minorHAnsi"/>
          <w:sz w:val="20"/>
          <w:szCs w:val="20"/>
        </w:rPr>
        <w:t>the inter-connection between violence against women and discrimination on the basis of gender and disability remains unaddressed</w:t>
      </w:r>
      <w:r>
        <w:rPr>
          <w:rFonts w:asciiTheme="minorHAnsi" w:hAnsiTheme="minorHAnsi"/>
          <w:sz w:val="20"/>
          <w:szCs w:val="20"/>
        </w:rPr>
        <w:t xml:space="preserve"> (</w:t>
      </w:r>
      <w:proofErr w:type="spellStart"/>
      <w:r>
        <w:rPr>
          <w:rFonts w:asciiTheme="minorHAnsi" w:hAnsiTheme="minorHAnsi"/>
          <w:sz w:val="20"/>
          <w:szCs w:val="20"/>
        </w:rPr>
        <w:t>Manjoo</w:t>
      </w:r>
      <w:proofErr w:type="spellEnd"/>
      <w:r>
        <w:rPr>
          <w:rFonts w:asciiTheme="minorHAnsi" w:hAnsiTheme="minorHAnsi"/>
          <w:sz w:val="20"/>
          <w:szCs w:val="20"/>
        </w:rPr>
        <w:t xml:space="preserve"> 2012). They have raised serious concerns about </w:t>
      </w:r>
      <w:r w:rsidRPr="00EF6882">
        <w:rPr>
          <w:rFonts w:asciiTheme="minorHAnsi" w:hAnsiTheme="minorHAnsi"/>
          <w:sz w:val="20"/>
          <w:szCs w:val="20"/>
        </w:rPr>
        <w:t xml:space="preserve">the low rates of reporting, prosecutions and convictions, the lack of data, the lack of inclusive legislation, policies, services and support, and lack of targeted measures to prevent and address violence against disabled women and girls. The monitoring bodies have called on Australian Governments to take </w:t>
      </w:r>
      <w:r w:rsidRPr="00EF6882">
        <w:rPr>
          <w:rFonts w:asciiTheme="minorHAnsi" w:hAnsiTheme="minorHAnsi"/>
          <w:sz w:val="20"/>
          <w:szCs w:val="20"/>
          <w:u w:val="single"/>
        </w:rPr>
        <w:t>urgent</w:t>
      </w:r>
      <w:r w:rsidRPr="00EF6882">
        <w:rPr>
          <w:rFonts w:asciiTheme="minorHAnsi" w:hAnsiTheme="minorHAnsi"/>
          <w:sz w:val="20"/>
          <w:szCs w:val="20"/>
        </w:rPr>
        <w:t xml:space="preserve"> measures to address violence and abuse experienced by women and girls with disabilities, particularly those living in institutional, residential and/or service settings. They have urged Australian Governments to ensure access for women with disabilities to an effective, integrated response system, and include a more </w:t>
      </w:r>
      <w:r w:rsidRPr="00EF6882">
        <w:rPr>
          <w:rFonts w:asciiTheme="minorHAnsi" w:hAnsiTheme="minorHAnsi"/>
          <w:sz w:val="20"/>
          <w:szCs w:val="20"/>
          <w:u w:val="single"/>
        </w:rPr>
        <w:t>comprehensive</w:t>
      </w:r>
      <w:r w:rsidRPr="00EF6882">
        <w:rPr>
          <w:rFonts w:asciiTheme="minorHAnsi" w:hAnsiTheme="minorHAnsi"/>
          <w:sz w:val="20"/>
          <w:szCs w:val="20"/>
        </w:rPr>
        <w:t xml:space="preserve"> consideration of women with disabilities in policies on the prevention of gender-based violence. Importantly, the treaty monitoring bodies have recognised the multiple </w:t>
      </w:r>
      <w:r>
        <w:rPr>
          <w:rFonts w:asciiTheme="minorHAnsi" w:hAnsiTheme="minorHAnsi"/>
          <w:sz w:val="20"/>
          <w:szCs w:val="20"/>
        </w:rPr>
        <w:t xml:space="preserve">and intersecting forms of discrimination </w:t>
      </w:r>
      <w:r w:rsidRPr="00EF6882">
        <w:rPr>
          <w:rFonts w:asciiTheme="minorHAnsi" w:hAnsiTheme="minorHAnsi"/>
          <w:sz w:val="20"/>
          <w:szCs w:val="20"/>
        </w:rPr>
        <w:t>experienced by women and girls with disabilities</w:t>
      </w:r>
      <w:r>
        <w:rPr>
          <w:rFonts w:asciiTheme="minorHAnsi" w:hAnsiTheme="minorHAnsi"/>
          <w:sz w:val="20"/>
          <w:szCs w:val="20"/>
        </w:rPr>
        <w:t xml:space="preserve">, along with the multiple and severe forms of violence perpetrated against them, and have </w:t>
      </w:r>
      <w:r w:rsidRPr="00EF6882">
        <w:rPr>
          <w:rFonts w:asciiTheme="minorHAnsi" w:hAnsiTheme="minorHAnsi"/>
          <w:sz w:val="20"/>
          <w:szCs w:val="20"/>
        </w:rPr>
        <w:t xml:space="preserve">called on Australian Governments to take immediate steps to </w:t>
      </w:r>
      <w:r w:rsidR="00285A83">
        <w:rPr>
          <w:rFonts w:asciiTheme="minorHAnsi" w:hAnsiTheme="minorHAnsi"/>
          <w:sz w:val="20"/>
          <w:szCs w:val="20"/>
        </w:rPr>
        <w:t xml:space="preserve">end </w:t>
      </w:r>
      <w:r>
        <w:rPr>
          <w:rFonts w:asciiTheme="minorHAnsi" w:hAnsiTheme="minorHAnsi"/>
          <w:sz w:val="20"/>
          <w:szCs w:val="20"/>
        </w:rPr>
        <w:t xml:space="preserve">such </w:t>
      </w:r>
      <w:r w:rsidRPr="00EF6882">
        <w:rPr>
          <w:rFonts w:asciiTheme="minorHAnsi" w:hAnsiTheme="minorHAnsi"/>
          <w:sz w:val="20"/>
          <w:szCs w:val="20"/>
        </w:rPr>
        <w:t>violence</w:t>
      </w:r>
      <w:r>
        <w:rPr>
          <w:rFonts w:asciiTheme="minorHAnsi" w:hAnsiTheme="minorHAnsi"/>
          <w:sz w:val="20"/>
          <w:szCs w:val="20"/>
        </w:rPr>
        <w:t xml:space="preserve"> and discrimination</w:t>
      </w:r>
      <w:r w:rsidR="00AB1B5D">
        <w:rPr>
          <w:rFonts w:asciiTheme="minorHAnsi" w:hAnsiTheme="minorHAnsi"/>
          <w:sz w:val="20"/>
          <w:szCs w:val="20"/>
        </w:rPr>
        <w:t xml:space="preserve"> (Frohmader 2014, </w:t>
      </w:r>
      <w:r w:rsidR="00AB1B5D">
        <w:rPr>
          <w:rFonts w:asciiTheme="minorHAnsi" w:hAnsiTheme="minorHAnsi" w:cs="Calibri"/>
          <w:sz w:val="20"/>
          <w:szCs w:val="20"/>
        </w:rPr>
        <w:t xml:space="preserve">Frohmader &amp; </w:t>
      </w:r>
      <w:proofErr w:type="spellStart"/>
      <w:r w:rsidR="00AB1B5D" w:rsidRPr="002D0E34">
        <w:rPr>
          <w:rFonts w:asciiTheme="minorHAnsi" w:hAnsiTheme="minorHAnsi" w:cs="Calibri"/>
          <w:sz w:val="20"/>
          <w:szCs w:val="20"/>
        </w:rPr>
        <w:t>Cadwallader</w:t>
      </w:r>
      <w:proofErr w:type="spellEnd"/>
      <w:r w:rsidR="00AB1B5D" w:rsidRPr="002D0E34">
        <w:rPr>
          <w:rFonts w:asciiTheme="minorHAnsi" w:hAnsiTheme="minorHAnsi" w:cs="Calibri"/>
          <w:sz w:val="20"/>
          <w:szCs w:val="20"/>
        </w:rPr>
        <w:t xml:space="preserve"> 2014</w:t>
      </w:r>
      <w:r w:rsidR="00AB1B5D">
        <w:rPr>
          <w:rFonts w:asciiTheme="minorHAnsi" w:hAnsiTheme="minorHAnsi" w:cs="Calibri"/>
          <w:sz w:val="20"/>
          <w:szCs w:val="20"/>
        </w:rPr>
        <w:t>)</w:t>
      </w:r>
      <w:r w:rsidRPr="00EF6882">
        <w:rPr>
          <w:rFonts w:asciiTheme="minorHAnsi" w:hAnsiTheme="minorHAnsi"/>
          <w:sz w:val="20"/>
          <w:szCs w:val="20"/>
        </w:rPr>
        <w:t>.</w:t>
      </w:r>
    </w:p>
    <w:p w14:paraId="31D84B61" w14:textId="77777777" w:rsidR="00C30324" w:rsidRDefault="00C30324" w:rsidP="00C30324">
      <w:pPr>
        <w:spacing w:after="0" w:line="240" w:lineRule="auto"/>
        <w:jc w:val="both"/>
        <w:rPr>
          <w:rFonts w:asciiTheme="minorHAnsi" w:hAnsiTheme="minorHAnsi" w:cs="Calibri"/>
          <w:bCs/>
          <w:sz w:val="20"/>
          <w:szCs w:val="20"/>
          <w:lang w:eastAsia="en-AU"/>
        </w:rPr>
      </w:pPr>
    </w:p>
    <w:p w14:paraId="51D08DD9" w14:textId="123A3D5B" w:rsidR="00C30324" w:rsidRPr="009D6F4B" w:rsidRDefault="00117090" w:rsidP="00C30324">
      <w:pPr>
        <w:spacing w:after="0" w:line="240" w:lineRule="auto"/>
        <w:jc w:val="both"/>
        <w:rPr>
          <w:rFonts w:asciiTheme="minorHAnsi" w:hAnsiTheme="minorHAnsi"/>
          <w:sz w:val="20"/>
          <w:szCs w:val="20"/>
        </w:rPr>
      </w:pPr>
      <w:r>
        <w:rPr>
          <w:rFonts w:asciiTheme="minorHAnsi" w:hAnsiTheme="minorHAnsi"/>
          <w:sz w:val="20"/>
          <w:szCs w:val="20"/>
        </w:rPr>
        <w:t>I</w:t>
      </w:r>
      <w:r w:rsidR="00C30324" w:rsidRPr="00117090">
        <w:rPr>
          <w:rFonts w:asciiTheme="minorHAnsi" w:hAnsiTheme="minorHAnsi"/>
          <w:sz w:val="20"/>
          <w:szCs w:val="20"/>
        </w:rPr>
        <w:t>nternational approaches to gendered violence prevention</w:t>
      </w:r>
      <w:r w:rsidR="00C30324" w:rsidRPr="009D6F4B">
        <w:rPr>
          <w:rFonts w:asciiTheme="minorHAnsi" w:hAnsiTheme="minorHAnsi"/>
          <w:sz w:val="20"/>
          <w:szCs w:val="20"/>
        </w:rPr>
        <w:t xml:space="preserve"> </w:t>
      </w:r>
      <w:r>
        <w:rPr>
          <w:rFonts w:asciiTheme="minorHAnsi" w:hAnsiTheme="minorHAnsi"/>
          <w:sz w:val="20"/>
          <w:szCs w:val="20"/>
        </w:rPr>
        <w:t>adopt</w:t>
      </w:r>
      <w:r w:rsidR="00C30324" w:rsidRPr="009D6F4B">
        <w:rPr>
          <w:rFonts w:asciiTheme="minorHAnsi" w:hAnsiTheme="minorHAnsi"/>
          <w:sz w:val="20"/>
          <w:szCs w:val="20"/>
        </w:rPr>
        <w:t xml:space="preserve"> a comprehensive human rights perspective, </w:t>
      </w:r>
      <w:r>
        <w:rPr>
          <w:rFonts w:asciiTheme="minorHAnsi" w:hAnsiTheme="minorHAnsi"/>
          <w:sz w:val="20"/>
          <w:szCs w:val="20"/>
        </w:rPr>
        <w:t xml:space="preserve">where </w:t>
      </w:r>
      <w:r w:rsidR="00C30324" w:rsidRPr="009D6F4B">
        <w:rPr>
          <w:rFonts w:asciiTheme="minorHAnsi" w:hAnsiTheme="minorHAnsi"/>
          <w:sz w:val="20"/>
          <w:szCs w:val="20"/>
        </w:rPr>
        <w:t xml:space="preserve">intersectional experiences of gendered violence are a central concern in recognition that multiple identity positions (including disability, </w:t>
      </w:r>
      <w:r w:rsidR="00C30324">
        <w:rPr>
          <w:rFonts w:asciiTheme="minorHAnsi" w:hAnsiTheme="minorHAnsi"/>
          <w:sz w:val="20"/>
          <w:szCs w:val="20"/>
        </w:rPr>
        <w:t>race, ethnicity, sexual orientation, refugee status and so on</w:t>
      </w:r>
      <w:r w:rsidR="00C30324" w:rsidRPr="009D6F4B">
        <w:rPr>
          <w:rFonts w:asciiTheme="minorHAnsi" w:hAnsiTheme="minorHAnsi"/>
          <w:sz w:val="20"/>
          <w:szCs w:val="20"/>
        </w:rPr>
        <w:t xml:space="preserve">) increase the likelihood, nature and impact of violence. This is not the case in the Australian context, where legislation, policy and service responses tend to view women with disabilities as an additional group whose needs are exceptional or additional to the central prevention agenda. Compounding this in the Australian context is the [largely mistaken] belief that frameworks of disability policy and provision have given attention to gendered violence. Recent events in Victoria </w:t>
      </w:r>
      <w:r w:rsidR="00C30324">
        <w:rPr>
          <w:rFonts w:asciiTheme="minorHAnsi" w:hAnsiTheme="minorHAnsi"/>
          <w:sz w:val="20"/>
          <w:szCs w:val="20"/>
        </w:rPr>
        <w:t xml:space="preserve">(as depicted in ABC Four Corners episode </w:t>
      </w:r>
      <w:r w:rsidR="00C30324" w:rsidRPr="00E343CB">
        <w:rPr>
          <w:rFonts w:asciiTheme="minorHAnsi" w:hAnsiTheme="minorHAnsi"/>
          <w:i/>
          <w:sz w:val="20"/>
          <w:szCs w:val="20"/>
        </w:rPr>
        <w:t>‘In Our Care’</w:t>
      </w:r>
      <w:r w:rsidR="00C30324">
        <w:rPr>
          <w:rFonts w:asciiTheme="minorHAnsi" w:hAnsiTheme="minorHAnsi"/>
          <w:sz w:val="20"/>
          <w:szCs w:val="20"/>
        </w:rPr>
        <w:t xml:space="preserve"> and which have resulted in an Ombudsman’s inquiry into how </w:t>
      </w:r>
      <w:r w:rsidR="00C30324" w:rsidRPr="00AC14E4">
        <w:rPr>
          <w:rFonts w:asciiTheme="minorHAnsi" w:hAnsiTheme="minorHAnsi"/>
          <w:sz w:val="20"/>
          <w:szCs w:val="20"/>
        </w:rPr>
        <w:t>abuse in the disability sector</w:t>
      </w:r>
      <w:r w:rsidR="00C30324">
        <w:rPr>
          <w:rFonts w:asciiTheme="minorHAnsi" w:hAnsiTheme="minorHAnsi"/>
          <w:sz w:val="20"/>
          <w:szCs w:val="20"/>
        </w:rPr>
        <w:t xml:space="preserve"> is reported and investigated) </w:t>
      </w:r>
      <w:r w:rsidR="00C30324" w:rsidRPr="009D6F4B">
        <w:rPr>
          <w:rFonts w:asciiTheme="minorHAnsi" w:hAnsiTheme="minorHAnsi"/>
          <w:sz w:val="20"/>
          <w:szCs w:val="20"/>
        </w:rPr>
        <w:t>provide a stark reminder that disability policy frameworks are currently inadequate in encompassing either gender or violence issues, let alone the intersection of the two. In practice, this means that efforts and approaches to prevent violence against women in Australia are not comprehensive, are piecemeal and inconsistent in definitions and scope, continue to focus predominately on protection from traditional forms of domestic/family violence and therefore fail to provide a coordinated and integrated approach to combating all forms of violence perpetrated against women and girls</w:t>
      </w:r>
      <w:r w:rsidR="00C30324">
        <w:rPr>
          <w:rFonts w:asciiTheme="minorHAnsi" w:hAnsiTheme="minorHAnsi"/>
          <w:sz w:val="20"/>
          <w:szCs w:val="20"/>
        </w:rPr>
        <w:t xml:space="preserve"> (Frohmader &amp; </w:t>
      </w:r>
      <w:proofErr w:type="spellStart"/>
      <w:r w:rsidR="00C30324" w:rsidRPr="00E343CB">
        <w:rPr>
          <w:rFonts w:asciiTheme="minorHAnsi" w:hAnsiTheme="minorHAnsi"/>
          <w:sz w:val="20"/>
          <w:szCs w:val="20"/>
        </w:rPr>
        <w:t>Cadwallader</w:t>
      </w:r>
      <w:proofErr w:type="spellEnd"/>
      <w:r w:rsidR="00C30324">
        <w:rPr>
          <w:rFonts w:asciiTheme="minorHAnsi" w:hAnsiTheme="minorHAnsi"/>
          <w:sz w:val="20"/>
          <w:szCs w:val="20"/>
        </w:rPr>
        <w:t xml:space="preserve"> 2014)</w:t>
      </w:r>
      <w:r w:rsidR="00C30324" w:rsidRPr="009D6F4B">
        <w:rPr>
          <w:rFonts w:asciiTheme="minorHAnsi" w:hAnsiTheme="minorHAnsi"/>
          <w:sz w:val="20"/>
          <w:szCs w:val="20"/>
        </w:rPr>
        <w:t>. Without a grounding in a comprehensive human rights frame, current approaches to violence prevention run the risk of reinscribing the marginalisation of gendered disability violence, resulting in the inadvertent perpetuation of the systemic violence and abuse experienced by women with disabilities in a wide range of settings.</w:t>
      </w:r>
    </w:p>
    <w:p w14:paraId="505B9EC3" w14:textId="77777777" w:rsidR="00676CAD" w:rsidRDefault="00676CAD" w:rsidP="007C3F60">
      <w:pPr>
        <w:spacing w:after="0" w:line="240" w:lineRule="auto"/>
        <w:rPr>
          <w:rFonts w:asciiTheme="minorHAnsi" w:hAnsiTheme="minorHAnsi"/>
        </w:rPr>
      </w:pPr>
    </w:p>
    <w:p w14:paraId="65E67E4C" w14:textId="3D54C94B" w:rsidR="00676CAD" w:rsidRDefault="00676CAD">
      <w:pPr>
        <w:spacing w:after="0" w:line="240" w:lineRule="auto"/>
        <w:rPr>
          <w:rFonts w:asciiTheme="minorHAnsi" w:hAnsiTheme="minorHAnsi"/>
        </w:rPr>
      </w:pPr>
      <w:r>
        <w:rPr>
          <w:rFonts w:asciiTheme="minorHAnsi" w:hAnsiTheme="minorHAnsi"/>
        </w:rPr>
        <w:br w:type="page"/>
      </w:r>
    </w:p>
    <w:p w14:paraId="5543619A" w14:textId="17CC90B6" w:rsidR="00676CAD" w:rsidRPr="007C3F60" w:rsidRDefault="00231851" w:rsidP="003357BA">
      <w:pPr>
        <w:pStyle w:val="Heading1"/>
      </w:pPr>
      <w:bookmarkStart w:id="11" w:name="_Toc410646572"/>
      <w:r>
        <w:lastRenderedPageBreak/>
        <w:t>5</w:t>
      </w:r>
      <w:r w:rsidR="00D17ED1">
        <w:t>.</w:t>
      </w:r>
      <w:r w:rsidR="00D17ED1">
        <w:tab/>
      </w:r>
      <w:r w:rsidR="00676CAD">
        <w:t>Implications for the development of the Framework</w:t>
      </w:r>
      <w:bookmarkEnd w:id="11"/>
    </w:p>
    <w:p w14:paraId="15043A73" w14:textId="77777777" w:rsidR="00676CAD" w:rsidRPr="007C3F60" w:rsidRDefault="00676CAD" w:rsidP="00676CAD">
      <w:pPr>
        <w:pBdr>
          <w:bottom w:val="single" w:sz="12" w:space="1" w:color="auto"/>
        </w:pBdr>
        <w:spacing w:after="0" w:line="240" w:lineRule="auto"/>
        <w:rPr>
          <w:rFonts w:asciiTheme="minorHAnsi" w:hAnsiTheme="minorHAnsi"/>
          <w:sz w:val="16"/>
          <w:szCs w:val="16"/>
        </w:rPr>
      </w:pPr>
    </w:p>
    <w:p w14:paraId="5E430EAA" w14:textId="77777777" w:rsidR="00676CAD" w:rsidRPr="000544A7" w:rsidRDefault="00676CAD" w:rsidP="00676CAD">
      <w:pPr>
        <w:spacing w:after="0" w:line="240" w:lineRule="auto"/>
        <w:jc w:val="both"/>
        <w:rPr>
          <w:rFonts w:asciiTheme="minorHAnsi" w:hAnsiTheme="minorHAnsi"/>
          <w:sz w:val="20"/>
          <w:szCs w:val="20"/>
        </w:rPr>
      </w:pPr>
    </w:p>
    <w:p w14:paraId="34EE76C0" w14:textId="36A88B7C" w:rsidR="00C248B6" w:rsidRDefault="00031137" w:rsidP="00932506">
      <w:pPr>
        <w:pStyle w:val="NoSpacing"/>
        <w:jc w:val="both"/>
        <w:rPr>
          <w:rFonts w:asciiTheme="minorHAnsi" w:hAnsiTheme="minorHAnsi"/>
          <w:sz w:val="20"/>
          <w:szCs w:val="20"/>
        </w:rPr>
      </w:pPr>
      <w:r w:rsidRPr="00EF6882">
        <w:rPr>
          <w:rFonts w:asciiTheme="minorHAnsi" w:hAnsiTheme="minorHAnsi"/>
          <w:sz w:val="20"/>
          <w:szCs w:val="20"/>
        </w:rPr>
        <w:t>International human rights law condemns violence against women in all its forms, whether it occurs in the home, schools, in institutions, the workplace, the community or in other public and private institutions, and regardless of who perpetrates it</w:t>
      </w:r>
      <w:r w:rsidR="00285A83">
        <w:rPr>
          <w:rFonts w:asciiTheme="minorHAnsi" w:hAnsiTheme="minorHAnsi"/>
          <w:sz w:val="20"/>
          <w:szCs w:val="20"/>
        </w:rPr>
        <w:t xml:space="preserve"> (</w:t>
      </w:r>
      <w:r w:rsidR="00285A83" w:rsidRPr="00285A83">
        <w:rPr>
          <w:rFonts w:asciiTheme="minorHAnsi" w:hAnsiTheme="minorHAnsi"/>
          <w:sz w:val="20"/>
          <w:szCs w:val="20"/>
        </w:rPr>
        <w:t>United Nations General Assembly</w:t>
      </w:r>
      <w:r w:rsidR="00285A83">
        <w:rPr>
          <w:rFonts w:asciiTheme="minorHAnsi" w:hAnsiTheme="minorHAnsi"/>
          <w:sz w:val="20"/>
          <w:szCs w:val="20"/>
        </w:rPr>
        <w:t xml:space="preserve"> 2006)</w:t>
      </w:r>
      <w:r w:rsidRPr="00EF6882">
        <w:rPr>
          <w:rFonts w:asciiTheme="minorHAnsi" w:hAnsiTheme="minorHAnsi"/>
          <w:sz w:val="20"/>
          <w:szCs w:val="20"/>
        </w:rPr>
        <w:t>.</w:t>
      </w:r>
      <w:r w:rsidR="00932506" w:rsidRPr="00EF6882">
        <w:rPr>
          <w:rFonts w:asciiTheme="minorHAnsi" w:hAnsiTheme="minorHAnsi"/>
          <w:sz w:val="20"/>
          <w:szCs w:val="20"/>
          <w:vertAlign w:val="superscript"/>
        </w:rPr>
        <w:t xml:space="preserve"> </w:t>
      </w:r>
      <w:r w:rsidR="00C248B6" w:rsidRPr="00EF6882">
        <w:rPr>
          <w:rFonts w:asciiTheme="minorHAnsi" w:hAnsiTheme="minorHAnsi"/>
          <w:sz w:val="20"/>
          <w:szCs w:val="20"/>
        </w:rPr>
        <w:t>Australia is a party to a number of international and regional human rights instruments which clearly articulate the human rights context and imperative to preventing and addressing violence against women</w:t>
      </w:r>
      <w:r w:rsidR="00932506" w:rsidRPr="00EF6882">
        <w:rPr>
          <w:rFonts w:asciiTheme="minorHAnsi" w:hAnsiTheme="minorHAnsi"/>
          <w:sz w:val="20"/>
          <w:szCs w:val="20"/>
        </w:rPr>
        <w:t xml:space="preserve">, including </w:t>
      </w:r>
      <w:r w:rsidR="00C248B6" w:rsidRPr="00EF6882">
        <w:rPr>
          <w:rFonts w:asciiTheme="minorHAnsi" w:hAnsiTheme="minorHAnsi"/>
          <w:sz w:val="20"/>
          <w:szCs w:val="20"/>
        </w:rPr>
        <w:t>the structural causes of such violence</w:t>
      </w:r>
      <w:r w:rsidR="00123DD6">
        <w:rPr>
          <w:rFonts w:asciiTheme="minorHAnsi" w:hAnsiTheme="minorHAnsi"/>
          <w:sz w:val="20"/>
          <w:szCs w:val="20"/>
        </w:rPr>
        <w:t>, and the multiple and intersecting forms of discrimination which make particular groups of women more at risk of, and more likely to experience violence</w:t>
      </w:r>
      <w:r w:rsidR="00C248B6" w:rsidRPr="00EF6882">
        <w:rPr>
          <w:rFonts w:asciiTheme="minorHAnsi" w:hAnsiTheme="minorHAnsi"/>
          <w:sz w:val="20"/>
          <w:szCs w:val="20"/>
        </w:rPr>
        <w:t xml:space="preserve">. </w:t>
      </w:r>
    </w:p>
    <w:p w14:paraId="54A03DF0" w14:textId="78AB0DC3" w:rsidR="00D17ED1" w:rsidRPr="005C2DAA" w:rsidRDefault="00D17ED1" w:rsidP="003357BA">
      <w:pPr>
        <w:pStyle w:val="Heading2"/>
        <w:rPr>
          <w:b w:val="0"/>
        </w:rPr>
      </w:pPr>
      <w:bookmarkStart w:id="12" w:name="_Toc410646573"/>
      <w:r w:rsidRPr="005C2DAA">
        <w:t>5.1.</w:t>
      </w:r>
      <w:r w:rsidRPr="005C2DAA">
        <w:tab/>
        <w:t>A Comprehensive Human Rights Framework and Approach</w:t>
      </w:r>
      <w:bookmarkEnd w:id="12"/>
    </w:p>
    <w:p w14:paraId="79BD7557" w14:textId="41874E3C" w:rsidR="00932506" w:rsidRPr="00EF6882" w:rsidRDefault="00E82180" w:rsidP="00932506">
      <w:pPr>
        <w:spacing w:after="0" w:line="240" w:lineRule="auto"/>
        <w:jc w:val="both"/>
        <w:rPr>
          <w:rFonts w:asciiTheme="minorHAnsi" w:hAnsiTheme="minorHAnsi"/>
          <w:sz w:val="20"/>
          <w:szCs w:val="20"/>
        </w:rPr>
      </w:pPr>
      <w:r>
        <w:rPr>
          <w:rFonts w:asciiTheme="minorHAnsi" w:hAnsiTheme="minorHAnsi"/>
          <w:sz w:val="20"/>
          <w:szCs w:val="20"/>
        </w:rPr>
        <w:t xml:space="preserve">To ensure the </w:t>
      </w:r>
      <w:r w:rsidRPr="003A3A5D">
        <w:rPr>
          <w:rFonts w:asciiTheme="minorHAnsi" w:hAnsiTheme="minorHAnsi"/>
          <w:i/>
          <w:sz w:val="20"/>
          <w:szCs w:val="20"/>
        </w:rPr>
        <w:t>National Framework to Prevent Violence Against Women</w:t>
      </w:r>
      <w:r>
        <w:rPr>
          <w:rFonts w:asciiTheme="minorHAnsi" w:hAnsiTheme="minorHAnsi"/>
          <w:sz w:val="20"/>
          <w:szCs w:val="20"/>
        </w:rPr>
        <w:t xml:space="preserve"> is set in a comprehensive human rights framework that will prevent violence against women and girls with disabilities, the Framework should</w:t>
      </w:r>
      <w:r w:rsidR="00D17ED1">
        <w:rPr>
          <w:rFonts w:asciiTheme="minorHAnsi" w:hAnsiTheme="minorHAnsi"/>
          <w:sz w:val="20"/>
          <w:szCs w:val="20"/>
        </w:rPr>
        <w:t xml:space="preserve"> be developed to</w:t>
      </w:r>
      <w:r w:rsidR="00932506" w:rsidRPr="00EF6882">
        <w:rPr>
          <w:rFonts w:asciiTheme="minorHAnsi" w:hAnsiTheme="minorHAnsi"/>
          <w:sz w:val="20"/>
          <w:szCs w:val="20"/>
        </w:rPr>
        <w:t>:</w:t>
      </w:r>
    </w:p>
    <w:p w14:paraId="744B966B" w14:textId="77777777" w:rsidR="00932506" w:rsidRPr="00D17ED1" w:rsidRDefault="00932506" w:rsidP="00D17ED1">
      <w:pPr>
        <w:spacing w:after="0" w:line="240" w:lineRule="auto"/>
        <w:jc w:val="both"/>
        <w:rPr>
          <w:rFonts w:asciiTheme="minorHAnsi" w:hAnsiTheme="minorHAnsi"/>
          <w:sz w:val="20"/>
          <w:szCs w:val="20"/>
        </w:rPr>
      </w:pPr>
    </w:p>
    <w:p w14:paraId="118FDC82" w14:textId="6F085818" w:rsidR="00960069" w:rsidRPr="00364F21" w:rsidRDefault="00D17ED1" w:rsidP="00D17ED1">
      <w:pPr>
        <w:spacing w:after="0" w:line="240" w:lineRule="auto"/>
        <w:ind w:left="720" w:hanging="720"/>
        <w:jc w:val="both"/>
        <w:rPr>
          <w:rFonts w:asciiTheme="minorHAnsi" w:hAnsiTheme="minorHAnsi"/>
          <w:color w:val="FF0000"/>
          <w:sz w:val="20"/>
          <w:szCs w:val="20"/>
        </w:rPr>
      </w:pPr>
      <w:r>
        <w:rPr>
          <w:rFonts w:asciiTheme="minorHAnsi" w:hAnsiTheme="minorHAnsi"/>
          <w:sz w:val="20"/>
          <w:szCs w:val="20"/>
        </w:rPr>
        <w:t>a)</w:t>
      </w:r>
      <w:r>
        <w:rPr>
          <w:rFonts w:asciiTheme="minorHAnsi" w:hAnsiTheme="minorHAnsi"/>
          <w:sz w:val="20"/>
          <w:szCs w:val="20"/>
        </w:rPr>
        <w:tab/>
      </w:r>
      <w:proofErr w:type="gramStart"/>
      <w:r w:rsidR="00E82180" w:rsidRPr="00D17ED1">
        <w:rPr>
          <w:rFonts w:asciiTheme="minorHAnsi" w:hAnsiTheme="minorHAnsi"/>
          <w:sz w:val="20"/>
          <w:szCs w:val="20"/>
        </w:rPr>
        <w:t>be</w:t>
      </w:r>
      <w:proofErr w:type="gramEnd"/>
      <w:r w:rsidR="00E82180" w:rsidRPr="00D17ED1">
        <w:rPr>
          <w:rFonts w:asciiTheme="minorHAnsi" w:hAnsiTheme="minorHAnsi"/>
          <w:sz w:val="20"/>
          <w:szCs w:val="20"/>
        </w:rPr>
        <w:t xml:space="preserve"> clearly </w:t>
      </w:r>
      <w:r w:rsidR="00960069" w:rsidRPr="00D17ED1">
        <w:rPr>
          <w:rFonts w:asciiTheme="minorHAnsi" w:hAnsiTheme="minorHAnsi"/>
          <w:sz w:val="20"/>
          <w:szCs w:val="20"/>
        </w:rPr>
        <w:t>link</w:t>
      </w:r>
      <w:r w:rsidR="00E82180" w:rsidRPr="00D17ED1">
        <w:rPr>
          <w:rFonts w:asciiTheme="minorHAnsi" w:hAnsiTheme="minorHAnsi"/>
          <w:sz w:val="20"/>
          <w:szCs w:val="20"/>
        </w:rPr>
        <w:t>ed</w:t>
      </w:r>
      <w:r w:rsidR="00960069" w:rsidRPr="00D17ED1">
        <w:rPr>
          <w:rFonts w:asciiTheme="minorHAnsi" w:hAnsiTheme="minorHAnsi"/>
          <w:sz w:val="20"/>
          <w:szCs w:val="20"/>
        </w:rPr>
        <w:t xml:space="preserve"> to </w:t>
      </w:r>
      <w:r w:rsidR="00652EAE" w:rsidRPr="00D17ED1">
        <w:rPr>
          <w:rFonts w:asciiTheme="minorHAnsi" w:hAnsiTheme="minorHAnsi"/>
          <w:sz w:val="20"/>
          <w:szCs w:val="20"/>
        </w:rPr>
        <w:t>relevant international human rights standards, including the international human rights treaties to which Australia is a party</w:t>
      </w:r>
      <w:r w:rsidR="00357FB0">
        <w:rPr>
          <w:rFonts w:asciiTheme="minorHAnsi" w:hAnsiTheme="minorHAnsi"/>
          <w:sz w:val="20"/>
          <w:szCs w:val="20"/>
        </w:rPr>
        <w:t xml:space="preserve"> (</w:t>
      </w:r>
      <w:proofErr w:type="spellStart"/>
      <w:r w:rsidR="00357FB0">
        <w:rPr>
          <w:rFonts w:asciiTheme="minorHAnsi" w:hAnsiTheme="minorHAnsi"/>
          <w:sz w:val="20"/>
          <w:szCs w:val="20"/>
        </w:rPr>
        <w:t>Manjoo</w:t>
      </w:r>
      <w:proofErr w:type="spellEnd"/>
      <w:r w:rsidR="00357FB0">
        <w:rPr>
          <w:rFonts w:asciiTheme="minorHAnsi" w:hAnsiTheme="minorHAnsi"/>
          <w:sz w:val="20"/>
          <w:szCs w:val="20"/>
        </w:rPr>
        <w:t xml:space="preserve"> 2011)</w:t>
      </w:r>
      <w:r>
        <w:rPr>
          <w:rFonts w:asciiTheme="minorHAnsi" w:hAnsiTheme="minorHAnsi"/>
          <w:sz w:val="20"/>
          <w:szCs w:val="20"/>
        </w:rPr>
        <w:t>.</w:t>
      </w:r>
      <w:r w:rsidR="00652EAE" w:rsidRPr="00D17ED1">
        <w:rPr>
          <w:rFonts w:asciiTheme="minorHAnsi" w:hAnsiTheme="minorHAnsi"/>
          <w:sz w:val="20"/>
          <w:szCs w:val="20"/>
        </w:rPr>
        <w:t xml:space="preserve"> </w:t>
      </w:r>
    </w:p>
    <w:p w14:paraId="570B14A2" w14:textId="77777777" w:rsidR="00960069" w:rsidRPr="00D17ED1" w:rsidRDefault="00960069" w:rsidP="00D17ED1">
      <w:pPr>
        <w:spacing w:after="0" w:line="240" w:lineRule="auto"/>
        <w:jc w:val="both"/>
        <w:rPr>
          <w:rFonts w:asciiTheme="minorHAnsi" w:hAnsiTheme="minorHAnsi"/>
          <w:sz w:val="20"/>
          <w:szCs w:val="20"/>
        </w:rPr>
      </w:pPr>
    </w:p>
    <w:p w14:paraId="3C57502F" w14:textId="2E288349" w:rsidR="00652EAE" w:rsidRPr="00D17ED1" w:rsidRDefault="00D17ED1" w:rsidP="00D17ED1">
      <w:pPr>
        <w:spacing w:after="0" w:line="240" w:lineRule="auto"/>
        <w:ind w:left="720" w:hanging="720"/>
        <w:jc w:val="both"/>
        <w:rPr>
          <w:rFonts w:asciiTheme="minorHAnsi" w:hAnsiTheme="minorHAnsi"/>
          <w:sz w:val="20"/>
          <w:szCs w:val="20"/>
        </w:rPr>
      </w:pPr>
      <w:r>
        <w:rPr>
          <w:rFonts w:asciiTheme="minorHAnsi" w:hAnsiTheme="minorHAnsi"/>
          <w:sz w:val="20"/>
          <w:szCs w:val="20"/>
        </w:rPr>
        <w:t>b)</w:t>
      </w:r>
      <w:r>
        <w:rPr>
          <w:rFonts w:asciiTheme="minorHAnsi" w:hAnsiTheme="minorHAnsi"/>
          <w:sz w:val="20"/>
          <w:szCs w:val="20"/>
        </w:rPr>
        <w:tab/>
      </w:r>
      <w:proofErr w:type="gramStart"/>
      <w:r w:rsidR="008639ED" w:rsidRPr="00D17ED1">
        <w:rPr>
          <w:rFonts w:asciiTheme="minorHAnsi" w:hAnsiTheme="minorHAnsi"/>
          <w:sz w:val="20"/>
          <w:szCs w:val="20"/>
        </w:rPr>
        <w:t>underscore</w:t>
      </w:r>
      <w:proofErr w:type="gramEnd"/>
      <w:r w:rsidR="008639ED" w:rsidRPr="00D17ED1">
        <w:rPr>
          <w:rFonts w:asciiTheme="minorHAnsi" w:hAnsiTheme="minorHAnsi"/>
          <w:sz w:val="20"/>
          <w:szCs w:val="20"/>
        </w:rPr>
        <w:t xml:space="preserve"> the universality, interdependence and indivisibility of civil, political, economic, social and cultural rights</w:t>
      </w:r>
      <w:r w:rsidR="00357FB0">
        <w:rPr>
          <w:rFonts w:asciiTheme="minorHAnsi" w:hAnsiTheme="minorHAnsi"/>
          <w:sz w:val="20"/>
          <w:szCs w:val="20"/>
        </w:rPr>
        <w:t xml:space="preserve"> (</w:t>
      </w:r>
      <w:proofErr w:type="spellStart"/>
      <w:r w:rsidR="00357FB0">
        <w:rPr>
          <w:rFonts w:asciiTheme="minorHAnsi" w:hAnsiTheme="minorHAnsi"/>
          <w:sz w:val="20"/>
          <w:szCs w:val="20"/>
        </w:rPr>
        <w:t>Manjoo</w:t>
      </w:r>
      <w:proofErr w:type="spellEnd"/>
      <w:r w:rsidR="00357FB0">
        <w:rPr>
          <w:rFonts w:asciiTheme="minorHAnsi" w:hAnsiTheme="minorHAnsi"/>
          <w:sz w:val="20"/>
          <w:szCs w:val="20"/>
        </w:rPr>
        <w:t xml:space="preserve"> 2011)</w:t>
      </w:r>
      <w:r>
        <w:rPr>
          <w:rFonts w:asciiTheme="minorHAnsi" w:hAnsiTheme="minorHAnsi"/>
          <w:sz w:val="20"/>
          <w:szCs w:val="20"/>
        </w:rPr>
        <w:t>.</w:t>
      </w:r>
      <w:r w:rsidR="00652EAE" w:rsidRPr="00D17ED1">
        <w:rPr>
          <w:rFonts w:asciiTheme="minorHAnsi" w:hAnsiTheme="minorHAnsi"/>
          <w:sz w:val="20"/>
          <w:szCs w:val="20"/>
        </w:rPr>
        <w:t xml:space="preserve"> </w:t>
      </w:r>
    </w:p>
    <w:p w14:paraId="465379D3" w14:textId="77777777" w:rsidR="008639ED" w:rsidRPr="00D17ED1" w:rsidRDefault="008639ED" w:rsidP="00D17ED1">
      <w:pPr>
        <w:spacing w:after="0" w:line="240" w:lineRule="auto"/>
        <w:jc w:val="both"/>
        <w:rPr>
          <w:rFonts w:asciiTheme="minorHAnsi" w:hAnsiTheme="minorHAnsi"/>
          <w:sz w:val="20"/>
          <w:szCs w:val="20"/>
        </w:rPr>
      </w:pPr>
    </w:p>
    <w:p w14:paraId="7CABEE77" w14:textId="3F40A5A4" w:rsidR="00652EAE" w:rsidRPr="00D17ED1" w:rsidRDefault="00D17ED1" w:rsidP="00D17ED1">
      <w:pPr>
        <w:spacing w:after="0" w:line="240" w:lineRule="auto"/>
        <w:ind w:left="720" w:hanging="720"/>
        <w:jc w:val="both"/>
        <w:rPr>
          <w:rFonts w:asciiTheme="minorHAnsi" w:hAnsiTheme="minorHAnsi"/>
          <w:sz w:val="20"/>
          <w:szCs w:val="20"/>
        </w:rPr>
      </w:pPr>
      <w:r>
        <w:rPr>
          <w:rFonts w:asciiTheme="minorHAnsi" w:hAnsiTheme="minorHAnsi"/>
          <w:sz w:val="20"/>
          <w:szCs w:val="20"/>
        </w:rPr>
        <w:t>c)</w:t>
      </w:r>
      <w:r>
        <w:rPr>
          <w:rFonts w:asciiTheme="minorHAnsi" w:hAnsiTheme="minorHAnsi"/>
          <w:sz w:val="20"/>
          <w:szCs w:val="20"/>
        </w:rPr>
        <w:tab/>
      </w:r>
      <w:proofErr w:type="gramStart"/>
      <w:r w:rsidR="008639ED" w:rsidRPr="00D17ED1">
        <w:rPr>
          <w:rFonts w:asciiTheme="minorHAnsi" w:hAnsiTheme="minorHAnsi"/>
          <w:sz w:val="20"/>
          <w:szCs w:val="20"/>
        </w:rPr>
        <w:t>embed</w:t>
      </w:r>
      <w:proofErr w:type="gramEnd"/>
      <w:r w:rsidR="008639ED" w:rsidRPr="00D17ED1">
        <w:rPr>
          <w:rFonts w:asciiTheme="minorHAnsi" w:hAnsiTheme="minorHAnsi"/>
          <w:sz w:val="20"/>
          <w:szCs w:val="20"/>
        </w:rPr>
        <w:t xml:space="preserve"> the core human rights principles of participation; accountability; transparency; non-discrimination</w:t>
      </w:r>
      <w:r w:rsidR="009F4B65" w:rsidRPr="00D17ED1">
        <w:rPr>
          <w:rFonts w:asciiTheme="minorHAnsi" w:hAnsiTheme="minorHAnsi"/>
          <w:sz w:val="20"/>
          <w:szCs w:val="20"/>
        </w:rPr>
        <w:t>; equality,</w:t>
      </w:r>
      <w:r w:rsidR="00407B8C" w:rsidRPr="00D17ED1">
        <w:rPr>
          <w:rFonts w:asciiTheme="minorHAnsi" w:hAnsiTheme="minorHAnsi"/>
          <w:sz w:val="20"/>
          <w:szCs w:val="20"/>
        </w:rPr>
        <w:t xml:space="preserve"> and empowerment of women and girls</w:t>
      </w:r>
      <w:r w:rsidR="00357FB0">
        <w:rPr>
          <w:rFonts w:asciiTheme="minorHAnsi" w:hAnsiTheme="minorHAnsi"/>
          <w:sz w:val="20"/>
          <w:szCs w:val="20"/>
        </w:rPr>
        <w:t xml:space="preserve"> (</w:t>
      </w:r>
      <w:r w:rsidR="00357FB0" w:rsidRPr="00285A83">
        <w:rPr>
          <w:rFonts w:asciiTheme="minorHAnsi" w:hAnsiTheme="minorHAnsi"/>
          <w:sz w:val="20"/>
          <w:szCs w:val="20"/>
        </w:rPr>
        <w:t>UN Women</w:t>
      </w:r>
      <w:r w:rsidR="00357FB0">
        <w:rPr>
          <w:rFonts w:asciiTheme="minorHAnsi" w:hAnsiTheme="minorHAnsi"/>
          <w:sz w:val="20"/>
          <w:szCs w:val="20"/>
        </w:rPr>
        <w:t xml:space="preserve"> et al 2012)</w:t>
      </w:r>
      <w:r>
        <w:rPr>
          <w:rFonts w:asciiTheme="minorHAnsi" w:hAnsiTheme="minorHAnsi"/>
          <w:sz w:val="20"/>
          <w:szCs w:val="20"/>
        </w:rPr>
        <w:t>.</w:t>
      </w:r>
    </w:p>
    <w:p w14:paraId="7D95B483" w14:textId="77777777" w:rsidR="00496F95" w:rsidRPr="00D17ED1" w:rsidRDefault="00496F95" w:rsidP="00D17ED1">
      <w:pPr>
        <w:spacing w:after="0" w:line="240" w:lineRule="auto"/>
        <w:jc w:val="both"/>
        <w:rPr>
          <w:rFonts w:asciiTheme="minorHAnsi" w:hAnsiTheme="minorHAnsi"/>
          <w:sz w:val="20"/>
          <w:szCs w:val="20"/>
        </w:rPr>
      </w:pPr>
    </w:p>
    <w:p w14:paraId="5CEB0329" w14:textId="07BFFB27" w:rsidR="00932506" w:rsidRPr="00D17ED1" w:rsidRDefault="00D17ED1" w:rsidP="00D17ED1">
      <w:pPr>
        <w:pStyle w:val="NoSpacing"/>
        <w:ind w:left="720" w:hanging="720"/>
        <w:jc w:val="both"/>
        <w:rPr>
          <w:rFonts w:asciiTheme="minorHAnsi" w:hAnsiTheme="minorHAnsi"/>
          <w:sz w:val="20"/>
          <w:szCs w:val="20"/>
        </w:rPr>
      </w:pPr>
      <w:r>
        <w:rPr>
          <w:rFonts w:asciiTheme="minorHAnsi" w:hAnsiTheme="minorHAnsi"/>
          <w:sz w:val="20"/>
          <w:szCs w:val="20"/>
        </w:rPr>
        <w:t>d)</w:t>
      </w:r>
      <w:r>
        <w:rPr>
          <w:rFonts w:asciiTheme="minorHAnsi" w:hAnsiTheme="minorHAnsi"/>
          <w:sz w:val="20"/>
          <w:szCs w:val="20"/>
        </w:rPr>
        <w:tab/>
      </w:r>
      <w:proofErr w:type="gramStart"/>
      <w:r w:rsidR="00652EAE" w:rsidRPr="00D17ED1">
        <w:rPr>
          <w:rFonts w:asciiTheme="minorHAnsi" w:hAnsiTheme="minorHAnsi"/>
          <w:sz w:val="20"/>
          <w:szCs w:val="20"/>
        </w:rPr>
        <w:t>be</w:t>
      </w:r>
      <w:proofErr w:type="gramEnd"/>
      <w:r w:rsidR="00652EAE" w:rsidRPr="00D17ED1">
        <w:rPr>
          <w:rFonts w:asciiTheme="minorHAnsi" w:hAnsiTheme="minorHAnsi"/>
          <w:sz w:val="20"/>
          <w:szCs w:val="20"/>
        </w:rPr>
        <w:t xml:space="preserve"> universally</w:t>
      </w:r>
      <w:r w:rsidR="00932506" w:rsidRPr="00D17ED1">
        <w:rPr>
          <w:rFonts w:asciiTheme="minorHAnsi" w:hAnsiTheme="minorHAnsi"/>
          <w:sz w:val="20"/>
          <w:szCs w:val="20"/>
        </w:rPr>
        <w:t xml:space="preserve"> responsive to the intersections of gender and disability, and also integrate speci</w:t>
      </w:r>
      <w:r w:rsidR="00123DD6" w:rsidRPr="00D17ED1">
        <w:rPr>
          <w:rFonts w:asciiTheme="minorHAnsi" w:hAnsiTheme="minorHAnsi"/>
          <w:sz w:val="20"/>
          <w:szCs w:val="20"/>
        </w:rPr>
        <w:t>fic, targeted</w:t>
      </w:r>
      <w:r w:rsidR="00932506" w:rsidRPr="00D17ED1">
        <w:rPr>
          <w:rFonts w:asciiTheme="minorHAnsi" w:hAnsiTheme="minorHAnsi"/>
          <w:sz w:val="20"/>
          <w:szCs w:val="20"/>
        </w:rPr>
        <w:t xml:space="preserve"> measures to reach women and girls with disabilities</w:t>
      </w:r>
      <w:r w:rsidR="00496F95" w:rsidRPr="00D17ED1">
        <w:rPr>
          <w:rFonts w:asciiTheme="minorHAnsi" w:hAnsiTheme="minorHAnsi"/>
          <w:sz w:val="20"/>
          <w:szCs w:val="20"/>
        </w:rPr>
        <w:t xml:space="preserve"> in </w:t>
      </w:r>
      <w:r w:rsidR="00496F95" w:rsidRPr="00D17ED1">
        <w:rPr>
          <w:rFonts w:asciiTheme="minorHAnsi" w:hAnsiTheme="minorHAnsi"/>
          <w:sz w:val="20"/>
          <w:szCs w:val="20"/>
          <w:u w:val="single"/>
        </w:rPr>
        <w:t>all</w:t>
      </w:r>
      <w:r w:rsidR="00496F95" w:rsidRPr="00D17ED1">
        <w:rPr>
          <w:rFonts w:asciiTheme="minorHAnsi" w:hAnsiTheme="minorHAnsi"/>
          <w:sz w:val="20"/>
          <w:szCs w:val="20"/>
        </w:rPr>
        <w:t xml:space="preserve"> settings</w:t>
      </w:r>
      <w:r w:rsidR="00357FB0">
        <w:rPr>
          <w:rFonts w:asciiTheme="minorHAnsi" w:hAnsiTheme="minorHAnsi"/>
          <w:sz w:val="20"/>
          <w:szCs w:val="20"/>
        </w:rPr>
        <w:t xml:space="preserve"> (Council of Europe 2013)</w:t>
      </w:r>
      <w:r>
        <w:rPr>
          <w:rFonts w:asciiTheme="minorHAnsi" w:hAnsiTheme="minorHAnsi"/>
          <w:sz w:val="20"/>
          <w:szCs w:val="20"/>
        </w:rPr>
        <w:t>.</w:t>
      </w:r>
    </w:p>
    <w:p w14:paraId="724F07CC" w14:textId="77777777" w:rsidR="00932506" w:rsidRPr="00D17ED1" w:rsidRDefault="00932506" w:rsidP="00D17ED1">
      <w:pPr>
        <w:spacing w:after="0" w:line="240" w:lineRule="auto"/>
        <w:jc w:val="both"/>
        <w:rPr>
          <w:rFonts w:asciiTheme="minorHAnsi" w:hAnsiTheme="minorHAnsi"/>
          <w:sz w:val="20"/>
          <w:szCs w:val="20"/>
        </w:rPr>
      </w:pPr>
    </w:p>
    <w:p w14:paraId="35BE92A9" w14:textId="33A8202B" w:rsidR="00C248B6" w:rsidRPr="00D17ED1" w:rsidRDefault="00D17ED1" w:rsidP="00D17ED1">
      <w:pPr>
        <w:pStyle w:val="NoSpacing"/>
        <w:ind w:left="720" w:hanging="720"/>
        <w:jc w:val="both"/>
        <w:rPr>
          <w:rFonts w:asciiTheme="minorHAnsi" w:hAnsiTheme="minorHAnsi"/>
          <w:sz w:val="20"/>
          <w:szCs w:val="20"/>
        </w:rPr>
      </w:pPr>
      <w:r>
        <w:rPr>
          <w:rFonts w:asciiTheme="minorHAnsi" w:hAnsiTheme="minorHAnsi"/>
          <w:sz w:val="20"/>
          <w:szCs w:val="20"/>
        </w:rPr>
        <w:t>e)</w:t>
      </w:r>
      <w:r>
        <w:rPr>
          <w:rFonts w:asciiTheme="minorHAnsi" w:hAnsiTheme="minorHAnsi"/>
          <w:sz w:val="20"/>
          <w:szCs w:val="20"/>
        </w:rPr>
        <w:tab/>
      </w:r>
      <w:proofErr w:type="gramStart"/>
      <w:r w:rsidR="00652EAE" w:rsidRPr="00D17ED1">
        <w:rPr>
          <w:rFonts w:asciiTheme="minorHAnsi" w:hAnsiTheme="minorHAnsi"/>
          <w:sz w:val="20"/>
          <w:szCs w:val="20"/>
        </w:rPr>
        <w:t>address</w:t>
      </w:r>
      <w:proofErr w:type="gramEnd"/>
      <w:r w:rsidR="00C248B6" w:rsidRPr="00D17ED1">
        <w:rPr>
          <w:rFonts w:asciiTheme="minorHAnsi" w:hAnsiTheme="minorHAnsi"/>
          <w:sz w:val="20"/>
          <w:szCs w:val="20"/>
        </w:rPr>
        <w:t xml:space="preserve"> the targeted, compounded and structural discrimination that combines to increase the vulnerability of women and girls with disabilities</w:t>
      </w:r>
      <w:r w:rsidR="00932506" w:rsidRPr="00D17ED1">
        <w:rPr>
          <w:rFonts w:asciiTheme="minorHAnsi" w:hAnsiTheme="minorHAnsi"/>
          <w:sz w:val="20"/>
          <w:szCs w:val="20"/>
        </w:rPr>
        <w:t xml:space="preserve"> to violence</w:t>
      </w:r>
      <w:r w:rsidR="00285A83">
        <w:rPr>
          <w:rFonts w:asciiTheme="minorHAnsi" w:hAnsiTheme="minorHAnsi"/>
          <w:sz w:val="20"/>
          <w:szCs w:val="20"/>
        </w:rPr>
        <w:t xml:space="preserve"> (UN General Assembly </w:t>
      </w:r>
      <w:r w:rsidR="00285A83" w:rsidRPr="00285A83">
        <w:rPr>
          <w:rFonts w:asciiTheme="minorHAnsi" w:hAnsiTheme="minorHAnsi"/>
          <w:sz w:val="20"/>
          <w:szCs w:val="20"/>
        </w:rPr>
        <w:t>2011)</w:t>
      </w:r>
      <w:r>
        <w:rPr>
          <w:rFonts w:asciiTheme="minorHAnsi" w:hAnsiTheme="minorHAnsi"/>
          <w:sz w:val="20"/>
          <w:szCs w:val="20"/>
        </w:rPr>
        <w:t>.</w:t>
      </w:r>
    </w:p>
    <w:p w14:paraId="1F25D54F" w14:textId="77777777" w:rsidR="00932506" w:rsidRPr="00D17ED1" w:rsidRDefault="00932506" w:rsidP="00D17ED1">
      <w:pPr>
        <w:pStyle w:val="NoSpacing"/>
        <w:jc w:val="both"/>
        <w:rPr>
          <w:rFonts w:asciiTheme="minorHAnsi" w:hAnsiTheme="minorHAnsi"/>
          <w:sz w:val="20"/>
          <w:szCs w:val="20"/>
        </w:rPr>
      </w:pPr>
    </w:p>
    <w:p w14:paraId="3BE4F2F2" w14:textId="53E6EB9C" w:rsidR="000121D2" w:rsidRPr="00D17ED1" w:rsidRDefault="00D17ED1" w:rsidP="00D17ED1">
      <w:pPr>
        <w:spacing w:after="0" w:line="240" w:lineRule="auto"/>
        <w:ind w:left="720" w:hanging="720"/>
        <w:jc w:val="both"/>
        <w:rPr>
          <w:rFonts w:asciiTheme="minorHAnsi" w:hAnsiTheme="minorHAnsi"/>
          <w:sz w:val="20"/>
          <w:szCs w:val="20"/>
        </w:rPr>
      </w:pPr>
      <w:r>
        <w:rPr>
          <w:rFonts w:asciiTheme="minorHAnsi" w:hAnsiTheme="minorHAnsi"/>
          <w:sz w:val="20"/>
          <w:szCs w:val="20"/>
        </w:rPr>
        <w:t>f)</w:t>
      </w:r>
      <w:r>
        <w:rPr>
          <w:rFonts w:asciiTheme="minorHAnsi" w:hAnsiTheme="minorHAnsi"/>
          <w:sz w:val="20"/>
          <w:szCs w:val="20"/>
        </w:rPr>
        <w:tab/>
      </w:r>
      <w:r w:rsidR="000121D2" w:rsidRPr="00D17ED1">
        <w:rPr>
          <w:rFonts w:asciiTheme="minorHAnsi" w:hAnsiTheme="minorHAnsi"/>
          <w:sz w:val="20"/>
          <w:szCs w:val="20"/>
        </w:rPr>
        <w:t xml:space="preserve">have universal applicability </w:t>
      </w:r>
      <w:r w:rsidR="00011D10" w:rsidRPr="00D17ED1">
        <w:rPr>
          <w:rFonts w:asciiTheme="minorHAnsi" w:hAnsiTheme="minorHAnsi"/>
          <w:sz w:val="20"/>
          <w:szCs w:val="20"/>
        </w:rPr>
        <w:t xml:space="preserve">for all women, </w:t>
      </w:r>
      <w:r w:rsidR="000121D2" w:rsidRPr="00D17ED1">
        <w:rPr>
          <w:rFonts w:asciiTheme="minorHAnsi" w:hAnsiTheme="minorHAnsi"/>
          <w:sz w:val="20"/>
          <w:szCs w:val="20"/>
        </w:rPr>
        <w:t>whilst clearly recognising and targeting specific ‘vulnerable’ groups and addressing the most severe forms of gender-based violence (eg: forced sterilisation; forced abortion; forced marriage; female genital mutilation; sexual violence; domestic violence)</w:t>
      </w:r>
      <w:r w:rsidR="00285A83">
        <w:rPr>
          <w:rFonts w:asciiTheme="minorHAnsi" w:hAnsiTheme="minorHAnsi"/>
          <w:sz w:val="20"/>
          <w:szCs w:val="20"/>
        </w:rPr>
        <w:t xml:space="preserve"> (Council of Europe 2013)</w:t>
      </w:r>
      <w:r>
        <w:rPr>
          <w:rFonts w:asciiTheme="minorHAnsi" w:hAnsiTheme="minorHAnsi"/>
          <w:sz w:val="20"/>
          <w:szCs w:val="20"/>
        </w:rPr>
        <w:t>.</w:t>
      </w:r>
      <w:r w:rsidR="000121D2" w:rsidRPr="00D17ED1">
        <w:rPr>
          <w:rFonts w:asciiTheme="minorHAnsi" w:hAnsiTheme="minorHAnsi"/>
          <w:sz w:val="20"/>
          <w:szCs w:val="20"/>
        </w:rPr>
        <w:t xml:space="preserve"> </w:t>
      </w:r>
    </w:p>
    <w:p w14:paraId="7084510A" w14:textId="77777777" w:rsidR="00932506" w:rsidRPr="00D17ED1" w:rsidRDefault="00932506" w:rsidP="00D17ED1">
      <w:pPr>
        <w:pStyle w:val="NoSpacing"/>
        <w:jc w:val="both"/>
        <w:rPr>
          <w:rFonts w:asciiTheme="minorHAnsi" w:hAnsiTheme="minorHAnsi"/>
          <w:sz w:val="20"/>
          <w:szCs w:val="20"/>
        </w:rPr>
      </w:pPr>
    </w:p>
    <w:p w14:paraId="0975081A" w14:textId="69A5B630" w:rsidR="00932506" w:rsidRPr="00D17ED1" w:rsidRDefault="00D17ED1" w:rsidP="00D17ED1">
      <w:pPr>
        <w:pStyle w:val="NoSpacing"/>
        <w:ind w:left="720" w:hanging="720"/>
        <w:jc w:val="both"/>
        <w:rPr>
          <w:rFonts w:asciiTheme="minorHAnsi" w:hAnsiTheme="minorHAnsi"/>
          <w:sz w:val="20"/>
          <w:szCs w:val="20"/>
        </w:rPr>
      </w:pPr>
      <w:r>
        <w:rPr>
          <w:rFonts w:asciiTheme="minorHAnsi" w:hAnsiTheme="minorHAnsi"/>
          <w:sz w:val="20"/>
          <w:szCs w:val="20"/>
        </w:rPr>
        <w:t>g)</w:t>
      </w:r>
      <w:r>
        <w:rPr>
          <w:rFonts w:asciiTheme="minorHAnsi" w:hAnsiTheme="minorHAnsi"/>
          <w:sz w:val="20"/>
          <w:szCs w:val="20"/>
        </w:rPr>
        <w:tab/>
      </w:r>
      <w:proofErr w:type="gramStart"/>
      <w:r w:rsidR="00652EAE" w:rsidRPr="00D17ED1">
        <w:rPr>
          <w:rFonts w:asciiTheme="minorHAnsi" w:hAnsiTheme="minorHAnsi"/>
          <w:sz w:val="20"/>
          <w:szCs w:val="20"/>
        </w:rPr>
        <w:t>articulate</w:t>
      </w:r>
      <w:proofErr w:type="gramEnd"/>
      <w:r w:rsidR="00960069" w:rsidRPr="00D17ED1">
        <w:rPr>
          <w:rFonts w:asciiTheme="minorHAnsi" w:hAnsiTheme="minorHAnsi"/>
          <w:sz w:val="20"/>
          <w:szCs w:val="20"/>
        </w:rPr>
        <w:t xml:space="preserve"> the critical </w:t>
      </w:r>
      <w:r w:rsidR="00652EAE" w:rsidRPr="00D17ED1">
        <w:rPr>
          <w:rFonts w:asciiTheme="minorHAnsi" w:hAnsiTheme="minorHAnsi"/>
          <w:sz w:val="20"/>
          <w:szCs w:val="20"/>
        </w:rPr>
        <w:t xml:space="preserve">and central </w:t>
      </w:r>
      <w:r w:rsidR="00960069" w:rsidRPr="00D17ED1">
        <w:rPr>
          <w:rFonts w:asciiTheme="minorHAnsi" w:hAnsiTheme="minorHAnsi"/>
          <w:sz w:val="20"/>
          <w:szCs w:val="20"/>
        </w:rPr>
        <w:t>role of civil society organisations, women’s organisations and groups and other relevant actors in the prevention of violence against women</w:t>
      </w:r>
      <w:r w:rsidR="00285A83">
        <w:rPr>
          <w:rFonts w:asciiTheme="minorHAnsi" w:hAnsiTheme="minorHAnsi"/>
          <w:sz w:val="20"/>
          <w:szCs w:val="20"/>
        </w:rPr>
        <w:t xml:space="preserve"> (</w:t>
      </w:r>
      <w:r w:rsidR="00285A83" w:rsidRPr="00285A83">
        <w:rPr>
          <w:rFonts w:asciiTheme="minorHAnsi" w:hAnsiTheme="minorHAnsi"/>
          <w:sz w:val="20"/>
          <w:szCs w:val="20"/>
        </w:rPr>
        <w:t>UN Women</w:t>
      </w:r>
      <w:r w:rsidR="00285A83">
        <w:rPr>
          <w:rFonts w:asciiTheme="minorHAnsi" w:hAnsiTheme="minorHAnsi"/>
          <w:sz w:val="20"/>
          <w:szCs w:val="20"/>
        </w:rPr>
        <w:t xml:space="preserve"> et al 2012)</w:t>
      </w:r>
      <w:r>
        <w:rPr>
          <w:rFonts w:asciiTheme="minorHAnsi" w:hAnsiTheme="minorHAnsi"/>
          <w:sz w:val="20"/>
          <w:szCs w:val="20"/>
        </w:rPr>
        <w:t>.</w:t>
      </w:r>
    </w:p>
    <w:p w14:paraId="3FB00734" w14:textId="77777777" w:rsidR="00960069" w:rsidRPr="00D17ED1" w:rsidRDefault="00960069" w:rsidP="00D17ED1">
      <w:pPr>
        <w:pStyle w:val="NoSpacing"/>
        <w:jc w:val="both"/>
        <w:rPr>
          <w:rFonts w:asciiTheme="minorHAnsi" w:hAnsiTheme="minorHAnsi"/>
          <w:sz w:val="20"/>
          <w:szCs w:val="20"/>
        </w:rPr>
      </w:pPr>
    </w:p>
    <w:p w14:paraId="5C35CCD2" w14:textId="73143C92" w:rsidR="00407B8C" w:rsidRPr="00D17ED1" w:rsidRDefault="00D17ED1" w:rsidP="00D17ED1">
      <w:pPr>
        <w:pStyle w:val="NoSpacing"/>
        <w:ind w:left="720" w:hanging="720"/>
        <w:jc w:val="both"/>
        <w:rPr>
          <w:rFonts w:asciiTheme="minorHAnsi" w:hAnsiTheme="minorHAnsi"/>
          <w:sz w:val="20"/>
          <w:szCs w:val="20"/>
        </w:rPr>
      </w:pPr>
      <w:r>
        <w:rPr>
          <w:rFonts w:asciiTheme="minorHAnsi" w:hAnsiTheme="minorHAnsi"/>
          <w:sz w:val="20"/>
          <w:szCs w:val="20"/>
        </w:rPr>
        <w:t>h)</w:t>
      </w:r>
      <w:r>
        <w:rPr>
          <w:rFonts w:asciiTheme="minorHAnsi" w:hAnsiTheme="minorHAnsi"/>
          <w:sz w:val="20"/>
          <w:szCs w:val="20"/>
        </w:rPr>
        <w:tab/>
      </w:r>
      <w:proofErr w:type="gramStart"/>
      <w:r w:rsidR="00407B8C" w:rsidRPr="00D17ED1">
        <w:rPr>
          <w:rFonts w:asciiTheme="minorHAnsi" w:hAnsiTheme="minorHAnsi"/>
          <w:sz w:val="20"/>
          <w:szCs w:val="20"/>
        </w:rPr>
        <w:t>ensure</w:t>
      </w:r>
      <w:proofErr w:type="gramEnd"/>
      <w:r w:rsidR="00407B8C" w:rsidRPr="00D17ED1">
        <w:rPr>
          <w:rFonts w:asciiTheme="minorHAnsi" w:hAnsiTheme="minorHAnsi"/>
          <w:sz w:val="20"/>
          <w:szCs w:val="20"/>
        </w:rPr>
        <w:t xml:space="preserve"> that women with disabilities are at the </w:t>
      </w:r>
      <w:r w:rsidR="00407B8C" w:rsidRPr="00D17ED1">
        <w:rPr>
          <w:rFonts w:asciiTheme="minorHAnsi" w:hAnsiTheme="minorHAnsi"/>
          <w:sz w:val="20"/>
          <w:szCs w:val="20"/>
          <w:u w:val="single"/>
        </w:rPr>
        <w:t>centre</w:t>
      </w:r>
      <w:r w:rsidR="00407B8C" w:rsidRPr="00D17ED1">
        <w:rPr>
          <w:rFonts w:asciiTheme="minorHAnsi" w:hAnsiTheme="minorHAnsi"/>
          <w:sz w:val="20"/>
          <w:szCs w:val="20"/>
        </w:rPr>
        <w:t xml:space="preserve"> of efforts to hold governments accountable for implementing international standards guaranteeing the right to be free from violence and non-discrimination</w:t>
      </w:r>
      <w:r w:rsidR="00357FB0">
        <w:rPr>
          <w:rFonts w:asciiTheme="minorHAnsi" w:hAnsiTheme="minorHAnsi"/>
          <w:sz w:val="20"/>
          <w:szCs w:val="20"/>
        </w:rPr>
        <w:t xml:space="preserve"> (UN General Assembly </w:t>
      </w:r>
      <w:r w:rsidR="00357FB0" w:rsidRPr="00285A83">
        <w:rPr>
          <w:rFonts w:asciiTheme="minorHAnsi" w:hAnsiTheme="minorHAnsi"/>
          <w:sz w:val="20"/>
          <w:szCs w:val="20"/>
        </w:rPr>
        <w:t>2011)</w:t>
      </w:r>
      <w:r>
        <w:rPr>
          <w:rFonts w:asciiTheme="minorHAnsi" w:hAnsiTheme="minorHAnsi"/>
          <w:sz w:val="20"/>
          <w:szCs w:val="20"/>
        </w:rPr>
        <w:t>.</w:t>
      </w:r>
    </w:p>
    <w:p w14:paraId="675C5500" w14:textId="77777777" w:rsidR="00407B8C" w:rsidRPr="00D17ED1" w:rsidRDefault="00407B8C" w:rsidP="00D17ED1">
      <w:pPr>
        <w:pStyle w:val="NoSpacing"/>
        <w:jc w:val="both"/>
        <w:rPr>
          <w:rFonts w:asciiTheme="minorHAnsi" w:hAnsiTheme="minorHAnsi"/>
          <w:sz w:val="20"/>
          <w:szCs w:val="20"/>
        </w:rPr>
      </w:pPr>
    </w:p>
    <w:p w14:paraId="32001601" w14:textId="7AFBEE1B" w:rsidR="00932506" w:rsidRDefault="00D17ED1" w:rsidP="003357BA">
      <w:pPr>
        <w:pStyle w:val="NoSpacing"/>
        <w:ind w:left="720" w:hanging="720"/>
        <w:jc w:val="both"/>
        <w:rPr>
          <w:rFonts w:asciiTheme="minorHAnsi" w:hAnsiTheme="minorHAnsi"/>
          <w:sz w:val="20"/>
          <w:szCs w:val="20"/>
        </w:rPr>
      </w:pPr>
      <w:proofErr w:type="spellStart"/>
      <w:r>
        <w:rPr>
          <w:rFonts w:asciiTheme="minorHAnsi" w:hAnsiTheme="minorHAnsi"/>
          <w:sz w:val="20"/>
          <w:szCs w:val="20"/>
        </w:rPr>
        <w:t>i</w:t>
      </w:r>
      <w:proofErr w:type="spellEnd"/>
      <w:r>
        <w:rPr>
          <w:rFonts w:asciiTheme="minorHAnsi" w:hAnsiTheme="minorHAnsi"/>
          <w:sz w:val="20"/>
          <w:szCs w:val="20"/>
        </w:rPr>
        <w:t>)</w:t>
      </w:r>
      <w:r>
        <w:rPr>
          <w:rFonts w:asciiTheme="minorHAnsi" w:hAnsiTheme="minorHAnsi"/>
          <w:sz w:val="20"/>
          <w:szCs w:val="20"/>
        </w:rPr>
        <w:tab/>
      </w:r>
      <w:proofErr w:type="gramStart"/>
      <w:r w:rsidR="00960069" w:rsidRPr="00D17ED1">
        <w:rPr>
          <w:rFonts w:asciiTheme="minorHAnsi" w:hAnsiTheme="minorHAnsi"/>
          <w:sz w:val="20"/>
          <w:szCs w:val="20"/>
        </w:rPr>
        <w:t>articulate</w:t>
      </w:r>
      <w:proofErr w:type="gramEnd"/>
      <w:r w:rsidR="00960069" w:rsidRPr="00D17ED1">
        <w:rPr>
          <w:rFonts w:asciiTheme="minorHAnsi" w:hAnsiTheme="minorHAnsi"/>
          <w:sz w:val="20"/>
          <w:szCs w:val="20"/>
        </w:rPr>
        <w:t xml:space="preserve"> the elements </w:t>
      </w:r>
      <w:r w:rsidR="00011D10" w:rsidRPr="00D17ED1">
        <w:rPr>
          <w:rFonts w:asciiTheme="minorHAnsi" w:hAnsiTheme="minorHAnsi"/>
          <w:sz w:val="20"/>
          <w:szCs w:val="20"/>
        </w:rPr>
        <w:t xml:space="preserve">and measures </w:t>
      </w:r>
      <w:r w:rsidR="00960069" w:rsidRPr="00D17ED1">
        <w:rPr>
          <w:rFonts w:asciiTheme="minorHAnsi" w:hAnsiTheme="minorHAnsi"/>
          <w:sz w:val="20"/>
          <w:szCs w:val="20"/>
        </w:rPr>
        <w:t>of integration, coordination, monitoring</w:t>
      </w:r>
      <w:r w:rsidR="00914136" w:rsidRPr="00D17ED1">
        <w:rPr>
          <w:rFonts w:asciiTheme="minorHAnsi" w:hAnsiTheme="minorHAnsi"/>
          <w:sz w:val="20"/>
          <w:szCs w:val="20"/>
        </w:rPr>
        <w:t>,</w:t>
      </w:r>
      <w:r w:rsidR="00960069" w:rsidRPr="00D17ED1">
        <w:rPr>
          <w:rFonts w:asciiTheme="minorHAnsi" w:hAnsiTheme="minorHAnsi"/>
          <w:sz w:val="20"/>
          <w:szCs w:val="20"/>
        </w:rPr>
        <w:t xml:space="preserve"> evaluation</w:t>
      </w:r>
      <w:r w:rsidR="00827F4B" w:rsidRPr="00D17ED1">
        <w:rPr>
          <w:rFonts w:asciiTheme="minorHAnsi" w:hAnsiTheme="minorHAnsi"/>
          <w:sz w:val="20"/>
          <w:szCs w:val="20"/>
        </w:rPr>
        <w:t>,</w:t>
      </w:r>
      <w:r w:rsidR="00914136" w:rsidRPr="00D17ED1">
        <w:rPr>
          <w:rFonts w:asciiTheme="minorHAnsi" w:hAnsiTheme="minorHAnsi"/>
          <w:sz w:val="20"/>
          <w:szCs w:val="20"/>
        </w:rPr>
        <w:t xml:space="preserve"> </w:t>
      </w:r>
      <w:r w:rsidR="003A3A5D" w:rsidRPr="00D17ED1">
        <w:rPr>
          <w:rFonts w:asciiTheme="minorHAnsi" w:hAnsiTheme="minorHAnsi"/>
          <w:sz w:val="20"/>
          <w:szCs w:val="20"/>
        </w:rPr>
        <w:t xml:space="preserve">and </w:t>
      </w:r>
      <w:r w:rsidR="00827F4B" w:rsidRPr="00D17ED1">
        <w:rPr>
          <w:rFonts w:asciiTheme="minorHAnsi" w:hAnsiTheme="minorHAnsi"/>
          <w:sz w:val="20"/>
          <w:szCs w:val="20"/>
        </w:rPr>
        <w:t>due diligence</w:t>
      </w:r>
      <w:r w:rsidR="00357FB0">
        <w:rPr>
          <w:rFonts w:asciiTheme="minorHAnsi" w:hAnsiTheme="minorHAnsi"/>
          <w:sz w:val="20"/>
          <w:szCs w:val="20"/>
        </w:rPr>
        <w:t xml:space="preserve"> (Council of Europe 2013, UN General Assembly </w:t>
      </w:r>
      <w:r w:rsidR="00357FB0" w:rsidRPr="00285A83">
        <w:rPr>
          <w:rFonts w:asciiTheme="minorHAnsi" w:hAnsiTheme="minorHAnsi"/>
          <w:sz w:val="20"/>
          <w:szCs w:val="20"/>
        </w:rPr>
        <w:t>2011</w:t>
      </w:r>
      <w:r w:rsidR="00357FB0">
        <w:rPr>
          <w:rFonts w:asciiTheme="minorHAnsi" w:hAnsiTheme="minorHAnsi"/>
          <w:sz w:val="20"/>
          <w:szCs w:val="20"/>
        </w:rPr>
        <w:t>)</w:t>
      </w:r>
      <w:r>
        <w:rPr>
          <w:rFonts w:asciiTheme="minorHAnsi" w:hAnsiTheme="minorHAnsi"/>
          <w:sz w:val="20"/>
          <w:szCs w:val="20"/>
        </w:rPr>
        <w:t>.</w:t>
      </w:r>
    </w:p>
    <w:p w14:paraId="4C899B5D" w14:textId="16213B8F" w:rsidR="00D17ED1" w:rsidRPr="005C2DAA" w:rsidRDefault="00D17ED1" w:rsidP="003357BA">
      <w:pPr>
        <w:pStyle w:val="Heading2"/>
        <w:rPr>
          <w:b w:val="0"/>
        </w:rPr>
      </w:pPr>
      <w:bookmarkStart w:id="13" w:name="_Toc410646574"/>
      <w:r w:rsidRPr="005C2DAA">
        <w:t>5.2.</w:t>
      </w:r>
      <w:r w:rsidRPr="005C2DAA">
        <w:tab/>
        <w:t xml:space="preserve">Prevention Measures </w:t>
      </w:r>
      <w:r w:rsidR="00285A83">
        <w:t>and Strategies</w:t>
      </w:r>
      <w:bookmarkEnd w:id="13"/>
    </w:p>
    <w:p w14:paraId="210E52D3" w14:textId="09061344" w:rsidR="00407B8C" w:rsidRPr="00407B8C" w:rsidRDefault="00407B8C" w:rsidP="00407B8C">
      <w:pPr>
        <w:pStyle w:val="NoSpacing"/>
        <w:jc w:val="both"/>
        <w:rPr>
          <w:rFonts w:asciiTheme="minorHAnsi" w:hAnsiTheme="minorHAnsi"/>
          <w:sz w:val="20"/>
          <w:szCs w:val="20"/>
        </w:rPr>
      </w:pPr>
      <w:r w:rsidRPr="00407B8C">
        <w:rPr>
          <w:rFonts w:asciiTheme="minorHAnsi" w:hAnsiTheme="minorHAnsi"/>
          <w:sz w:val="20"/>
          <w:szCs w:val="20"/>
        </w:rPr>
        <w:t xml:space="preserve">A human rights approach to the prevention of violence against women recognises and demonstrates that responses to violence against women cannot be considered in isolation from the context of individuals, households, </w:t>
      </w:r>
      <w:r>
        <w:rPr>
          <w:rFonts w:asciiTheme="minorHAnsi" w:hAnsiTheme="minorHAnsi"/>
          <w:sz w:val="20"/>
          <w:szCs w:val="20"/>
        </w:rPr>
        <w:t xml:space="preserve">settings, </w:t>
      </w:r>
      <w:r w:rsidRPr="00407B8C">
        <w:rPr>
          <w:rFonts w:asciiTheme="minorHAnsi" w:hAnsiTheme="minorHAnsi"/>
          <w:sz w:val="20"/>
          <w:szCs w:val="20"/>
        </w:rPr>
        <w:t>communities or States. Discrimination affects women in different ways depending on how they are positioned within the social, economic and cultural hierarchies that prohibit or further compromise certain women’s ability to enjoy universal human rights (</w:t>
      </w:r>
      <w:proofErr w:type="spellStart"/>
      <w:r w:rsidR="00357FB0">
        <w:rPr>
          <w:rFonts w:asciiTheme="minorHAnsi" w:hAnsiTheme="minorHAnsi"/>
          <w:sz w:val="20"/>
          <w:szCs w:val="20"/>
        </w:rPr>
        <w:t>Manjoo</w:t>
      </w:r>
      <w:proofErr w:type="spellEnd"/>
      <w:r w:rsidR="00357FB0">
        <w:rPr>
          <w:rFonts w:asciiTheme="minorHAnsi" w:hAnsiTheme="minorHAnsi"/>
          <w:sz w:val="20"/>
          <w:szCs w:val="20"/>
        </w:rPr>
        <w:t xml:space="preserve"> </w:t>
      </w:r>
      <w:r w:rsidRPr="00407B8C">
        <w:rPr>
          <w:rFonts w:asciiTheme="minorHAnsi" w:hAnsiTheme="minorHAnsi"/>
          <w:sz w:val="20"/>
          <w:szCs w:val="20"/>
        </w:rPr>
        <w:t>211). This approach embeds critical aspects of intra-gender discrimination and inequality into the violence prevention effort.</w:t>
      </w:r>
    </w:p>
    <w:p w14:paraId="46226401" w14:textId="77777777" w:rsidR="00407B8C" w:rsidRDefault="00407B8C" w:rsidP="00407B8C">
      <w:pPr>
        <w:pStyle w:val="NoSpacing"/>
        <w:jc w:val="both"/>
        <w:rPr>
          <w:rFonts w:asciiTheme="minorHAnsi" w:hAnsiTheme="minorHAnsi"/>
          <w:sz w:val="20"/>
          <w:szCs w:val="20"/>
        </w:rPr>
      </w:pPr>
    </w:p>
    <w:p w14:paraId="2C87617C" w14:textId="686A96F3" w:rsidR="00227BF3" w:rsidRDefault="00227BF3" w:rsidP="00227BF3">
      <w:pPr>
        <w:spacing w:after="0" w:line="240" w:lineRule="auto"/>
        <w:jc w:val="both"/>
        <w:rPr>
          <w:rFonts w:asciiTheme="minorHAnsi" w:hAnsiTheme="minorHAnsi"/>
          <w:sz w:val="20"/>
          <w:szCs w:val="20"/>
        </w:rPr>
      </w:pPr>
      <w:r>
        <w:rPr>
          <w:rFonts w:asciiTheme="minorHAnsi" w:hAnsiTheme="minorHAnsi"/>
          <w:sz w:val="20"/>
          <w:szCs w:val="20"/>
        </w:rPr>
        <w:t xml:space="preserve">To ensure the </w:t>
      </w:r>
      <w:r w:rsidRPr="003A3A5D">
        <w:rPr>
          <w:rFonts w:asciiTheme="minorHAnsi" w:hAnsiTheme="minorHAnsi"/>
          <w:i/>
          <w:sz w:val="20"/>
          <w:szCs w:val="20"/>
        </w:rPr>
        <w:t>National Framework to Prevent Violence Against Women</w:t>
      </w:r>
      <w:r>
        <w:rPr>
          <w:rFonts w:asciiTheme="minorHAnsi" w:hAnsiTheme="minorHAnsi"/>
          <w:sz w:val="20"/>
          <w:szCs w:val="20"/>
        </w:rPr>
        <w:t xml:space="preserve"> embeds </w:t>
      </w:r>
      <w:r w:rsidR="00D17ED1">
        <w:rPr>
          <w:rFonts w:asciiTheme="minorHAnsi" w:hAnsiTheme="minorHAnsi"/>
          <w:sz w:val="20"/>
          <w:szCs w:val="20"/>
        </w:rPr>
        <w:t xml:space="preserve">and integrates </w:t>
      </w:r>
      <w:r>
        <w:rPr>
          <w:rFonts w:asciiTheme="minorHAnsi" w:hAnsiTheme="minorHAnsi"/>
          <w:sz w:val="20"/>
          <w:szCs w:val="20"/>
        </w:rPr>
        <w:t xml:space="preserve">a human rights approach to </w:t>
      </w:r>
      <w:r w:rsidR="00D17ED1">
        <w:rPr>
          <w:rFonts w:asciiTheme="minorHAnsi" w:hAnsiTheme="minorHAnsi"/>
          <w:sz w:val="20"/>
          <w:szCs w:val="20"/>
        </w:rPr>
        <w:t>measures to prevent</w:t>
      </w:r>
      <w:r>
        <w:rPr>
          <w:rFonts w:asciiTheme="minorHAnsi" w:hAnsiTheme="minorHAnsi"/>
          <w:sz w:val="20"/>
          <w:szCs w:val="20"/>
        </w:rPr>
        <w:t xml:space="preserve"> </w:t>
      </w:r>
      <w:r w:rsidR="00D17ED1">
        <w:rPr>
          <w:rFonts w:asciiTheme="minorHAnsi" w:hAnsiTheme="minorHAnsi"/>
          <w:sz w:val="20"/>
          <w:szCs w:val="20"/>
        </w:rPr>
        <w:t>gendered disability violence</w:t>
      </w:r>
      <w:r>
        <w:rPr>
          <w:rFonts w:asciiTheme="minorHAnsi" w:hAnsiTheme="minorHAnsi"/>
          <w:sz w:val="20"/>
          <w:szCs w:val="20"/>
        </w:rPr>
        <w:t>, the Framework should:</w:t>
      </w:r>
    </w:p>
    <w:p w14:paraId="6651E698" w14:textId="77777777" w:rsidR="00227BF3" w:rsidRPr="00D17ED1" w:rsidRDefault="00227BF3" w:rsidP="00D17ED1">
      <w:pPr>
        <w:spacing w:after="0" w:line="240" w:lineRule="auto"/>
        <w:jc w:val="both"/>
        <w:rPr>
          <w:rFonts w:asciiTheme="minorHAnsi" w:hAnsiTheme="minorHAnsi"/>
          <w:sz w:val="20"/>
          <w:szCs w:val="20"/>
        </w:rPr>
      </w:pPr>
    </w:p>
    <w:p w14:paraId="0F21293B" w14:textId="5EA0843E" w:rsidR="00E3569F" w:rsidRPr="00287764" w:rsidRDefault="00D17ED1" w:rsidP="00287764">
      <w:pPr>
        <w:spacing w:after="0" w:line="240" w:lineRule="auto"/>
        <w:ind w:left="720" w:hanging="720"/>
        <w:jc w:val="both"/>
        <w:rPr>
          <w:rFonts w:asciiTheme="minorHAnsi" w:hAnsiTheme="minorHAnsi"/>
          <w:sz w:val="20"/>
          <w:szCs w:val="20"/>
        </w:rPr>
      </w:pPr>
      <w:r>
        <w:rPr>
          <w:rFonts w:asciiTheme="minorHAnsi" w:hAnsiTheme="minorHAnsi"/>
          <w:sz w:val="20"/>
          <w:szCs w:val="20"/>
        </w:rPr>
        <w:t>a)</w:t>
      </w:r>
      <w:r>
        <w:rPr>
          <w:rFonts w:asciiTheme="minorHAnsi" w:hAnsiTheme="minorHAnsi"/>
          <w:sz w:val="20"/>
          <w:szCs w:val="20"/>
        </w:rPr>
        <w:tab/>
      </w:r>
      <w:r w:rsidR="00952925">
        <w:rPr>
          <w:rFonts w:asciiTheme="minorHAnsi" w:hAnsiTheme="minorHAnsi"/>
          <w:sz w:val="20"/>
          <w:szCs w:val="20"/>
        </w:rPr>
        <w:t xml:space="preserve">Adopt a due diligence framework to operationalize </w:t>
      </w:r>
      <w:r w:rsidR="00E3569F" w:rsidRPr="00D17ED1">
        <w:rPr>
          <w:rFonts w:asciiTheme="minorHAnsi" w:hAnsiTheme="minorHAnsi"/>
          <w:sz w:val="20"/>
          <w:szCs w:val="20"/>
        </w:rPr>
        <w:t>violence against women as a human rights violation and a form of discrimination</w:t>
      </w:r>
      <w:r>
        <w:rPr>
          <w:rFonts w:asciiTheme="minorHAnsi" w:hAnsiTheme="minorHAnsi"/>
          <w:sz w:val="20"/>
          <w:szCs w:val="20"/>
        </w:rPr>
        <w:t>.</w:t>
      </w:r>
      <w:r w:rsidR="00952925">
        <w:rPr>
          <w:rFonts w:asciiTheme="minorHAnsi" w:hAnsiTheme="minorHAnsi"/>
          <w:sz w:val="20"/>
          <w:szCs w:val="20"/>
        </w:rPr>
        <w:t xml:space="preserve"> This can be derived from the example provided </w:t>
      </w:r>
      <w:r w:rsidR="00AD79A9">
        <w:rPr>
          <w:rFonts w:asciiTheme="minorHAnsi" w:hAnsiTheme="minorHAnsi"/>
          <w:sz w:val="20"/>
          <w:szCs w:val="20"/>
        </w:rPr>
        <w:t>b</w:t>
      </w:r>
      <w:r w:rsidR="00287764">
        <w:rPr>
          <w:rFonts w:asciiTheme="minorHAnsi" w:hAnsiTheme="minorHAnsi"/>
          <w:sz w:val="20"/>
          <w:szCs w:val="20"/>
        </w:rPr>
        <w:t xml:space="preserve">y </w:t>
      </w:r>
      <w:r w:rsidR="00AD79A9">
        <w:rPr>
          <w:rFonts w:asciiTheme="minorHAnsi" w:hAnsiTheme="minorHAnsi"/>
          <w:sz w:val="20"/>
          <w:szCs w:val="20"/>
        </w:rPr>
        <w:t xml:space="preserve">the </w:t>
      </w:r>
      <w:proofErr w:type="spellStart"/>
      <w:r w:rsidR="00952925">
        <w:rPr>
          <w:rFonts w:asciiTheme="minorHAnsi" w:hAnsiTheme="minorHAnsi"/>
          <w:sz w:val="20"/>
          <w:szCs w:val="20"/>
        </w:rPr>
        <w:t>Abul</w:t>
      </w:r>
      <w:proofErr w:type="spellEnd"/>
      <w:r w:rsidR="00952925">
        <w:rPr>
          <w:rFonts w:asciiTheme="minorHAnsi" w:hAnsiTheme="minorHAnsi"/>
          <w:sz w:val="20"/>
          <w:szCs w:val="20"/>
        </w:rPr>
        <w:t xml:space="preserve"> Aziz </w:t>
      </w:r>
      <w:r w:rsidR="00454760">
        <w:rPr>
          <w:rFonts w:asciiTheme="minorHAnsi" w:hAnsiTheme="minorHAnsi"/>
          <w:sz w:val="20"/>
          <w:szCs w:val="20"/>
        </w:rPr>
        <w:t>&amp;</w:t>
      </w:r>
      <w:r w:rsidR="00952925">
        <w:rPr>
          <w:rFonts w:asciiTheme="minorHAnsi" w:hAnsiTheme="minorHAnsi"/>
          <w:sz w:val="20"/>
          <w:szCs w:val="20"/>
        </w:rPr>
        <w:t xml:space="preserve"> Moussa</w:t>
      </w:r>
      <w:r w:rsidR="00287764">
        <w:rPr>
          <w:rFonts w:asciiTheme="minorHAnsi" w:hAnsiTheme="minorHAnsi"/>
          <w:sz w:val="20"/>
          <w:szCs w:val="20"/>
        </w:rPr>
        <w:t xml:space="preserve"> (2014)</w:t>
      </w:r>
      <w:r w:rsidR="00952925">
        <w:rPr>
          <w:rFonts w:asciiTheme="minorHAnsi" w:hAnsiTheme="minorHAnsi"/>
          <w:sz w:val="20"/>
          <w:szCs w:val="20"/>
        </w:rPr>
        <w:t xml:space="preserve"> “Due Diligence </w:t>
      </w:r>
      <w:r w:rsidR="00952925" w:rsidRPr="00492225">
        <w:rPr>
          <w:rFonts w:asciiTheme="minorHAnsi" w:hAnsiTheme="minorHAnsi"/>
          <w:sz w:val="20"/>
          <w:szCs w:val="20"/>
        </w:rPr>
        <w:t>Framework: State Accountability Framework for Eliminatin</w:t>
      </w:r>
      <w:r w:rsidR="00287764">
        <w:rPr>
          <w:rFonts w:asciiTheme="minorHAnsi" w:hAnsiTheme="minorHAnsi"/>
          <w:sz w:val="20"/>
          <w:szCs w:val="20"/>
        </w:rPr>
        <w:t>g Violence against Women”</w:t>
      </w:r>
      <w:r w:rsidR="00952925" w:rsidRPr="00492225">
        <w:rPr>
          <w:rFonts w:asciiTheme="minorHAnsi" w:hAnsiTheme="minorHAnsi"/>
          <w:sz w:val="20"/>
          <w:szCs w:val="20"/>
        </w:rPr>
        <w:t xml:space="preserve"> and the Council of Europe</w:t>
      </w:r>
      <w:r w:rsidR="00287764">
        <w:rPr>
          <w:rFonts w:asciiTheme="minorHAnsi" w:hAnsiTheme="minorHAnsi"/>
          <w:sz w:val="20"/>
          <w:szCs w:val="20"/>
        </w:rPr>
        <w:t xml:space="preserve"> (2013) </w:t>
      </w:r>
      <w:r w:rsidR="00287764" w:rsidRPr="00287764">
        <w:rPr>
          <w:rFonts w:asciiTheme="minorHAnsi" w:hAnsiTheme="minorHAnsi"/>
          <w:sz w:val="20"/>
          <w:szCs w:val="20"/>
        </w:rPr>
        <w:t>“</w:t>
      </w:r>
      <w:r w:rsidR="00287764" w:rsidRPr="00287764">
        <w:rPr>
          <w:rFonts w:asciiTheme="minorHAnsi" w:hAnsiTheme="minorHAnsi"/>
          <w:bCs/>
          <w:sz w:val="20"/>
          <w:szCs w:val="20"/>
        </w:rPr>
        <w:t>Convention on preventing and combating violence against women and domestic violence</w:t>
      </w:r>
      <w:r w:rsidR="00287764" w:rsidRPr="00287764">
        <w:rPr>
          <w:rFonts w:asciiTheme="minorHAnsi" w:hAnsiTheme="minorHAnsi"/>
          <w:bCs/>
          <w:i/>
          <w:sz w:val="20"/>
          <w:szCs w:val="20"/>
        </w:rPr>
        <w:t xml:space="preserve">: </w:t>
      </w:r>
      <w:r w:rsidR="00287764" w:rsidRPr="00287764">
        <w:rPr>
          <w:rFonts w:asciiTheme="minorHAnsi" w:hAnsiTheme="minorHAnsi"/>
          <w:bCs/>
          <w:sz w:val="20"/>
          <w:szCs w:val="20"/>
        </w:rPr>
        <w:t>Explanatory report</w:t>
      </w:r>
      <w:r w:rsidR="00287764">
        <w:rPr>
          <w:rFonts w:asciiTheme="minorHAnsi" w:hAnsiTheme="minorHAnsi"/>
          <w:bCs/>
          <w:sz w:val="20"/>
          <w:szCs w:val="20"/>
        </w:rPr>
        <w:t xml:space="preserve">”. </w:t>
      </w:r>
      <w:r w:rsidR="00AD79A9">
        <w:rPr>
          <w:rFonts w:asciiTheme="minorHAnsi" w:hAnsiTheme="minorHAnsi"/>
          <w:bCs/>
          <w:sz w:val="20"/>
          <w:szCs w:val="20"/>
        </w:rPr>
        <w:t xml:space="preserve"> </w:t>
      </w:r>
    </w:p>
    <w:p w14:paraId="161822FA" w14:textId="77777777" w:rsidR="00E3569F" w:rsidRDefault="00E3569F" w:rsidP="00D17ED1">
      <w:pPr>
        <w:spacing w:after="0" w:line="240" w:lineRule="auto"/>
        <w:jc w:val="both"/>
        <w:rPr>
          <w:rFonts w:asciiTheme="minorHAnsi" w:hAnsiTheme="minorHAnsi"/>
          <w:sz w:val="20"/>
          <w:szCs w:val="20"/>
        </w:rPr>
      </w:pPr>
    </w:p>
    <w:p w14:paraId="4D57D762" w14:textId="79E74FA5" w:rsidR="00D17ED1" w:rsidRPr="00D17ED1" w:rsidRDefault="00D17ED1" w:rsidP="00D17ED1">
      <w:pPr>
        <w:spacing w:after="0" w:line="240" w:lineRule="auto"/>
        <w:ind w:left="720" w:hanging="720"/>
        <w:jc w:val="both"/>
        <w:rPr>
          <w:rFonts w:asciiTheme="minorHAnsi" w:hAnsiTheme="minorHAnsi" w:cs="Calibri"/>
          <w:bCs/>
          <w:sz w:val="20"/>
          <w:szCs w:val="20"/>
          <w:lang w:eastAsia="en-AU"/>
        </w:rPr>
      </w:pPr>
      <w:r>
        <w:rPr>
          <w:rFonts w:asciiTheme="minorHAnsi" w:hAnsiTheme="minorHAnsi"/>
          <w:sz w:val="20"/>
          <w:szCs w:val="20"/>
        </w:rPr>
        <w:t>b)</w:t>
      </w:r>
      <w:r>
        <w:rPr>
          <w:rFonts w:asciiTheme="minorHAnsi" w:hAnsiTheme="minorHAnsi"/>
          <w:sz w:val="20"/>
          <w:szCs w:val="20"/>
        </w:rPr>
        <w:tab/>
      </w:r>
      <w:r w:rsidR="00703A8E">
        <w:rPr>
          <w:rFonts w:asciiTheme="minorHAnsi" w:hAnsiTheme="minorHAnsi"/>
          <w:sz w:val="20"/>
          <w:szCs w:val="20"/>
        </w:rPr>
        <w:t>Integrate and standardise</w:t>
      </w:r>
      <w:r w:rsidRPr="00D17ED1">
        <w:rPr>
          <w:rFonts w:asciiTheme="minorHAnsi" w:hAnsiTheme="minorHAnsi"/>
          <w:sz w:val="20"/>
          <w:szCs w:val="20"/>
        </w:rPr>
        <w:t xml:space="preserve"> definitions and conceptual understandings of gender-based violence </w:t>
      </w:r>
      <w:r w:rsidR="00703A8E">
        <w:rPr>
          <w:rFonts w:asciiTheme="minorHAnsi" w:hAnsiTheme="minorHAnsi"/>
          <w:sz w:val="20"/>
          <w:szCs w:val="20"/>
        </w:rPr>
        <w:t xml:space="preserve">which </w:t>
      </w:r>
      <w:r w:rsidRPr="00D17ED1">
        <w:rPr>
          <w:rFonts w:asciiTheme="minorHAnsi" w:hAnsiTheme="minorHAnsi"/>
          <w:sz w:val="20"/>
          <w:szCs w:val="20"/>
        </w:rPr>
        <w:t xml:space="preserve">are inclusive of the </w:t>
      </w:r>
      <w:r w:rsidRPr="00AD79A9">
        <w:rPr>
          <w:rFonts w:asciiTheme="minorHAnsi" w:hAnsiTheme="minorHAnsi"/>
          <w:sz w:val="20"/>
          <w:szCs w:val="20"/>
        </w:rPr>
        <w:t xml:space="preserve">experiences of </w:t>
      </w:r>
      <w:r w:rsidRPr="00AD79A9">
        <w:rPr>
          <w:rFonts w:asciiTheme="minorHAnsi" w:hAnsiTheme="minorHAnsi"/>
          <w:sz w:val="20"/>
          <w:szCs w:val="20"/>
          <w:u w:val="single"/>
        </w:rPr>
        <w:t>all</w:t>
      </w:r>
      <w:r w:rsidRPr="00AD79A9">
        <w:rPr>
          <w:rFonts w:asciiTheme="minorHAnsi" w:hAnsiTheme="minorHAnsi"/>
          <w:sz w:val="20"/>
          <w:szCs w:val="20"/>
        </w:rPr>
        <w:t xml:space="preserve"> women and girls with disabilities, </w:t>
      </w:r>
      <w:r w:rsidRPr="00AD79A9">
        <w:rPr>
          <w:rFonts w:asciiTheme="minorHAnsi" w:hAnsiTheme="minorHAnsi"/>
          <w:sz w:val="20"/>
          <w:szCs w:val="20"/>
          <w:lang w:val="en-US"/>
        </w:rPr>
        <w:t>irrespective of their</w:t>
      </w:r>
      <w:r w:rsidRPr="00AD79A9">
        <w:rPr>
          <w:rFonts w:asciiTheme="minorHAnsi" w:hAnsiTheme="minorHAnsi" w:cs="Calibri"/>
          <w:bCs/>
          <w:sz w:val="20"/>
          <w:szCs w:val="20"/>
          <w:lang w:eastAsia="en-AU"/>
        </w:rPr>
        <w:t xml:space="preserve"> place of residence, or setting in which they live, occupy, experience and/or receive service support.</w:t>
      </w:r>
      <w:r w:rsidR="00952925" w:rsidRPr="00AD79A9">
        <w:rPr>
          <w:rFonts w:asciiTheme="minorHAnsi" w:hAnsiTheme="minorHAnsi" w:cs="Calibri"/>
          <w:bCs/>
          <w:sz w:val="20"/>
          <w:szCs w:val="20"/>
          <w:lang w:eastAsia="en-AU"/>
        </w:rPr>
        <w:t xml:space="preserve"> This would require integration of national disability framework related policies (including the NDS and the NDIS Quality and Safeguarding Framework</w:t>
      </w:r>
      <w:r w:rsidR="00AD79A9">
        <w:rPr>
          <w:rFonts w:asciiTheme="minorHAnsi" w:hAnsiTheme="minorHAnsi" w:cs="Calibri"/>
          <w:bCs/>
          <w:sz w:val="20"/>
          <w:szCs w:val="20"/>
          <w:lang w:eastAsia="en-AU"/>
        </w:rPr>
        <w:t>)</w:t>
      </w:r>
      <w:r w:rsidR="00952925" w:rsidRPr="00AD79A9">
        <w:rPr>
          <w:rFonts w:asciiTheme="minorHAnsi" w:hAnsiTheme="minorHAnsi" w:cs="Calibri"/>
          <w:bCs/>
          <w:sz w:val="20"/>
          <w:szCs w:val="20"/>
          <w:lang w:eastAsia="en-AU"/>
        </w:rPr>
        <w:t xml:space="preserve"> as outlined in the </w:t>
      </w:r>
      <w:r w:rsidR="00AD79A9">
        <w:rPr>
          <w:rFonts w:asciiTheme="minorHAnsi" w:hAnsiTheme="minorHAnsi" w:cs="Calibri"/>
          <w:bCs/>
          <w:sz w:val="20"/>
          <w:szCs w:val="20"/>
          <w:lang w:eastAsia="en-AU"/>
        </w:rPr>
        <w:t>Second</w:t>
      </w:r>
      <w:r w:rsidR="00952925" w:rsidRPr="00AD79A9">
        <w:rPr>
          <w:rFonts w:asciiTheme="minorHAnsi" w:hAnsiTheme="minorHAnsi" w:cs="Calibri"/>
          <w:bCs/>
          <w:sz w:val="20"/>
          <w:szCs w:val="20"/>
          <w:lang w:eastAsia="en-AU"/>
        </w:rPr>
        <w:t xml:space="preserve"> Action Plan</w:t>
      </w:r>
      <w:r w:rsidR="00AD79A9">
        <w:rPr>
          <w:rFonts w:asciiTheme="minorHAnsi" w:hAnsiTheme="minorHAnsi" w:cs="Calibri"/>
          <w:bCs/>
          <w:sz w:val="20"/>
          <w:szCs w:val="20"/>
          <w:lang w:eastAsia="en-AU"/>
        </w:rPr>
        <w:t xml:space="preserve">: Moving Ahead. </w:t>
      </w:r>
    </w:p>
    <w:p w14:paraId="48429AF3" w14:textId="77777777" w:rsidR="00D17ED1" w:rsidRDefault="00D17ED1" w:rsidP="00D17ED1">
      <w:pPr>
        <w:spacing w:after="0" w:line="240" w:lineRule="auto"/>
        <w:jc w:val="both"/>
        <w:rPr>
          <w:rFonts w:asciiTheme="minorHAnsi" w:hAnsiTheme="minorHAnsi"/>
          <w:sz w:val="20"/>
          <w:szCs w:val="20"/>
        </w:rPr>
      </w:pPr>
    </w:p>
    <w:p w14:paraId="54196E09" w14:textId="259DBC1E" w:rsidR="00D17ED1" w:rsidRPr="00D17ED1" w:rsidRDefault="00D17ED1" w:rsidP="00D17ED1">
      <w:pPr>
        <w:spacing w:after="0" w:line="240" w:lineRule="auto"/>
        <w:ind w:left="720" w:hanging="720"/>
        <w:jc w:val="both"/>
        <w:rPr>
          <w:rFonts w:asciiTheme="minorHAnsi" w:hAnsiTheme="minorHAnsi"/>
          <w:sz w:val="20"/>
          <w:szCs w:val="20"/>
        </w:rPr>
      </w:pPr>
      <w:r>
        <w:rPr>
          <w:rFonts w:asciiTheme="minorHAnsi" w:hAnsiTheme="minorHAnsi" w:cs="Calibri"/>
          <w:bCs/>
          <w:sz w:val="20"/>
          <w:szCs w:val="20"/>
          <w:lang w:eastAsia="en-AU"/>
        </w:rPr>
        <w:t>c)</w:t>
      </w:r>
      <w:r>
        <w:rPr>
          <w:rFonts w:asciiTheme="minorHAnsi" w:hAnsiTheme="minorHAnsi" w:cs="Calibri"/>
          <w:bCs/>
          <w:sz w:val="20"/>
          <w:szCs w:val="20"/>
          <w:lang w:eastAsia="en-AU"/>
        </w:rPr>
        <w:tab/>
      </w:r>
      <w:r w:rsidR="00703A8E">
        <w:rPr>
          <w:rFonts w:asciiTheme="minorHAnsi" w:hAnsiTheme="minorHAnsi" w:cs="Calibri"/>
          <w:bCs/>
          <w:sz w:val="20"/>
          <w:szCs w:val="20"/>
          <w:lang w:eastAsia="en-AU"/>
        </w:rPr>
        <w:t>All approaches recognise that</w:t>
      </w:r>
      <w:r w:rsidRPr="00D17ED1">
        <w:rPr>
          <w:rFonts w:asciiTheme="minorHAnsi" w:hAnsiTheme="minorHAnsi" w:cs="Calibri"/>
          <w:bCs/>
          <w:sz w:val="20"/>
          <w:szCs w:val="20"/>
          <w:lang w:eastAsia="en-AU"/>
        </w:rPr>
        <w:t xml:space="preserve"> gender-based violence is not only violence directed against a woman because she is a woman, but is also violence that affects</w:t>
      </w:r>
      <w:r w:rsidR="00703A8E">
        <w:rPr>
          <w:rFonts w:asciiTheme="minorHAnsi" w:hAnsiTheme="minorHAnsi" w:cs="Calibri"/>
          <w:bCs/>
          <w:sz w:val="20"/>
          <w:szCs w:val="20"/>
          <w:lang w:eastAsia="en-AU"/>
        </w:rPr>
        <w:t xml:space="preserve"> some women </w:t>
      </w:r>
      <w:r w:rsidRPr="00D17ED1">
        <w:rPr>
          <w:rFonts w:asciiTheme="minorHAnsi" w:hAnsiTheme="minorHAnsi" w:cs="Calibri"/>
          <w:bCs/>
          <w:sz w:val="20"/>
          <w:szCs w:val="20"/>
          <w:lang w:eastAsia="en-AU"/>
        </w:rPr>
        <w:t>disproportionately</w:t>
      </w:r>
      <w:r w:rsidR="00357FB0">
        <w:rPr>
          <w:rFonts w:asciiTheme="minorHAnsi" w:hAnsiTheme="minorHAnsi" w:cs="Calibri"/>
          <w:bCs/>
          <w:sz w:val="20"/>
          <w:szCs w:val="20"/>
          <w:lang w:eastAsia="en-AU"/>
        </w:rPr>
        <w:t xml:space="preserve"> </w:t>
      </w:r>
      <w:r w:rsidR="00357FB0">
        <w:rPr>
          <w:rFonts w:asciiTheme="minorHAnsi" w:hAnsiTheme="minorHAnsi"/>
          <w:sz w:val="20"/>
          <w:szCs w:val="20"/>
        </w:rPr>
        <w:t>(Council of Europe 2013)</w:t>
      </w:r>
      <w:r w:rsidR="00703A8E">
        <w:rPr>
          <w:rFonts w:asciiTheme="minorHAnsi" w:hAnsiTheme="minorHAnsi" w:cs="Calibri"/>
          <w:bCs/>
          <w:sz w:val="20"/>
          <w:szCs w:val="20"/>
          <w:lang w:eastAsia="en-AU"/>
        </w:rPr>
        <w:t xml:space="preserve">, and that key among those </w:t>
      </w:r>
      <w:r w:rsidR="00AD79A9">
        <w:rPr>
          <w:rFonts w:asciiTheme="minorHAnsi" w:hAnsiTheme="minorHAnsi" w:cs="Calibri"/>
          <w:bCs/>
          <w:sz w:val="20"/>
          <w:szCs w:val="20"/>
          <w:lang w:eastAsia="en-AU"/>
        </w:rPr>
        <w:t>are women with disabilities</w:t>
      </w:r>
      <w:r w:rsidR="00703A8E">
        <w:rPr>
          <w:rFonts w:asciiTheme="minorHAnsi" w:hAnsiTheme="minorHAnsi" w:cs="Calibri"/>
          <w:bCs/>
          <w:sz w:val="20"/>
          <w:szCs w:val="20"/>
          <w:lang w:eastAsia="en-AU"/>
        </w:rPr>
        <w:t xml:space="preserve"> who are disproportionally affected by specific forms of violence.</w:t>
      </w:r>
    </w:p>
    <w:p w14:paraId="1BA9DBF3" w14:textId="77777777" w:rsidR="00D17ED1" w:rsidRPr="00D17ED1" w:rsidRDefault="00D17ED1" w:rsidP="00D17ED1">
      <w:pPr>
        <w:spacing w:after="0" w:line="240" w:lineRule="auto"/>
        <w:jc w:val="both"/>
        <w:rPr>
          <w:rFonts w:asciiTheme="minorHAnsi" w:hAnsiTheme="minorHAnsi"/>
          <w:sz w:val="20"/>
          <w:szCs w:val="20"/>
        </w:rPr>
      </w:pPr>
    </w:p>
    <w:p w14:paraId="27B32F8C" w14:textId="5CA6CECC" w:rsidR="00D17ED1" w:rsidRDefault="00D17ED1" w:rsidP="00D17ED1">
      <w:pPr>
        <w:spacing w:after="0" w:line="240" w:lineRule="auto"/>
        <w:ind w:left="720" w:hanging="720"/>
        <w:jc w:val="both"/>
        <w:rPr>
          <w:rFonts w:asciiTheme="minorHAnsi" w:hAnsiTheme="minorHAnsi"/>
          <w:sz w:val="20"/>
          <w:szCs w:val="20"/>
        </w:rPr>
      </w:pPr>
      <w:r>
        <w:rPr>
          <w:rFonts w:asciiTheme="minorHAnsi" w:hAnsiTheme="minorHAnsi"/>
          <w:sz w:val="20"/>
          <w:szCs w:val="20"/>
        </w:rPr>
        <w:t>d)</w:t>
      </w:r>
      <w:r>
        <w:rPr>
          <w:rFonts w:asciiTheme="minorHAnsi" w:hAnsiTheme="minorHAnsi"/>
          <w:sz w:val="20"/>
          <w:szCs w:val="20"/>
        </w:rPr>
        <w:tab/>
      </w:r>
      <w:r w:rsidR="00703A8E">
        <w:rPr>
          <w:rFonts w:asciiTheme="minorHAnsi" w:hAnsiTheme="minorHAnsi"/>
          <w:sz w:val="20"/>
          <w:szCs w:val="20"/>
        </w:rPr>
        <w:t xml:space="preserve">Recognise what </w:t>
      </w:r>
      <w:r w:rsidR="00703A8E" w:rsidRPr="00D17ED1">
        <w:rPr>
          <w:rFonts w:asciiTheme="minorHAnsi" w:hAnsiTheme="minorHAnsi"/>
          <w:sz w:val="20"/>
          <w:szCs w:val="20"/>
        </w:rPr>
        <w:t>women and girls with disabilities</w:t>
      </w:r>
      <w:r w:rsidR="00703A8E">
        <w:rPr>
          <w:rFonts w:asciiTheme="minorHAnsi" w:hAnsiTheme="minorHAnsi"/>
          <w:sz w:val="20"/>
          <w:szCs w:val="20"/>
        </w:rPr>
        <w:t xml:space="preserve"> are </w:t>
      </w:r>
      <w:r w:rsidR="00703A8E" w:rsidRPr="00D17ED1">
        <w:rPr>
          <w:rFonts w:asciiTheme="minorHAnsi" w:hAnsiTheme="minorHAnsi"/>
          <w:sz w:val="20"/>
          <w:szCs w:val="20"/>
        </w:rPr>
        <w:t xml:space="preserve">more likely to experience, and be at risk of, violence </w:t>
      </w:r>
      <w:r w:rsidR="00703A8E">
        <w:rPr>
          <w:rFonts w:asciiTheme="minorHAnsi" w:hAnsiTheme="minorHAnsi"/>
          <w:sz w:val="20"/>
          <w:szCs w:val="20"/>
        </w:rPr>
        <w:t xml:space="preserve">due to the </w:t>
      </w:r>
      <w:r w:rsidR="00E3569F" w:rsidRPr="00D17ED1">
        <w:rPr>
          <w:rFonts w:asciiTheme="minorHAnsi" w:hAnsiTheme="minorHAnsi"/>
          <w:sz w:val="20"/>
          <w:szCs w:val="20"/>
        </w:rPr>
        <w:t xml:space="preserve">multiple and intersecting forms of discrimination </w:t>
      </w:r>
      <w:r w:rsidR="00703A8E">
        <w:rPr>
          <w:rFonts w:asciiTheme="minorHAnsi" w:hAnsiTheme="minorHAnsi"/>
          <w:sz w:val="20"/>
          <w:szCs w:val="20"/>
        </w:rPr>
        <w:t>to which they are subject.</w:t>
      </w:r>
    </w:p>
    <w:p w14:paraId="7DD7630A" w14:textId="77777777" w:rsidR="00D17ED1" w:rsidRDefault="00D17ED1" w:rsidP="00D17ED1">
      <w:pPr>
        <w:spacing w:after="0" w:line="240" w:lineRule="auto"/>
        <w:ind w:left="720" w:hanging="720"/>
        <w:jc w:val="both"/>
        <w:rPr>
          <w:rFonts w:asciiTheme="minorHAnsi" w:hAnsiTheme="minorHAnsi"/>
          <w:sz w:val="20"/>
          <w:szCs w:val="20"/>
        </w:rPr>
      </w:pPr>
    </w:p>
    <w:p w14:paraId="4AFF68D3" w14:textId="4EA6DEAB" w:rsidR="00D17ED1" w:rsidRDefault="00703A8E" w:rsidP="00D17ED1">
      <w:pPr>
        <w:spacing w:after="0" w:line="240" w:lineRule="auto"/>
        <w:ind w:left="720" w:hanging="720"/>
        <w:jc w:val="both"/>
        <w:rPr>
          <w:rFonts w:asciiTheme="minorHAnsi" w:hAnsiTheme="minorHAnsi"/>
          <w:sz w:val="20"/>
          <w:szCs w:val="20"/>
        </w:rPr>
      </w:pPr>
      <w:r>
        <w:rPr>
          <w:rFonts w:asciiTheme="minorHAnsi" w:hAnsiTheme="minorHAnsi"/>
          <w:sz w:val="20"/>
          <w:szCs w:val="20"/>
        </w:rPr>
        <w:t>e)</w:t>
      </w:r>
      <w:r>
        <w:rPr>
          <w:rFonts w:asciiTheme="minorHAnsi" w:hAnsiTheme="minorHAnsi"/>
          <w:sz w:val="20"/>
          <w:szCs w:val="20"/>
        </w:rPr>
        <w:tab/>
        <w:t>P</w:t>
      </w:r>
      <w:r w:rsidR="00E36C58" w:rsidRPr="00D17ED1">
        <w:rPr>
          <w:rFonts w:asciiTheme="minorHAnsi" w:hAnsiTheme="minorHAnsi"/>
          <w:sz w:val="20"/>
          <w:szCs w:val="20"/>
        </w:rPr>
        <w:t>revention measures</w:t>
      </w:r>
      <w:r w:rsidR="00E36C58">
        <w:rPr>
          <w:rFonts w:asciiTheme="minorHAnsi" w:hAnsiTheme="minorHAnsi"/>
          <w:sz w:val="20"/>
          <w:szCs w:val="20"/>
        </w:rPr>
        <w:t xml:space="preserve"> </w:t>
      </w:r>
      <w:r>
        <w:rPr>
          <w:rFonts w:asciiTheme="minorHAnsi" w:hAnsiTheme="minorHAnsi"/>
          <w:sz w:val="20"/>
          <w:szCs w:val="20"/>
        </w:rPr>
        <w:t xml:space="preserve">must have at their centre </w:t>
      </w:r>
      <w:r w:rsidR="00E36C58" w:rsidRPr="00D17ED1">
        <w:rPr>
          <w:rFonts w:asciiTheme="minorHAnsi" w:hAnsiTheme="minorHAnsi"/>
          <w:sz w:val="20"/>
          <w:szCs w:val="20"/>
        </w:rPr>
        <w:t>both inter-gender and intra-gender inequality and discrimination</w:t>
      </w:r>
      <w:r w:rsidR="00357FB0">
        <w:rPr>
          <w:rFonts w:asciiTheme="minorHAnsi" w:hAnsiTheme="minorHAnsi"/>
          <w:sz w:val="20"/>
          <w:szCs w:val="20"/>
        </w:rPr>
        <w:t xml:space="preserve"> (</w:t>
      </w:r>
      <w:proofErr w:type="spellStart"/>
      <w:r w:rsidR="00357FB0">
        <w:rPr>
          <w:rFonts w:asciiTheme="minorHAnsi" w:hAnsiTheme="minorHAnsi"/>
          <w:sz w:val="20"/>
          <w:szCs w:val="20"/>
        </w:rPr>
        <w:t>Manjoo</w:t>
      </w:r>
      <w:proofErr w:type="spellEnd"/>
      <w:r w:rsidR="00357FB0">
        <w:rPr>
          <w:rFonts w:asciiTheme="minorHAnsi" w:hAnsiTheme="minorHAnsi"/>
          <w:sz w:val="20"/>
          <w:szCs w:val="20"/>
        </w:rPr>
        <w:t xml:space="preserve"> 2011)</w:t>
      </w:r>
      <w:r w:rsidR="00E36C58">
        <w:rPr>
          <w:rFonts w:asciiTheme="minorHAnsi" w:hAnsiTheme="minorHAnsi"/>
          <w:sz w:val="20"/>
          <w:szCs w:val="20"/>
        </w:rPr>
        <w:t>.</w:t>
      </w:r>
    </w:p>
    <w:p w14:paraId="43653999" w14:textId="77777777" w:rsidR="00D17ED1" w:rsidRDefault="00D17ED1" w:rsidP="00D17ED1">
      <w:pPr>
        <w:spacing w:after="0" w:line="240" w:lineRule="auto"/>
        <w:ind w:left="720" w:hanging="720"/>
        <w:jc w:val="both"/>
        <w:rPr>
          <w:rFonts w:asciiTheme="minorHAnsi" w:hAnsiTheme="minorHAnsi"/>
          <w:sz w:val="20"/>
          <w:szCs w:val="20"/>
        </w:rPr>
      </w:pPr>
    </w:p>
    <w:p w14:paraId="57AF3A7E" w14:textId="19EABEA6" w:rsidR="00D17ED1" w:rsidRPr="00D17ED1" w:rsidRDefault="005E5C90" w:rsidP="00E36C58">
      <w:pPr>
        <w:spacing w:after="0" w:line="240" w:lineRule="auto"/>
        <w:ind w:left="720" w:hanging="720"/>
        <w:jc w:val="both"/>
        <w:rPr>
          <w:rFonts w:asciiTheme="minorHAnsi" w:hAnsiTheme="minorHAnsi"/>
          <w:sz w:val="20"/>
          <w:szCs w:val="20"/>
        </w:rPr>
      </w:pPr>
      <w:r>
        <w:rPr>
          <w:rFonts w:asciiTheme="minorHAnsi" w:hAnsiTheme="minorHAnsi"/>
          <w:sz w:val="20"/>
          <w:szCs w:val="20"/>
        </w:rPr>
        <w:t>f)</w:t>
      </w:r>
      <w:r>
        <w:rPr>
          <w:rFonts w:asciiTheme="minorHAnsi" w:hAnsiTheme="minorHAnsi"/>
          <w:sz w:val="20"/>
          <w:szCs w:val="20"/>
        </w:rPr>
        <w:tab/>
        <w:t>P</w:t>
      </w:r>
      <w:r w:rsidR="00E36C58" w:rsidRPr="00D17ED1">
        <w:rPr>
          <w:rFonts w:asciiTheme="minorHAnsi" w:hAnsiTheme="minorHAnsi"/>
          <w:sz w:val="20"/>
          <w:szCs w:val="20"/>
        </w:rPr>
        <w:t>revention measures</w:t>
      </w:r>
      <w:r w:rsidR="00E36C58">
        <w:rPr>
          <w:rFonts w:asciiTheme="minorHAnsi" w:hAnsiTheme="minorHAnsi"/>
          <w:sz w:val="20"/>
          <w:szCs w:val="20"/>
        </w:rPr>
        <w:t xml:space="preserve"> </w:t>
      </w:r>
      <w:r>
        <w:rPr>
          <w:rFonts w:asciiTheme="minorHAnsi" w:hAnsiTheme="minorHAnsi"/>
          <w:sz w:val="20"/>
          <w:szCs w:val="20"/>
        </w:rPr>
        <w:t xml:space="preserve">connect the </w:t>
      </w:r>
      <w:r w:rsidR="00D17ED1" w:rsidRPr="00D17ED1">
        <w:rPr>
          <w:rFonts w:asciiTheme="minorHAnsi" w:hAnsiTheme="minorHAnsi"/>
          <w:sz w:val="20"/>
          <w:szCs w:val="20"/>
        </w:rPr>
        <w:t>causes and consequences</w:t>
      </w:r>
      <w:r w:rsidRPr="005E5C90">
        <w:rPr>
          <w:rFonts w:asciiTheme="minorHAnsi" w:hAnsiTheme="minorHAnsi"/>
          <w:sz w:val="20"/>
          <w:szCs w:val="20"/>
        </w:rPr>
        <w:t xml:space="preserve"> </w:t>
      </w:r>
      <w:r>
        <w:rPr>
          <w:rFonts w:asciiTheme="minorHAnsi" w:hAnsiTheme="minorHAnsi"/>
          <w:sz w:val="20"/>
          <w:szCs w:val="20"/>
        </w:rPr>
        <w:t xml:space="preserve">of </w:t>
      </w:r>
      <w:r w:rsidRPr="00D17ED1">
        <w:rPr>
          <w:rFonts w:asciiTheme="minorHAnsi" w:hAnsiTheme="minorHAnsi"/>
          <w:sz w:val="20"/>
          <w:szCs w:val="20"/>
        </w:rPr>
        <w:t>violence against women</w:t>
      </w:r>
      <w:r w:rsidR="00D17ED1" w:rsidRPr="00D17ED1">
        <w:rPr>
          <w:rFonts w:asciiTheme="minorHAnsi" w:hAnsiTheme="minorHAnsi"/>
          <w:sz w:val="20"/>
          <w:szCs w:val="20"/>
        </w:rPr>
        <w:t xml:space="preserve"> </w:t>
      </w:r>
      <w:r>
        <w:rPr>
          <w:rFonts w:asciiTheme="minorHAnsi" w:hAnsiTheme="minorHAnsi"/>
          <w:sz w:val="20"/>
          <w:szCs w:val="20"/>
        </w:rPr>
        <w:t xml:space="preserve">with the </w:t>
      </w:r>
      <w:r w:rsidR="00D17ED1" w:rsidRPr="00D17ED1">
        <w:rPr>
          <w:rFonts w:asciiTheme="minorHAnsi" w:hAnsiTheme="minorHAnsi"/>
          <w:sz w:val="20"/>
          <w:szCs w:val="20"/>
        </w:rPr>
        <w:t>multiple and inter</w:t>
      </w:r>
      <w:r>
        <w:rPr>
          <w:rFonts w:asciiTheme="minorHAnsi" w:hAnsiTheme="minorHAnsi"/>
          <w:sz w:val="20"/>
          <w:szCs w:val="20"/>
        </w:rPr>
        <w:t>secting forms of discrimination.</w:t>
      </w:r>
    </w:p>
    <w:p w14:paraId="117F3209" w14:textId="77777777" w:rsidR="00D17ED1" w:rsidRPr="00D17ED1" w:rsidRDefault="00D17ED1" w:rsidP="00D17ED1">
      <w:pPr>
        <w:spacing w:after="0" w:line="240" w:lineRule="auto"/>
        <w:jc w:val="both"/>
        <w:rPr>
          <w:rFonts w:asciiTheme="minorHAnsi" w:hAnsiTheme="minorHAnsi"/>
          <w:sz w:val="20"/>
          <w:szCs w:val="20"/>
        </w:rPr>
      </w:pPr>
    </w:p>
    <w:p w14:paraId="4077D1FD" w14:textId="42E02734" w:rsidR="00E3569F" w:rsidRPr="00D17ED1" w:rsidRDefault="00E36C58" w:rsidP="00E36C58">
      <w:pPr>
        <w:spacing w:after="0" w:line="240" w:lineRule="auto"/>
        <w:ind w:left="720" w:hanging="720"/>
        <w:jc w:val="both"/>
        <w:rPr>
          <w:rFonts w:asciiTheme="minorHAnsi" w:hAnsiTheme="minorHAnsi"/>
          <w:sz w:val="20"/>
          <w:szCs w:val="20"/>
        </w:rPr>
      </w:pPr>
      <w:r>
        <w:rPr>
          <w:rFonts w:asciiTheme="minorHAnsi" w:hAnsiTheme="minorHAnsi"/>
          <w:sz w:val="20"/>
          <w:szCs w:val="20"/>
        </w:rPr>
        <w:t>g)</w:t>
      </w:r>
      <w:r>
        <w:rPr>
          <w:rFonts w:asciiTheme="minorHAnsi" w:hAnsiTheme="minorHAnsi"/>
          <w:sz w:val="20"/>
          <w:szCs w:val="20"/>
        </w:rPr>
        <w:tab/>
      </w:r>
      <w:r w:rsidR="00AD79A9">
        <w:rPr>
          <w:rFonts w:asciiTheme="minorHAnsi" w:hAnsiTheme="minorHAnsi"/>
          <w:sz w:val="20"/>
          <w:szCs w:val="20"/>
        </w:rPr>
        <w:t>Recognise t</w:t>
      </w:r>
      <w:r w:rsidR="005E5C90">
        <w:rPr>
          <w:rFonts w:asciiTheme="minorHAnsi" w:hAnsiTheme="minorHAnsi"/>
          <w:sz w:val="20"/>
          <w:szCs w:val="20"/>
        </w:rPr>
        <w:t xml:space="preserve">hat </w:t>
      </w:r>
      <w:r w:rsidR="005E5C90" w:rsidRPr="00D17ED1">
        <w:rPr>
          <w:rFonts w:asciiTheme="minorHAnsi" w:hAnsiTheme="minorHAnsi"/>
          <w:sz w:val="20"/>
          <w:szCs w:val="20"/>
        </w:rPr>
        <w:t xml:space="preserve">multifaceted </w:t>
      </w:r>
      <w:r w:rsidR="005E5C90">
        <w:rPr>
          <w:rFonts w:asciiTheme="minorHAnsi" w:hAnsiTheme="minorHAnsi"/>
          <w:sz w:val="20"/>
          <w:szCs w:val="20"/>
        </w:rPr>
        <w:t xml:space="preserve">prevention </w:t>
      </w:r>
      <w:r w:rsidR="005E5C90" w:rsidRPr="00D17ED1">
        <w:rPr>
          <w:rFonts w:asciiTheme="minorHAnsi" w:hAnsiTheme="minorHAnsi"/>
          <w:sz w:val="20"/>
          <w:szCs w:val="20"/>
        </w:rPr>
        <w:t>strategies and measures</w:t>
      </w:r>
      <w:r w:rsidR="005E5C90">
        <w:rPr>
          <w:rFonts w:asciiTheme="minorHAnsi" w:hAnsiTheme="minorHAnsi"/>
          <w:sz w:val="20"/>
          <w:szCs w:val="20"/>
        </w:rPr>
        <w:t xml:space="preserve"> (</w:t>
      </w:r>
      <w:r w:rsidR="005E5C90" w:rsidRPr="00285A83">
        <w:rPr>
          <w:rFonts w:asciiTheme="minorHAnsi" w:hAnsiTheme="minorHAnsi"/>
          <w:sz w:val="20"/>
          <w:szCs w:val="20"/>
        </w:rPr>
        <w:t>UN Women</w:t>
      </w:r>
      <w:r w:rsidR="005E5C90">
        <w:rPr>
          <w:rFonts w:asciiTheme="minorHAnsi" w:hAnsiTheme="minorHAnsi"/>
          <w:sz w:val="20"/>
          <w:szCs w:val="20"/>
        </w:rPr>
        <w:t xml:space="preserve"> et al 2012) are required in order to address</w:t>
      </w:r>
      <w:r w:rsidR="0057090E" w:rsidRPr="00D17ED1">
        <w:rPr>
          <w:rFonts w:asciiTheme="minorHAnsi" w:hAnsiTheme="minorHAnsi"/>
          <w:sz w:val="20"/>
          <w:szCs w:val="20"/>
        </w:rPr>
        <w:t xml:space="preserve"> </w:t>
      </w:r>
      <w:r w:rsidR="005E5C90">
        <w:rPr>
          <w:rFonts w:asciiTheme="minorHAnsi" w:hAnsiTheme="minorHAnsi"/>
          <w:sz w:val="20"/>
          <w:szCs w:val="20"/>
        </w:rPr>
        <w:t xml:space="preserve">the </w:t>
      </w:r>
      <w:r w:rsidR="0057090E" w:rsidRPr="00D17ED1">
        <w:rPr>
          <w:rFonts w:asciiTheme="minorHAnsi" w:hAnsiTheme="minorHAnsi"/>
          <w:sz w:val="20"/>
          <w:szCs w:val="20"/>
        </w:rPr>
        <w:t>multiplicity of forms of violence against women as well as the fact that violence frequently occurs at the intersection of dif</w:t>
      </w:r>
      <w:r w:rsidR="005E5C90">
        <w:rPr>
          <w:rFonts w:asciiTheme="minorHAnsi" w:hAnsiTheme="minorHAnsi"/>
          <w:sz w:val="20"/>
          <w:szCs w:val="20"/>
        </w:rPr>
        <w:t>ferent types of discrimination.</w:t>
      </w:r>
    </w:p>
    <w:p w14:paraId="4FBF9FD1" w14:textId="77777777" w:rsidR="00E3569F" w:rsidRDefault="00E3569F" w:rsidP="00D17ED1">
      <w:pPr>
        <w:spacing w:after="0" w:line="240" w:lineRule="auto"/>
        <w:jc w:val="both"/>
        <w:rPr>
          <w:rFonts w:asciiTheme="minorHAnsi" w:hAnsiTheme="minorHAnsi"/>
          <w:sz w:val="20"/>
          <w:szCs w:val="20"/>
        </w:rPr>
      </w:pPr>
    </w:p>
    <w:p w14:paraId="60727F4A" w14:textId="1BC113FA" w:rsidR="00E36C58" w:rsidRPr="00D17ED1" w:rsidRDefault="00E36C58" w:rsidP="00E36C58">
      <w:pPr>
        <w:spacing w:after="0" w:line="240" w:lineRule="auto"/>
        <w:ind w:left="720" w:hanging="720"/>
        <w:jc w:val="both"/>
        <w:rPr>
          <w:rFonts w:asciiTheme="minorHAnsi" w:hAnsiTheme="minorHAnsi"/>
          <w:sz w:val="20"/>
          <w:szCs w:val="20"/>
        </w:rPr>
      </w:pPr>
      <w:r>
        <w:rPr>
          <w:rFonts w:asciiTheme="minorHAnsi" w:hAnsiTheme="minorHAnsi"/>
          <w:sz w:val="20"/>
          <w:szCs w:val="20"/>
        </w:rPr>
        <w:t>h)</w:t>
      </w:r>
      <w:r>
        <w:rPr>
          <w:rFonts w:asciiTheme="minorHAnsi" w:hAnsiTheme="minorHAnsi"/>
          <w:sz w:val="20"/>
          <w:szCs w:val="20"/>
        </w:rPr>
        <w:tab/>
      </w:r>
      <w:r w:rsidR="00AD79A9">
        <w:rPr>
          <w:rFonts w:asciiTheme="minorHAnsi" w:hAnsiTheme="minorHAnsi"/>
          <w:sz w:val="20"/>
          <w:szCs w:val="20"/>
        </w:rPr>
        <w:t>Ensure p</w:t>
      </w:r>
      <w:r w:rsidRPr="00D17ED1">
        <w:rPr>
          <w:rFonts w:asciiTheme="minorHAnsi" w:hAnsiTheme="minorHAnsi"/>
          <w:sz w:val="20"/>
          <w:szCs w:val="20"/>
        </w:rPr>
        <w:t>revention activit</w:t>
      </w:r>
      <w:r>
        <w:rPr>
          <w:rFonts w:asciiTheme="minorHAnsi" w:hAnsiTheme="minorHAnsi"/>
          <w:sz w:val="20"/>
          <w:szCs w:val="20"/>
        </w:rPr>
        <w:t>ies</w:t>
      </w:r>
      <w:r w:rsidRPr="00D17ED1">
        <w:rPr>
          <w:rFonts w:asciiTheme="minorHAnsi" w:hAnsiTheme="minorHAnsi"/>
          <w:sz w:val="20"/>
          <w:szCs w:val="20"/>
        </w:rPr>
        <w:t xml:space="preserve"> </w:t>
      </w:r>
      <w:r w:rsidR="005E5C90">
        <w:rPr>
          <w:rFonts w:asciiTheme="minorHAnsi" w:hAnsiTheme="minorHAnsi"/>
          <w:sz w:val="20"/>
          <w:szCs w:val="20"/>
        </w:rPr>
        <w:t xml:space="preserve">include positive obligations </w:t>
      </w:r>
      <w:r w:rsidRPr="00D17ED1">
        <w:rPr>
          <w:rFonts w:asciiTheme="minorHAnsi" w:hAnsiTheme="minorHAnsi"/>
          <w:sz w:val="20"/>
          <w:szCs w:val="20"/>
        </w:rPr>
        <w:t xml:space="preserve">– beyond awareness-raising, education, training and sensitisation of the media – to include </w:t>
      </w:r>
      <w:r w:rsidR="005E5C90">
        <w:rPr>
          <w:rFonts w:asciiTheme="minorHAnsi" w:hAnsiTheme="minorHAnsi"/>
          <w:sz w:val="20"/>
          <w:szCs w:val="20"/>
        </w:rPr>
        <w:t>Government</w:t>
      </w:r>
      <w:r w:rsidRPr="00D17ED1">
        <w:rPr>
          <w:rFonts w:asciiTheme="minorHAnsi" w:hAnsiTheme="minorHAnsi"/>
          <w:sz w:val="20"/>
          <w:szCs w:val="20"/>
        </w:rPr>
        <w:t xml:space="preserve"> policy and legislative reforms to promote gender equality across all sectors and jurisdictions.</w:t>
      </w:r>
    </w:p>
    <w:p w14:paraId="0101D9B6" w14:textId="77777777" w:rsidR="00E36C58" w:rsidRPr="00D17ED1" w:rsidRDefault="00E36C58" w:rsidP="00E36C58">
      <w:pPr>
        <w:spacing w:after="0" w:line="240" w:lineRule="auto"/>
        <w:jc w:val="both"/>
        <w:rPr>
          <w:rFonts w:asciiTheme="minorHAnsi" w:hAnsiTheme="minorHAnsi" w:cs="Calibri"/>
          <w:bCs/>
          <w:sz w:val="20"/>
          <w:szCs w:val="20"/>
          <w:lang w:eastAsia="en-AU"/>
        </w:rPr>
      </w:pPr>
    </w:p>
    <w:p w14:paraId="3F09D928" w14:textId="3DCCB11A" w:rsidR="00E36C58" w:rsidRPr="00D17ED1" w:rsidRDefault="00E36C58" w:rsidP="00E36C58">
      <w:pPr>
        <w:spacing w:after="0" w:line="240" w:lineRule="auto"/>
        <w:ind w:left="720" w:hanging="720"/>
        <w:jc w:val="both"/>
        <w:rPr>
          <w:rFonts w:asciiTheme="minorHAnsi" w:hAnsiTheme="minorHAnsi"/>
          <w:sz w:val="20"/>
          <w:szCs w:val="20"/>
        </w:rPr>
      </w:pPr>
      <w:proofErr w:type="spellStart"/>
      <w:r>
        <w:rPr>
          <w:rFonts w:asciiTheme="minorHAnsi" w:hAnsiTheme="minorHAnsi"/>
          <w:sz w:val="20"/>
          <w:szCs w:val="20"/>
        </w:rPr>
        <w:t>i</w:t>
      </w:r>
      <w:proofErr w:type="spellEnd"/>
      <w:r>
        <w:rPr>
          <w:rFonts w:asciiTheme="minorHAnsi" w:hAnsiTheme="minorHAnsi"/>
          <w:sz w:val="20"/>
          <w:szCs w:val="20"/>
        </w:rPr>
        <w:t>)</w:t>
      </w:r>
      <w:r>
        <w:rPr>
          <w:rFonts w:asciiTheme="minorHAnsi" w:hAnsiTheme="minorHAnsi"/>
          <w:sz w:val="20"/>
          <w:szCs w:val="20"/>
        </w:rPr>
        <w:tab/>
      </w:r>
      <w:r w:rsidR="00AD79A9">
        <w:rPr>
          <w:rFonts w:asciiTheme="minorHAnsi" w:hAnsiTheme="minorHAnsi"/>
          <w:sz w:val="20"/>
          <w:szCs w:val="20"/>
        </w:rPr>
        <w:t>Include women with disabilities</w:t>
      </w:r>
      <w:r w:rsidR="005E5C90">
        <w:rPr>
          <w:rFonts w:asciiTheme="minorHAnsi" w:hAnsiTheme="minorHAnsi"/>
          <w:sz w:val="20"/>
          <w:szCs w:val="20"/>
        </w:rPr>
        <w:t xml:space="preserve"> at the centre of the </w:t>
      </w:r>
      <w:r w:rsidR="00A4604B">
        <w:rPr>
          <w:rFonts w:asciiTheme="minorHAnsi" w:hAnsiTheme="minorHAnsi"/>
          <w:sz w:val="20"/>
          <w:szCs w:val="20"/>
        </w:rPr>
        <w:t xml:space="preserve">planning and </w:t>
      </w:r>
      <w:r w:rsidR="005E5C90">
        <w:rPr>
          <w:rFonts w:asciiTheme="minorHAnsi" w:hAnsiTheme="minorHAnsi"/>
          <w:sz w:val="20"/>
          <w:szCs w:val="20"/>
        </w:rPr>
        <w:t>development of p</w:t>
      </w:r>
      <w:r w:rsidR="005E5C90" w:rsidRPr="00D17ED1">
        <w:rPr>
          <w:rFonts w:asciiTheme="minorHAnsi" w:hAnsiTheme="minorHAnsi"/>
          <w:sz w:val="20"/>
          <w:szCs w:val="20"/>
        </w:rPr>
        <w:t xml:space="preserve">revention measures </w:t>
      </w:r>
      <w:r w:rsidR="005E5C90">
        <w:rPr>
          <w:rFonts w:asciiTheme="minorHAnsi" w:hAnsiTheme="minorHAnsi"/>
          <w:sz w:val="20"/>
          <w:szCs w:val="20"/>
        </w:rPr>
        <w:t xml:space="preserve">and </w:t>
      </w:r>
      <w:r w:rsidR="005E5C90" w:rsidRPr="00D17ED1">
        <w:rPr>
          <w:rFonts w:asciiTheme="minorHAnsi" w:hAnsiTheme="minorHAnsi"/>
          <w:sz w:val="20"/>
          <w:szCs w:val="20"/>
        </w:rPr>
        <w:t xml:space="preserve">activities that best address their particular needs and rights in relation to violence in their specific contexts and settings. </w:t>
      </w:r>
      <w:r w:rsidR="005E5C90">
        <w:rPr>
          <w:rFonts w:asciiTheme="minorHAnsi" w:hAnsiTheme="minorHAnsi"/>
          <w:sz w:val="20"/>
          <w:szCs w:val="20"/>
        </w:rPr>
        <w:t xml:space="preserve"> </w:t>
      </w:r>
    </w:p>
    <w:p w14:paraId="77DCBCA7" w14:textId="77777777" w:rsidR="00E36C58" w:rsidRPr="00D17ED1" w:rsidRDefault="00E36C58" w:rsidP="00E36C58">
      <w:pPr>
        <w:pStyle w:val="NoSpacing"/>
        <w:jc w:val="both"/>
        <w:rPr>
          <w:rFonts w:asciiTheme="minorHAnsi" w:hAnsiTheme="minorHAnsi"/>
          <w:sz w:val="20"/>
          <w:szCs w:val="20"/>
        </w:rPr>
      </w:pPr>
    </w:p>
    <w:p w14:paraId="2E6C1DE5" w14:textId="0318DA3A" w:rsidR="00227BF3" w:rsidRPr="00D17ED1" w:rsidRDefault="00E36C58" w:rsidP="00E36C58">
      <w:pPr>
        <w:pStyle w:val="NoSpacing"/>
        <w:ind w:left="720" w:hanging="720"/>
        <w:jc w:val="both"/>
        <w:rPr>
          <w:rFonts w:asciiTheme="minorHAnsi" w:hAnsiTheme="minorHAnsi"/>
          <w:sz w:val="20"/>
          <w:szCs w:val="20"/>
        </w:rPr>
      </w:pPr>
      <w:r>
        <w:rPr>
          <w:rFonts w:asciiTheme="minorHAnsi" w:hAnsiTheme="minorHAnsi"/>
          <w:sz w:val="20"/>
          <w:szCs w:val="20"/>
        </w:rPr>
        <w:t>j)</w:t>
      </w:r>
      <w:r>
        <w:rPr>
          <w:rFonts w:asciiTheme="minorHAnsi" w:hAnsiTheme="minorHAnsi"/>
          <w:sz w:val="20"/>
          <w:szCs w:val="20"/>
        </w:rPr>
        <w:tab/>
      </w:r>
      <w:r w:rsidR="00AD79A9">
        <w:rPr>
          <w:rFonts w:asciiTheme="minorHAnsi" w:hAnsiTheme="minorHAnsi"/>
          <w:sz w:val="20"/>
          <w:szCs w:val="20"/>
        </w:rPr>
        <w:t>Ensure that mechanisms</w:t>
      </w:r>
      <w:r w:rsidR="0025183A">
        <w:rPr>
          <w:rFonts w:asciiTheme="minorHAnsi" w:hAnsiTheme="minorHAnsi"/>
          <w:sz w:val="20"/>
          <w:szCs w:val="20"/>
        </w:rPr>
        <w:t xml:space="preserve"> include </w:t>
      </w:r>
      <w:r w:rsidR="00632BAC" w:rsidRPr="00D17ED1">
        <w:rPr>
          <w:rFonts w:asciiTheme="minorHAnsi" w:hAnsiTheme="minorHAnsi"/>
          <w:sz w:val="20"/>
          <w:szCs w:val="20"/>
        </w:rPr>
        <w:t xml:space="preserve">women with disabilities </w:t>
      </w:r>
      <w:r w:rsidR="00227BF3" w:rsidRPr="00D17ED1">
        <w:rPr>
          <w:rFonts w:asciiTheme="minorHAnsi" w:hAnsiTheme="minorHAnsi"/>
          <w:sz w:val="20"/>
          <w:szCs w:val="20"/>
        </w:rPr>
        <w:t>in the planning, implementation, evaluation and monitoring of all prevention efforts</w:t>
      </w:r>
      <w:r w:rsidR="00A4604B">
        <w:rPr>
          <w:rFonts w:asciiTheme="minorHAnsi" w:hAnsiTheme="minorHAnsi"/>
          <w:sz w:val="20"/>
          <w:szCs w:val="20"/>
        </w:rPr>
        <w:t xml:space="preserve"> including</w:t>
      </w:r>
      <w:r w:rsidR="00632BAC" w:rsidRPr="00D17ED1">
        <w:rPr>
          <w:rFonts w:asciiTheme="minorHAnsi" w:hAnsiTheme="minorHAnsi"/>
          <w:sz w:val="20"/>
          <w:szCs w:val="20"/>
        </w:rPr>
        <w:t xml:space="preserve"> at the governance level of the Framewor</w:t>
      </w:r>
      <w:r w:rsidR="00A4604B">
        <w:rPr>
          <w:rFonts w:asciiTheme="minorHAnsi" w:hAnsiTheme="minorHAnsi"/>
          <w:sz w:val="20"/>
          <w:szCs w:val="20"/>
        </w:rPr>
        <w:t xml:space="preserve">k itself and in localised </w:t>
      </w:r>
      <w:r w:rsidR="006B2676">
        <w:rPr>
          <w:rFonts w:asciiTheme="minorHAnsi" w:hAnsiTheme="minorHAnsi"/>
          <w:sz w:val="20"/>
          <w:szCs w:val="20"/>
        </w:rPr>
        <w:t xml:space="preserve">and specific </w:t>
      </w:r>
      <w:r w:rsidR="00A4604B">
        <w:rPr>
          <w:rFonts w:asciiTheme="minorHAnsi" w:hAnsiTheme="minorHAnsi"/>
          <w:sz w:val="20"/>
          <w:szCs w:val="20"/>
        </w:rPr>
        <w:t>activities.</w:t>
      </w:r>
    </w:p>
    <w:p w14:paraId="3929E769" w14:textId="77777777" w:rsidR="00632BAC" w:rsidRPr="00D17ED1" w:rsidRDefault="00632BAC" w:rsidP="00D17ED1">
      <w:pPr>
        <w:pStyle w:val="NoSpacing"/>
        <w:jc w:val="both"/>
        <w:rPr>
          <w:rFonts w:asciiTheme="minorHAnsi" w:hAnsiTheme="minorHAnsi"/>
          <w:sz w:val="20"/>
          <w:szCs w:val="20"/>
        </w:rPr>
      </w:pPr>
    </w:p>
    <w:p w14:paraId="5E4C27E6" w14:textId="4FA9F429" w:rsidR="00632BAC" w:rsidRPr="00D17ED1" w:rsidRDefault="00E36C58" w:rsidP="003357BA">
      <w:pPr>
        <w:pStyle w:val="NoSpacing"/>
        <w:ind w:left="720" w:hanging="720"/>
        <w:jc w:val="both"/>
        <w:rPr>
          <w:rFonts w:asciiTheme="minorHAnsi" w:hAnsiTheme="minorHAnsi"/>
          <w:sz w:val="20"/>
          <w:szCs w:val="20"/>
        </w:rPr>
      </w:pPr>
      <w:r>
        <w:rPr>
          <w:rFonts w:asciiTheme="minorHAnsi" w:hAnsiTheme="minorHAnsi"/>
          <w:sz w:val="20"/>
          <w:szCs w:val="20"/>
        </w:rPr>
        <w:t>k)</w:t>
      </w:r>
      <w:r>
        <w:rPr>
          <w:rFonts w:asciiTheme="minorHAnsi" w:hAnsiTheme="minorHAnsi"/>
          <w:sz w:val="20"/>
          <w:szCs w:val="20"/>
        </w:rPr>
        <w:tab/>
      </w:r>
      <w:r w:rsidR="00AD79A9">
        <w:rPr>
          <w:rFonts w:asciiTheme="minorHAnsi" w:hAnsiTheme="minorHAnsi"/>
          <w:sz w:val="20"/>
          <w:szCs w:val="20"/>
        </w:rPr>
        <w:t>A</w:t>
      </w:r>
      <w:r w:rsidR="0025183A">
        <w:rPr>
          <w:rFonts w:asciiTheme="minorHAnsi" w:hAnsiTheme="minorHAnsi"/>
          <w:sz w:val="20"/>
          <w:szCs w:val="20"/>
        </w:rPr>
        <w:t>void re-victimisation</w:t>
      </w:r>
      <w:r w:rsidR="00AD79A9">
        <w:rPr>
          <w:rFonts w:asciiTheme="minorHAnsi" w:hAnsiTheme="minorHAnsi"/>
          <w:sz w:val="20"/>
          <w:szCs w:val="20"/>
        </w:rPr>
        <w:t xml:space="preserve"> by ensuring that prevention measures</w:t>
      </w:r>
      <w:r w:rsidR="0025183A">
        <w:rPr>
          <w:rFonts w:asciiTheme="minorHAnsi" w:hAnsiTheme="minorHAnsi"/>
          <w:sz w:val="20"/>
          <w:szCs w:val="20"/>
        </w:rPr>
        <w:t xml:space="preserve"> </w:t>
      </w:r>
      <w:r>
        <w:rPr>
          <w:rFonts w:asciiTheme="minorHAnsi" w:hAnsiTheme="minorHAnsi"/>
          <w:sz w:val="20"/>
          <w:szCs w:val="20"/>
        </w:rPr>
        <w:t>p</w:t>
      </w:r>
      <w:r w:rsidR="00632BAC" w:rsidRPr="00D17ED1">
        <w:rPr>
          <w:rFonts w:asciiTheme="minorHAnsi" w:hAnsiTheme="minorHAnsi"/>
          <w:sz w:val="20"/>
          <w:szCs w:val="20"/>
        </w:rPr>
        <w:t xml:space="preserve">lace the human rights of </w:t>
      </w:r>
      <w:r w:rsidR="0025183A">
        <w:rPr>
          <w:rFonts w:asciiTheme="minorHAnsi" w:hAnsiTheme="minorHAnsi"/>
          <w:sz w:val="20"/>
          <w:szCs w:val="20"/>
        </w:rPr>
        <w:t xml:space="preserve">all victims at the centre </w:t>
      </w:r>
      <w:proofErr w:type="gramStart"/>
      <w:r w:rsidR="0025183A">
        <w:rPr>
          <w:rFonts w:asciiTheme="minorHAnsi" w:hAnsiTheme="minorHAnsi"/>
          <w:sz w:val="20"/>
          <w:szCs w:val="20"/>
        </w:rPr>
        <w:t xml:space="preserve">of </w:t>
      </w:r>
      <w:r w:rsidR="00632BAC" w:rsidRPr="00D17ED1">
        <w:rPr>
          <w:rFonts w:asciiTheme="minorHAnsi" w:hAnsiTheme="minorHAnsi"/>
          <w:sz w:val="20"/>
          <w:szCs w:val="20"/>
        </w:rPr>
        <w:t xml:space="preserve"> </w:t>
      </w:r>
      <w:r>
        <w:rPr>
          <w:rFonts w:asciiTheme="minorHAnsi" w:hAnsiTheme="minorHAnsi"/>
          <w:sz w:val="20"/>
          <w:szCs w:val="20"/>
        </w:rPr>
        <w:t>strategies</w:t>
      </w:r>
      <w:proofErr w:type="gramEnd"/>
      <w:r w:rsidR="00632BAC" w:rsidRPr="00D17ED1">
        <w:rPr>
          <w:rFonts w:asciiTheme="minorHAnsi" w:hAnsiTheme="minorHAnsi"/>
          <w:sz w:val="20"/>
          <w:szCs w:val="20"/>
        </w:rPr>
        <w:t xml:space="preserve"> to prevent violence against women</w:t>
      </w:r>
      <w:r w:rsidR="00357FB0">
        <w:rPr>
          <w:rFonts w:asciiTheme="minorHAnsi" w:hAnsiTheme="minorHAnsi"/>
          <w:sz w:val="20"/>
          <w:szCs w:val="20"/>
        </w:rPr>
        <w:t xml:space="preserve"> (Council of Europe 2013)</w:t>
      </w:r>
      <w:r w:rsidR="00632BAC" w:rsidRPr="00D17ED1">
        <w:rPr>
          <w:rFonts w:asciiTheme="minorHAnsi" w:hAnsiTheme="minorHAnsi"/>
          <w:sz w:val="20"/>
          <w:szCs w:val="20"/>
        </w:rPr>
        <w:t>.</w:t>
      </w:r>
    </w:p>
    <w:p w14:paraId="4B4C74B9" w14:textId="53C443D8" w:rsidR="005C2DAA" w:rsidRPr="005C2DAA" w:rsidRDefault="005C2DAA" w:rsidP="003357BA">
      <w:pPr>
        <w:pStyle w:val="Heading2"/>
        <w:rPr>
          <w:b w:val="0"/>
        </w:rPr>
      </w:pPr>
      <w:bookmarkStart w:id="14" w:name="_Toc410646575"/>
      <w:r w:rsidRPr="005C2DAA">
        <w:t>5.</w:t>
      </w:r>
      <w:r>
        <w:t>3</w:t>
      </w:r>
      <w:r w:rsidRPr="005C2DAA">
        <w:t>.</w:t>
      </w:r>
      <w:r w:rsidRPr="005C2DAA">
        <w:tab/>
      </w:r>
      <w:r>
        <w:t>Governance</w:t>
      </w:r>
      <w:r w:rsidRPr="005C2DAA">
        <w:t xml:space="preserve"> </w:t>
      </w:r>
      <w:r w:rsidR="009B7737">
        <w:t>and Coordination</w:t>
      </w:r>
      <w:bookmarkEnd w:id="14"/>
    </w:p>
    <w:p w14:paraId="1BB2DF8E" w14:textId="58E4B8F7" w:rsidR="009F4B65" w:rsidRDefault="0090674C" w:rsidP="005B651A">
      <w:pPr>
        <w:pStyle w:val="NoSpacing"/>
        <w:jc w:val="both"/>
        <w:rPr>
          <w:rFonts w:asciiTheme="minorHAnsi" w:hAnsiTheme="minorHAnsi"/>
          <w:sz w:val="20"/>
          <w:szCs w:val="20"/>
        </w:rPr>
      </w:pPr>
      <w:r>
        <w:rPr>
          <w:rFonts w:asciiTheme="minorHAnsi" w:hAnsiTheme="minorHAnsi"/>
          <w:sz w:val="20"/>
          <w:szCs w:val="20"/>
        </w:rPr>
        <w:t>Effective prevention frameworks to address violence against women, clearly articulate that essential, strategic, coherent and co-ordinated multi-sectoral and interagency interventions are required to effectively prevent and address violence against women. They also have institutional mechanisms to monitor and assess implementation of such Frameworks, which includes monitoring and assessing the implementation and effectiveness of relevant laws, policies and other programs to address violence against women. International research has found that to date, most countries vest the responsibility for governance and coordination of violence prevention frameworks and plans, with one national mechanism, most typically Ministries and/or Government Departments for Women (</w:t>
      </w:r>
      <w:r w:rsidRPr="0090674C">
        <w:rPr>
          <w:rFonts w:asciiTheme="minorHAnsi" w:hAnsiTheme="minorHAnsi"/>
          <w:sz w:val="20"/>
          <w:szCs w:val="20"/>
        </w:rPr>
        <w:t>Abdul Aziz</w:t>
      </w:r>
      <w:r>
        <w:rPr>
          <w:rFonts w:asciiTheme="minorHAnsi" w:hAnsiTheme="minorHAnsi"/>
          <w:sz w:val="20"/>
          <w:szCs w:val="20"/>
        </w:rPr>
        <w:t xml:space="preserve"> &amp; </w:t>
      </w:r>
      <w:r w:rsidRPr="0090674C">
        <w:rPr>
          <w:rFonts w:asciiTheme="minorHAnsi" w:hAnsiTheme="minorHAnsi"/>
          <w:sz w:val="20"/>
          <w:szCs w:val="20"/>
        </w:rPr>
        <w:t>Moussa</w:t>
      </w:r>
      <w:r>
        <w:rPr>
          <w:rFonts w:asciiTheme="minorHAnsi" w:hAnsiTheme="minorHAnsi"/>
          <w:sz w:val="20"/>
          <w:szCs w:val="20"/>
        </w:rPr>
        <w:t xml:space="preserve"> 2014). However, research has found that there is a risk in this approach, in that other agencies and sectors may not prioritise implementation of violence prevention measures and strategies, or allocate sufficient resources to the violence prevention task (</w:t>
      </w:r>
      <w:r w:rsidRPr="0090674C">
        <w:rPr>
          <w:rFonts w:asciiTheme="minorHAnsi" w:hAnsiTheme="minorHAnsi"/>
          <w:sz w:val="20"/>
          <w:szCs w:val="20"/>
        </w:rPr>
        <w:t>Abdul Aziz</w:t>
      </w:r>
      <w:r>
        <w:rPr>
          <w:rFonts w:asciiTheme="minorHAnsi" w:hAnsiTheme="minorHAnsi"/>
          <w:sz w:val="20"/>
          <w:szCs w:val="20"/>
        </w:rPr>
        <w:t xml:space="preserve"> &amp; </w:t>
      </w:r>
      <w:r w:rsidRPr="0090674C">
        <w:rPr>
          <w:rFonts w:asciiTheme="minorHAnsi" w:hAnsiTheme="minorHAnsi"/>
          <w:sz w:val="20"/>
          <w:szCs w:val="20"/>
        </w:rPr>
        <w:t>Moussa</w:t>
      </w:r>
      <w:r>
        <w:rPr>
          <w:rFonts w:asciiTheme="minorHAnsi" w:hAnsiTheme="minorHAnsi"/>
          <w:sz w:val="20"/>
          <w:szCs w:val="20"/>
        </w:rPr>
        <w:t xml:space="preserve"> 2014).    </w:t>
      </w:r>
    </w:p>
    <w:p w14:paraId="38371032" w14:textId="77777777" w:rsidR="009F4B65" w:rsidRDefault="009F4B65" w:rsidP="005B651A">
      <w:pPr>
        <w:pStyle w:val="NoSpacing"/>
        <w:jc w:val="both"/>
        <w:rPr>
          <w:rFonts w:asciiTheme="minorHAnsi" w:hAnsiTheme="minorHAnsi"/>
          <w:sz w:val="20"/>
          <w:szCs w:val="20"/>
        </w:rPr>
      </w:pPr>
    </w:p>
    <w:p w14:paraId="4CBE3D1A" w14:textId="692C8358" w:rsidR="0090674C" w:rsidRDefault="0090674C" w:rsidP="005B651A">
      <w:pPr>
        <w:pStyle w:val="NoSpacing"/>
        <w:jc w:val="both"/>
        <w:rPr>
          <w:rFonts w:asciiTheme="minorHAnsi" w:hAnsiTheme="minorHAnsi"/>
          <w:sz w:val="20"/>
          <w:szCs w:val="20"/>
        </w:rPr>
      </w:pPr>
      <w:r>
        <w:rPr>
          <w:rFonts w:asciiTheme="minorHAnsi" w:hAnsiTheme="minorHAnsi"/>
          <w:sz w:val="20"/>
          <w:szCs w:val="20"/>
        </w:rPr>
        <w:t xml:space="preserve">To ensure the </w:t>
      </w:r>
      <w:r w:rsidRPr="003A3A5D">
        <w:rPr>
          <w:rFonts w:asciiTheme="minorHAnsi" w:hAnsiTheme="minorHAnsi"/>
          <w:i/>
          <w:sz w:val="20"/>
          <w:szCs w:val="20"/>
        </w:rPr>
        <w:t>National Framework to Prevent Violence Against Women</w:t>
      </w:r>
      <w:r>
        <w:rPr>
          <w:rFonts w:asciiTheme="minorHAnsi" w:hAnsiTheme="minorHAnsi"/>
          <w:sz w:val="20"/>
          <w:szCs w:val="20"/>
        </w:rPr>
        <w:t xml:space="preserve"> is a </w:t>
      </w:r>
      <w:r w:rsidRPr="0090674C">
        <w:rPr>
          <w:rFonts w:asciiTheme="minorHAnsi" w:hAnsiTheme="minorHAnsi"/>
          <w:sz w:val="20"/>
          <w:szCs w:val="20"/>
        </w:rPr>
        <w:t xml:space="preserve">holistic, comprehensive, integrated framework, based on international human rights law; detailed enough to be rendered, effective and implementable; inclusive and reflective </w:t>
      </w:r>
      <w:r w:rsidR="005B651A">
        <w:rPr>
          <w:rFonts w:asciiTheme="minorHAnsi" w:hAnsiTheme="minorHAnsi"/>
          <w:sz w:val="20"/>
          <w:szCs w:val="20"/>
        </w:rPr>
        <w:t xml:space="preserve">of all forms of </w:t>
      </w:r>
      <w:r w:rsidR="004F7F76">
        <w:rPr>
          <w:rFonts w:asciiTheme="minorHAnsi" w:hAnsiTheme="minorHAnsi"/>
          <w:sz w:val="20"/>
          <w:szCs w:val="20"/>
        </w:rPr>
        <w:t xml:space="preserve">violence against women in the </w:t>
      </w:r>
      <w:r w:rsidR="004F7F76" w:rsidRPr="00407B8C">
        <w:rPr>
          <w:rFonts w:asciiTheme="minorHAnsi" w:hAnsiTheme="minorHAnsi"/>
          <w:sz w:val="20"/>
          <w:szCs w:val="20"/>
        </w:rPr>
        <w:t xml:space="preserve">context of individuals, households, </w:t>
      </w:r>
      <w:r w:rsidR="004F7F76">
        <w:rPr>
          <w:rFonts w:asciiTheme="minorHAnsi" w:hAnsiTheme="minorHAnsi"/>
          <w:sz w:val="20"/>
          <w:szCs w:val="20"/>
        </w:rPr>
        <w:t xml:space="preserve">settings, </w:t>
      </w:r>
      <w:r w:rsidR="004F7F76" w:rsidRPr="00407B8C">
        <w:rPr>
          <w:rFonts w:asciiTheme="minorHAnsi" w:hAnsiTheme="minorHAnsi"/>
          <w:sz w:val="20"/>
          <w:szCs w:val="20"/>
        </w:rPr>
        <w:t xml:space="preserve">communities </w:t>
      </w:r>
      <w:r w:rsidR="004F7F76">
        <w:rPr>
          <w:rFonts w:asciiTheme="minorHAnsi" w:hAnsiTheme="minorHAnsi"/>
          <w:sz w:val="20"/>
          <w:szCs w:val="20"/>
        </w:rPr>
        <w:t>and</w:t>
      </w:r>
      <w:r w:rsidR="004F7F76" w:rsidRPr="00407B8C">
        <w:rPr>
          <w:rFonts w:asciiTheme="minorHAnsi" w:hAnsiTheme="minorHAnsi"/>
          <w:sz w:val="20"/>
          <w:szCs w:val="20"/>
        </w:rPr>
        <w:t xml:space="preserve"> States</w:t>
      </w:r>
      <w:r w:rsidR="004F7F76">
        <w:rPr>
          <w:rFonts w:asciiTheme="minorHAnsi" w:hAnsiTheme="minorHAnsi"/>
          <w:sz w:val="20"/>
          <w:szCs w:val="20"/>
        </w:rPr>
        <w:t xml:space="preserve">, </w:t>
      </w:r>
      <w:r w:rsidRPr="0090674C">
        <w:rPr>
          <w:rFonts w:asciiTheme="minorHAnsi" w:hAnsiTheme="minorHAnsi"/>
          <w:sz w:val="20"/>
          <w:szCs w:val="20"/>
        </w:rPr>
        <w:t xml:space="preserve">and framed from the perspective of </w:t>
      </w:r>
      <w:r>
        <w:rPr>
          <w:rFonts w:asciiTheme="minorHAnsi" w:hAnsiTheme="minorHAnsi"/>
          <w:sz w:val="20"/>
          <w:szCs w:val="20"/>
        </w:rPr>
        <w:t>Australia’s international human rights obligations to prevent all forms of violence against women, the Framework should:</w:t>
      </w:r>
    </w:p>
    <w:p w14:paraId="1D70605B" w14:textId="77777777" w:rsidR="00632BAC" w:rsidRDefault="00632BAC" w:rsidP="005B651A">
      <w:pPr>
        <w:pStyle w:val="NoSpacing"/>
        <w:jc w:val="both"/>
        <w:rPr>
          <w:rFonts w:asciiTheme="minorHAnsi" w:hAnsiTheme="minorHAnsi"/>
          <w:sz w:val="20"/>
          <w:szCs w:val="20"/>
        </w:rPr>
      </w:pPr>
    </w:p>
    <w:p w14:paraId="1B859907" w14:textId="4DCE2E7F" w:rsidR="005B651A" w:rsidRDefault="005B651A" w:rsidP="00AD2BE0">
      <w:pPr>
        <w:pStyle w:val="NoSpacing"/>
        <w:numPr>
          <w:ilvl w:val="0"/>
          <w:numId w:val="13"/>
        </w:numPr>
        <w:jc w:val="both"/>
        <w:rPr>
          <w:rFonts w:asciiTheme="minorHAnsi" w:hAnsiTheme="minorHAnsi"/>
          <w:sz w:val="20"/>
          <w:szCs w:val="20"/>
        </w:rPr>
      </w:pPr>
      <w:r>
        <w:rPr>
          <w:rFonts w:asciiTheme="minorHAnsi" w:hAnsiTheme="minorHAnsi"/>
          <w:sz w:val="20"/>
          <w:szCs w:val="20"/>
        </w:rPr>
        <w:t>Be governed and monitored by an independent monitoring body made up of independent and qualified experts in the fields of human rights, gender equality, discrimination, violence against women, criminal law, and should include as a priority, representatives from relevant non-government and civil society organisations;</w:t>
      </w:r>
    </w:p>
    <w:p w14:paraId="62576518" w14:textId="77777777" w:rsidR="005B651A" w:rsidRDefault="005B651A" w:rsidP="005B651A">
      <w:pPr>
        <w:pStyle w:val="NoSpacing"/>
        <w:jc w:val="both"/>
        <w:rPr>
          <w:rFonts w:asciiTheme="minorHAnsi" w:hAnsiTheme="minorHAnsi"/>
          <w:sz w:val="20"/>
          <w:szCs w:val="20"/>
        </w:rPr>
      </w:pPr>
    </w:p>
    <w:p w14:paraId="6BB7BDBA" w14:textId="4AC34313" w:rsidR="005B651A" w:rsidRPr="00665138" w:rsidRDefault="005B651A" w:rsidP="005B651A">
      <w:pPr>
        <w:pStyle w:val="NoSpacing"/>
        <w:numPr>
          <w:ilvl w:val="0"/>
          <w:numId w:val="13"/>
        </w:numPr>
        <w:jc w:val="both"/>
        <w:rPr>
          <w:rFonts w:asciiTheme="minorHAnsi" w:hAnsiTheme="minorHAnsi"/>
          <w:sz w:val="20"/>
          <w:szCs w:val="20"/>
        </w:rPr>
      </w:pPr>
      <w:r w:rsidRPr="00665138">
        <w:rPr>
          <w:rFonts w:asciiTheme="minorHAnsi" w:hAnsiTheme="minorHAnsi"/>
          <w:sz w:val="20"/>
          <w:szCs w:val="20"/>
        </w:rPr>
        <w:t xml:space="preserve">Ensure that there is a mechanism within national and state/territory parliaments to </w:t>
      </w:r>
      <w:r w:rsidR="00AD2BE0" w:rsidRPr="00665138">
        <w:rPr>
          <w:rFonts w:asciiTheme="minorHAnsi" w:hAnsiTheme="minorHAnsi"/>
          <w:sz w:val="20"/>
          <w:szCs w:val="20"/>
        </w:rPr>
        <w:t xml:space="preserve">monitor the Framework, including its implementation and evaluation. This will help to ensure that the issue of violence against women remains on the political agenda and that legislative and policy reforms are recognised as a critical element of the violence prevention agenda.    </w:t>
      </w:r>
    </w:p>
    <w:p w14:paraId="585CFA1A" w14:textId="77777777" w:rsidR="00632BAC" w:rsidRDefault="00632BAC" w:rsidP="005B651A">
      <w:pPr>
        <w:pStyle w:val="NoSpacing"/>
        <w:jc w:val="both"/>
        <w:rPr>
          <w:rFonts w:asciiTheme="minorHAnsi" w:hAnsiTheme="minorHAnsi"/>
          <w:sz w:val="20"/>
          <w:szCs w:val="20"/>
        </w:rPr>
      </w:pPr>
    </w:p>
    <w:p w14:paraId="01F38D04" w14:textId="526741F4" w:rsidR="0030041F" w:rsidRDefault="0030041F">
      <w:pPr>
        <w:spacing w:after="0" w:line="240" w:lineRule="auto"/>
        <w:rPr>
          <w:rFonts w:asciiTheme="minorHAnsi" w:hAnsiTheme="minorHAnsi"/>
          <w:sz w:val="20"/>
          <w:szCs w:val="20"/>
        </w:rPr>
      </w:pPr>
      <w:r>
        <w:rPr>
          <w:rFonts w:asciiTheme="minorHAnsi" w:hAnsiTheme="minorHAnsi"/>
          <w:sz w:val="20"/>
          <w:szCs w:val="20"/>
        </w:rPr>
        <w:br w:type="page"/>
      </w:r>
    </w:p>
    <w:p w14:paraId="2D1D49D0" w14:textId="09FD1747" w:rsidR="0030041F" w:rsidRPr="007C3F60" w:rsidRDefault="0030041F" w:rsidP="003357BA">
      <w:pPr>
        <w:pStyle w:val="Heading1"/>
      </w:pPr>
      <w:bookmarkStart w:id="15" w:name="_Toc410646576"/>
      <w:r>
        <w:lastRenderedPageBreak/>
        <w:t>Reference List</w:t>
      </w:r>
      <w:bookmarkEnd w:id="15"/>
    </w:p>
    <w:p w14:paraId="57A58C20" w14:textId="77777777" w:rsidR="0030041F" w:rsidRPr="007C3F60" w:rsidRDefault="0030041F" w:rsidP="0030041F">
      <w:pPr>
        <w:pBdr>
          <w:bottom w:val="single" w:sz="12" w:space="1" w:color="auto"/>
        </w:pBdr>
        <w:spacing w:after="0" w:line="240" w:lineRule="auto"/>
        <w:rPr>
          <w:rFonts w:asciiTheme="minorHAnsi" w:hAnsiTheme="minorHAnsi"/>
          <w:sz w:val="16"/>
          <w:szCs w:val="16"/>
        </w:rPr>
      </w:pPr>
    </w:p>
    <w:p w14:paraId="04FD801F" w14:textId="77777777" w:rsidR="0030041F" w:rsidRPr="00722E63" w:rsidRDefault="0030041F" w:rsidP="004E3374">
      <w:pPr>
        <w:spacing w:after="0" w:line="240" w:lineRule="auto"/>
        <w:jc w:val="both"/>
        <w:rPr>
          <w:rFonts w:asciiTheme="minorHAnsi" w:hAnsiTheme="minorHAnsi"/>
          <w:sz w:val="20"/>
          <w:szCs w:val="20"/>
        </w:rPr>
      </w:pPr>
    </w:p>
    <w:p w14:paraId="4A3DDF65" w14:textId="20A74A51" w:rsidR="0090674C" w:rsidRDefault="0090674C" w:rsidP="00832518">
      <w:pPr>
        <w:spacing w:after="0" w:line="240" w:lineRule="auto"/>
        <w:ind w:left="142" w:hanging="142"/>
        <w:rPr>
          <w:rFonts w:asciiTheme="minorHAnsi" w:hAnsiTheme="minorHAnsi"/>
          <w:sz w:val="20"/>
          <w:szCs w:val="20"/>
        </w:rPr>
      </w:pPr>
      <w:r w:rsidRPr="0090674C">
        <w:rPr>
          <w:rFonts w:asciiTheme="minorHAnsi" w:hAnsiTheme="minorHAnsi"/>
          <w:sz w:val="20"/>
          <w:szCs w:val="20"/>
        </w:rPr>
        <w:t>Abdul Aziz</w:t>
      </w:r>
      <w:r>
        <w:rPr>
          <w:rFonts w:asciiTheme="minorHAnsi" w:hAnsiTheme="minorHAnsi"/>
          <w:sz w:val="20"/>
          <w:szCs w:val="20"/>
        </w:rPr>
        <w:t xml:space="preserve">, Z. &amp; </w:t>
      </w:r>
      <w:r w:rsidRPr="0090674C">
        <w:rPr>
          <w:rFonts w:asciiTheme="minorHAnsi" w:hAnsiTheme="minorHAnsi"/>
          <w:sz w:val="20"/>
          <w:szCs w:val="20"/>
        </w:rPr>
        <w:t>Moussa</w:t>
      </w:r>
      <w:r>
        <w:rPr>
          <w:rFonts w:asciiTheme="minorHAnsi" w:hAnsiTheme="minorHAnsi"/>
          <w:sz w:val="20"/>
          <w:szCs w:val="20"/>
        </w:rPr>
        <w:t xml:space="preserve">, J. (2014) </w:t>
      </w:r>
      <w:r w:rsidRPr="0090674C">
        <w:rPr>
          <w:rFonts w:asciiTheme="minorHAnsi" w:hAnsiTheme="minorHAnsi"/>
          <w:i/>
          <w:sz w:val="20"/>
          <w:szCs w:val="20"/>
        </w:rPr>
        <w:t>Due Diligence Framework: State Accountability Framework for Eliminating Violence against Women</w:t>
      </w:r>
      <w:r>
        <w:rPr>
          <w:rFonts w:asciiTheme="minorHAnsi" w:hAnsiTheme="minorHAnsi"/>
          <w:sz w:val="20"/>
          <w:szCs w:val="20"/>
        </w:rPr>
        <w:t xml:space="preserve">. </w:t>
      </w:r>
      <w:r w:rsidRPr="0090674C">
        <w:rPr>
          <w:rFonts w:asciiTheme="minorHAnsi" w:hAnsiTheme="minorHAnsi"/>
          <w:sz w:val="20"/>
          <w:szCs w:val="20"/>
        </w:rPr>
        <w:t>International Human Rights Initiative, Inc. (IHRI)</w:t>
      </w:r>
      <w:r>
        <w:rPr>
          <w:rFonts w:asciiTheme="minorHAnsi" w:hAnsiTheme="minorHAnsi"/>
          <w:sz w:val="20"/>
          <w:szCs w:val="20"/>
        </w:rPr>
        <w:t>.</w:t>
      </w:r>
    </w:p>
    <w:p w14:paraId="42B00CA5" w14:textId="77777777" w:rsidR="0090674C" w:rsidRPr="00722E63" w:rsidRDefault="0090674C" w:rsidP="00832518">
      <w:pPr>
        <w:spacing w:after="0" w:line="240" w:lineRule="auto"/>
        <w:ind w:left="142" w:hanging="142"/>
        <w:rPr>
          <w:rFonts w:asciiTheme="minorHAnsi" w:hAnsiTheme="minorHAnsi"/>
          <w:sz w:val="20"/>
          <w:szCs w:val="20"/>
        </w:rPr>
      </w:pPr>
    </w:p>
    <w:p w14:paraId="15CCFF51" w14:textId="77777777" w:rsidR="004E3374" w:rsidRPr="00722E63" w:rsidRDefault="004E3374" w:rsidP="00832518">
      <w:pPr>
        <w:spacing w:after="0" w:line="240" w:lineRule="auto"/>
        <w:ind w:left="142" w:hanging="142"/>
        <w:rPr>
          <w:rFonts w:asciiTheme="minorHAnsi" w:hAnsiTheme="minorHAnsi"/>
          <w:sz w:val="20"/>
          <w:szCs w:val="20"/>
        </w:rPr>
      </w:pPr>
      <w:r w:rsidRPr="00722E63">
        <w:rPr>
          <w:rFonts w:asciiTheme="minorHAnsi" w:hAnsiTheme="minorHAnsi" w:cs="Arial"/>
          <w:sz w:val="20"/>
          <w:szCs w:val="20"/>
        </w:rPr>
        <w:t xml:space="preserve">Action Aid UK, </w:t>
      </w:r>
      <w:r w:rsidRPr="00722E63">
        <w:rPr>
          <w:rFonts w:asciiTheme="minorHAnsi" w:hAnsiTheme="minorHAnsi" w:cs="Arial"/>
          <w:i/>
          <w:sz w:val="20"/>
          <w:szCs w:val="20"/>
        </w:rPr>
        <w:t>Gender Equality: The key task to ending violence against women.</w:t>
      </w:r>
      <w:r w:rsidRPr="00722E63">
        <w:rPr>
          <w:rFonts w:asciiTheme="minorHAnsi" w:hAnsiTheme="minorHAnsi" w:cs="Arial"/>
          <w:sz w:val="20"/>
          <w:szCs w:val="20"/>
        </w:rPr>
        <w:t xml:space="preserve"> Accessed on line April 2014 at: </w:t>
      </w:r>
      <w:hyperlink r:id="rId17" w:history="1">
        <w:r w:rsidRPr="00722E63">
          <w:rPr>
            <w:rStyle w:val="Hyperlink"/>
            <w:rFonts w:asciiTheme="minorHAnsi" w:hAnsiTheme="minorHAnsi" w:cs="Arial"/>
            <w:sz w:val="20"/>
            <w:szCs w:val="20"/>
          </w:rPr>
          <w:t>http://www.gadnetwork.org/storage/csw/Violence%20Against%20Women%20and%20Girls%20-%20Gender%20Equality.pdf</w:t>
        </w:r>
      </w:hyperlink>
      <w:r w:rsidRPr="00722E63">
        <w:rPr>
          <w:rFonts w:asciiTheme="minorHAnsi" w:hAnsiTheme="minorHAnsi" w:cs="Arial"/>
          <w:sz w:val="20"/>
          <w:szCs w:val="20"/>
        </w:rPr>
        <w:t>;</w:t>
      </w:r>
    </w:p>
    <w:p w14:paraId="746B8955" w14:textId="77777777" w:rsidR="004E3374" w:rsidRPr="00722E63" w:rsidRDefault="004E3374" w:rsidP="00832518">
      <w:pPr>
        <w:spacing w:after="0" w:line="240" w:lineRule="auto"/>
        <w:ind w:left="142" w:hanging="142"/>
        <w:rPr>
          <w:rFonts w:asciiTheme="minorHAnsi" w:hAnsiTheme="minorHAnsi"/>
          <w:sz w:val="20"/>
          <w:szCs w:val="20"/>
        </w:rPr>
      </w:pPr>
    </w:p>
    <w:p w14:paraId="5C8089F2" w14:textId="77777777" w:rsidR="004E3374" w:rsidRPr="00722E63" w:rsidRDefault="004E3374" w:rsidP="00832518">
      <w:pPr>
        <w:pStyle w:val="EndnoteText"/>
        <w:ind w:left="142" w:hanging="142"/>
        <w:rPr>
          <w:rFonts w:cs="Times New Roman"/>
          <w:sz w:val="20"/>
          <w:szCs w:val="20"/>
          <w:lang w:val="en-US"/>
        </w:rPr>
      </w:pPr>
      <w:proofErr w:type="spellStart"/>
      <w:r w:rsidRPr="00722E63">
        <w:rPr>
          <w:rFonts w:cs="Times New Roman"/>
          <w:sz w:val="20"/>
          <w:szCs w:val="20"/>
        </w:rPr>
        <w:t>Attard</w:t>
      </w:r>
      <w:proofErr w:type="spellEnd"/>
      <w:r w:rsidRPr="00722E63">
        <w:rPr>
          <w:rFonts w:cs="Times New Roman"/>
          <w:sz w:val="20"/>
          <w:szCs w:val="20"/>
        </w:rPr>
        <w:t xml:space="preserve">, M., &amp; Price-Kelly, S. (2010) </w:t>
      </w:r>
      <w:r w:rsidRPr="00722E63">
        <w:rPr>
          <w:rFonts w:cs="Times New Roman"/>
          <w:i/>
          <w:sz w:val="20"/>
          <w:szCs w:val="20"/>
        </w:rPr>
        <w:t>Accommodating Violence: The experience of domestic violence of people with disability living in licensed boarding houses</w:t>
      </w:r>
      <w:r w:rsidRPr="00722E63">
        <w:rPr>
          <w:rFonts w:cs="Times New Roman"/>
          <w:sz w:val="20"/>
          <w:szCs w:val="20"/>
        </w:rPr>
        <w:t>, PWDA, NSW.</w:t>
      </w:r>
    </w:p>
    <w:p w14:paraId="4A3903B9" w14:textId="77777777" w:rsidR="004E3374" w:rsidRPr="00722E63" w:rsidRDefault="004E3374" w:rsidP="00832518">
      <w:pPr>
        <w:spacing w:after="0" w:line="240" w:lineRule="auto"/>
        <w:ind w:left="142" w:hanging="142"/>
        <w:rPr>
          <w:rFonts w:asciiTheme="minorHAnsi" w:hAnsiTheme="minorHAnsi"/>
          <w:sz w:val="20"/>
          <w:szCs w:val="20"/>
        </w:rPr>
      </w:pPr>
    </w:p>
    <w:p w14:paraId="08509EE3" w14:textId="77777777" w:rsidR="004E3374" w:rsidRPr="00722E63" w:rsidRDefault="004E3374" w:rsidP="00832518">
      <w:pPr>
        <w:pStyle w:val="FootnoteText"/>
        <w:ind w:left="142" w:hanging="142"/>
        <w:rPr>
          <w:rFonts w:cs="Arial"/>
          <w:sz w:val="20"/>
          <w:szCs w:val="20"/>
        </w:rPr>
      </w:pPr>
      <w:r w:rsidRPr="00722E63">
        <w:rPr>
          <w:rFonts w:cs="Arial"/>
          <w:sz w:val="20"/>
          <w:szCs w:val="20"/>
        </w:rPr>
        <w:t xml:space="preserve">Australian Government (2012) </w:t>
      </w:r>
      <w:r w:rsidRPr="00722E63">
        <w:rPr>
          <w:rFonts w:cs="Arial"/>
          <w:i/>
          <w:sz w:val="20"/>
          <w:szCs w:val="20"/>
        </w:rPr>
        <w:t>‘Responses by Australia to the recommendations contained in the concluding observations of the Committee following the examination of the combined sixth and seventh periodic report of Australia on 20 July 2010.’</w:t>
      </w:r>
      <w:r w:rsidRPr="00722E63">
        <w:rPr>
          <w:rFonts w:cs="Arial"/>
          <w:sz w:val="20"/>
          <w:szCs w:val="20"/>
        </w:rPr>
        <w:t xml:space="preserve"> Accessed February 2013 at: </w:t>
      </w:r>
      <w:hyperlink r:id="rId18" w:history="1">
        <w:r w:rsidRPr="00722E63">
          <w:rPr>
            <w:rStyle w:val="Hyperlink"/>
            <w:rFonts w:cs="Arial"/>
            <w:sz w:val="20"/>
            <w:szCs w:val="20"/>
          </w:rPr>
          <w:t>http://www2.ohchr.org/english/bodies/cedaw/docs/CEDAW.C.AUL.CO.7.Add.1.pdf</w:t>
        </w:r>
      </w:hyperlink>
      <w:r w:rsidRPr="00722E63">
        <w:rPr>
          <w:rFonts w:cs="Arial"/>
          <w:sz w:val="20"/>
          <w:szCs w:val="20"/>
        </w:rPr>
        <w:t xml:space="preserve"> </w:t>
      </w:r>
    </w:p>
    <w:p w14:paraId="17EC134E" w14:textId="77777777" w:rsidR="004E3374" w:rsidRPr="00722E63" w:rsidRDefault="004E3374" w:rsidP="00832518">
      <w:pPr>
        <w:spacing w:after="0" w:line="240" w:lineRule="auto"/>
        <w:ind w:left="142" w:hanging="142"/>
        <w:rPr>
          <w:rFonts w:asciiTheme="minorHAnsi" w:hAnsiTheme="minorHAnsi"/>
          <w:sz w:val="20"/>
          <w:szCs w:val="20"/>
        </w:rPr>
      </w:pPr>
    </w:p>
    <w:p w14:paraId="56AD4A96" w14:textId="77777777" w:rsidR="004E3374" w:rsidRPr="00722E63" w:rsidRDefault="004E3374" w:rsidP="00832518">
      <w:pPr>
        <w:pStyle w:val="FootnoteText"/>
        <w:ind w:left="142" w:hanging="142"/>
        <w:rPr>
          <w:rFonts w:cs="Arial"/>
          <w:sz w:val="20"/>
          <w:szCs w:val="20"/>
        </w:rPr>
      </w:pPr>
      <w:proofErr w:type="gramStart"/>
      <w:r w:rsidRPr="00722E63">
        <w:rPr>
          <w:rFonts w:cs="Arial"/>
          <w:sz w:val="20"/>
          <w:szCs w:val="20"/>
        </w:rPr>
        <w:t xml:space="preserve">Australian Law Reform Commission (ALRC) (2010) </w:t>
      </w:r>
      <w:r w:rsidRPr="00722E63">
        <w:rPr>
          <w:rFonts w:cs="Arial"/>
          <w:bCs/>
          <w:i/>
          <w:sz w:val="20"/>
          <w:szCs w:val="20"/>
        </w:rPr>
        <w:t>Family Violence — A National Legal Response.</w:t>
      </w:r>
      <w:proofErr w:type="gramEnd"/>
      <w:r w:rsidRPr="00722E63">
        <w:rPr>
          <w:rFonts w:cs="Arial"/>
          <w:bCs/>
          <w:sz w:val="20"/>
          <w:szCs w:val="20"/>
        </w:rPr>
        <w:t xml:space="preserve"> </w:t>
      </w:r>
      <w:proofErr w:type="gramStart"/>
      <w:r w:rsidRPr="00722E63">
        <w:rPr>
          <w:rFonts w:cs="Arial"/>
          <w:bCs/>
          <w:sz w:val="20"/>
          <w:szCs w:val="20"/>
        </w:rPr>
        <w:t>ALRC Final Report 114.</w:t>
      </w:r>
      <w:proofErr w:type="gramEnd"/>
      <w:r w:rsidRPr="00722E63">
        <w:rPr>
          <w:rFonts w:cs="Arial"/>
          <w:bCs/>
          <w:sz w:val="20"/>
          <w:szCs w:val="20"/>
        </w:rPr>
        <w:t xml:space="preserve"> Accessed online January 2013 at:</w:t>
      </w:r>
      <w:r w:rsidRPr="00722E63">
        <w:rPr>
          <w:rFonts w:eastAsiaTheme="minorHAnsi" w:cs="Arial"/>
          <w:sz w:val="20"/>
          <w:szCs w:val="20"/>
        </w:rPr>
        <w:t xml:space="preserve"> </w:t>
      </w:r>
      <w:hyperlink r:id="rId19" w:history="1">
        <w:r w:rsidRPr="00722E63">
          <w:rPr>
            <w:rStyle w:val="Hyperlink"/>
            <w:rFonts w:cs="Arial"/>
            <w:bCs/>
            <w:sz w:val="20"/>
            <w:szCs w:val="20"/>
          </w:rPr>
          <w:t>http://www.alrc.gov.au/publications/family-violence-national-legal-response-alrc-report-114</w:t>
        </w:r>
      </w:hyperlink>
      <w:r w:rsidRPr="00722E63">
        <w:rPr>
          <w:rFonts w:cs="Arial"/>
          <w:bCs/>
          <w:sz w:val="20"/>
          <w:szCs w:val="20"/>
        </w:rPr>
        <w:t xml:space="preserve"> </w:t>
      </w:r>
    </w:p>
    <w:p w14:paraId="51133F9F" w14:textId="77777777" w:rsidR="004E3374" w:rsidRPr="00722E63" w:rsidRDefault="004E3374" w:rsidP="00832518">
      <w:pPr>
        <w:spacing w:after="0" w:line="240" w:lineRule="auto"/>
        <w:ind w:left="142" w:hanging="142"/>
        <w:rPr>
          <w:rFonts w:asciiTheme="minorHAnsi" w:hAnsiTheme="minorHAnsi"/>
          <w:sz w:val="20"/>
          <w:szCs w:val="20"/>
        </w:rPr>
      </w:pPr>
    </w:p>
    <w:p w14:paraId="6A7C9C83" w14:textId="77777777" w:rsidR="004E3374" w:rsidRPr="00722E63" w:rsidRDefault="004E3374" w:rsidP="00832518">
      <w:pPr>
        <w:pStyle w:val="FootnoteText"/>
        <w:ind w:left="142" w:hanging="142"/>
        <w:rPr>
          <w:rFonts w:cs="Arial"/>
          <w:sz w:val="20"/>
          <w:szCs w:val="20"/>
        </w:rPr>
      </w:pPr>
      <w:proofErr w:type="gramStart"/>
      <w:r w:rsidRPr="00722E63">
        <w:rPr>
          <w:rFonts w:cs="Arial"/>
          <w:sz w:val="20"/>
          <w:szCs w:val="20"/>
        </w:rPr>
        <w:t xml:space="preserve">Australian Law Reform Commission (ALRC) (2012) </w:t>
      </w:r>
      <w:r w:rsidRPr="00722E63">
        <w:rPr>
          <w:rFonts w:cs="Arial"/>
          <w:i/>
          <w:sz w:val="20"/>
          <w:szCs w:val="20"/>
        </w:rPr>
        <w:t>Family Violence and Commonwealth Laws—Improving Legal Frameworks</w:t>
      </w:r>
      <w:r w:rsidRPr="00722E63">
        <w:rPr>
          <w:rFonts w:cs="Arial"/>
          <w:sz w:val="20"/>
          <w:szCs w:val="20"/>
        </w:rPr>
        <w:t xml:space="preserve"> (ALRC Report 117)</w:t>
      </w:r>
      <w:r w:rsidRPr="00722E63">
        <w:rPr>
          <w:rFonts w:cs="Arial"/>
          <w:bCs/>
          <w:sz w:val="20"/>
          <w:szCs w:val="20"/>
        </w:rPr>
        <w:t>.</w:t>
      </w:r>
      <w:proofErr w:type="gramEnd"/>
      <w:r w:rsidRPr="00722E63">
        <w:rPr>
          <w:rFonts w:cs="Arial"/>
          <w:bCs/>
          <w:sz w:val="20"/>
          <w:szCs w:val="20"/>
        </w:rPr>
        <w:t xml:space="preserve"> Last accessed online July 2014 at: </w:t>
      </w:r>
      <w:hyperlink r:id="rId20" w:history="1">
        <w:r w:rsidRPr="00722E63">
          <w:rPr>
            <w:rStyle w:val="Hyperlink"/>
            <w:rFonts w:cs="Arial"/>
            <w:bCs/>
            <w:sz w:val="20"/>
            <w:szCs w:val="20"/>
          </w:rPr>
          <w:t>http://www.alrc.gov.au/publications/family-violence-and-commonwealth-laws-improving-legal-frameworks-alrc-report-117</w:t>
        </w:r>
      </w:hyperlink>
    </w:p>
    <w:p w14:paraId="498D410E" w14:textId="77777777" w:rsidR="004E3374" w:rsidRPr="00722E63" w:rsidRDefault="004E3374" w:rsidP="00832518">
      <w:pPr>
        <w:spacing w:after="0" w:line="240" w:lineRule="auto"/>
        <w:ind w:left="142" w:hanging="142"/>
        <w:rPr>
          <w:rFonts w:asciiTheme="minorHAnsi" w:hAnsiTheme="minorHAnsi"/>
          <w:sz w:val="20"/>
          <w:szCs w:val="20"/>
        </w:rPr>
      </w:pPr>
    </w:p>
    <w:p w14:paraId="4B058C67" w14:textId="77777777" w:rsidR="004E3374" w:rsidRPr="00722E63" w:rsidRDefault="004E3374" w:rsidP="00832518">
      <w:pPr>
        <w:pStyle w:val="FootnoteText"/>
        <w:ind w:left="142" w:hanging="142"/>
        <w:rPr>
          <w:rFonts w:cs="Arial"/>
          <w:sz w:val="20"/>
          <w:szCs w:val="20"/>
          <w:lang w:val="en-US"/>
        </w:rPr>
      </w:pPr>
      <w:r w:rsidRPr="00722E63">
        <w:rPr>
          <w:rFonts w:cs="Arial"/>
          <w:sz w:val="20"/>
          <w:szCs w:val="20"/>
        </w:rPr>
        <w:t xml:space="preserve">Australian Law Reform Commission (ALRC) (2012) </w:t>
      </w:r>
      <w:r w:rsidRPr="00722E63">
        <w:rPr>
          <w:rFonts w:cs="Arial"/>
          <w:i/>
          <w:sz w:val="20"/>
          <w:szCs w:val="20"/>
        </w:rPr>
        <w:t>Family Violence and Commonwealth Laws – People with Disability</w:t>
      </w:r>
      <w:r w:rsidRPr="00722E63">
        <w:rPr>
          <w:rFonts w:cs="Arial"/>
          <w:sz w:val="20"/>
          <w:szCs w:val="20"/>
        </w:rPr>
        <w:t xml:space="preserve">. Accessed online 2013 at: </w:t>
      </w:r>
      <w:hyperlink r:id="rId21" w:history="1">
        <w:r w:rsidRPr="00722E63">
          <w:rPr>
            <w:rStyle w:val="Hyperlink"/>
            <w:rFonts w:cs="Arial"/>
            <w:sz w:val="20"/>
            <w:szCs w:val="20"/>
          </w:rPr>
          <w:t>http://www.alrc.gov.au/CFV-disability</w:t>
        </w:r>
      </w:hyperlink>
      <w:r w:rsidRPr="00722E63">
        <w:rPr>
          <w:rFonts w:cs="Arial"/>
          <w:sz w:val="20"/>
          <w:szCs w:val="20"/>
        </w:rPr>
        <w:t xml:space="preserve"> </w:t>
      </w:r>
    </w:p>
    <w:p w14:paraId="2EE82ED9" w14:textId="77777777" w:rsidR="004E3374" w:rsidRPr="00722E63" w:rsidRDefault="004E3374" w:rsidP="00832518">
      <w:pPr>
        <w:spacing w:after="0" w:line="240" w:lineRule="auto"/>
        <w:ind w:left="142" w:hanging="142"/>
        <w:rPr>
          <w:rFonts w:asciiTheme="minorHAnsi" w:hAnsiTheme="minorHAnsi"/>
          <w:sz w:val="20"/>
          <w:szCs w:val="20"/>
        </w:rPr>
      </w:pPr>
    </w:p>
    <w:p w14:paraId="1C5A1619" w14:textId="77777777" w:rsidR="004E3374" w:rsidRPr="00722E63" w:rsidRDefault="004E3374" w:rsidP="00832518">
      <w:pPr>
        <w:spacing w:after="0" w:line="240" w:lineRule="auto"/>
        <w:ind w:left="142" w:hanging="142"/>
        <w:rPr>
          <w:rFonts w:asciiTheme="minorHAnsi" w:hAnsiTheme="minorHAnsi"/>
          <w:sz w:val="20"/>
          <w:szCs w:val="20"/>
        </w:rPr>
      </w:pPr>
      <w:proofErr w:type="spellStart"/>
      <w:r w:rsidRPr="00722E63">
        <w:rPr>
          <w:rFonts w:asciiTheme="minorHAnsi" w:hAnsiTheme="minorHAnsi" w:cs="Arial"/>
          <w:sz w:val="20"/>
          <w:szCs w:val="20"/>
        </w:rPr>
        <w:t>Brownridge</w:t>
      </w:r>
      <w:proofErr w:type="spellEnd"/>
      <w:r w:rsidRPr="00722E63">
        <w:rPr>
          <w:rFonts w:asciiTheme="minorHAnsi" w:hAnsiTheme="minorHAnsi" w:cs="Arial"/>
          <w:sz w:val="20"/>
          <w:szCs w:val="20"/>
        </w:rPr>
        <w:t xml:space="preserve">, D. (2006) ‘Partner violence against women with disabilities: Prevalence, risks and explanations’, </w:t>
      </w:r>
      <w:r w:rsidRPr="00722E63">
        <w:rPr>
          <w:rFonts w:asciiTheme="minorHAnsi" w:hAnsiTheme="minorHAnsi" w:cs="Arial"/>
          <w:i/>
          <w:sz w:val="20"/>
          <w:szCs w:val="20"/>
        </w:rPr>
        <w:t>Violence against Women</w:t>
      </w:r>
      <w:r w:rsidRPr="00722E63">
        <w:rPr>
          <w:rFonts w:asciiTheme="minorHAnsi" w:hAnsiTheme="minorHAnsi" w:cs="Arial"/>
          <w:sz w:val="20"/>
          <w:szCs w:val="20"/>
        </w:rPr>
        <w:t>, vol. 12, no. 9, pp. 805–22.</w:t>
      </w:r>
    </w:p>
    <w:p w14:paraId="470E79B3" w14:textId="77777777" w:rsidR="004E3374" w:rsidRPr="00722E63" w:rsidRDefault="004E3374" w:rsidP="00832518">
      <w:pPr>
        <w:spacing w:after="0" w:line="240" w:lineRule="auto"/>
        <w:ind w:left="142" w:hanging="142"/>
        <w:rPr>
          <w:rFonts w:asciiTheme="minorHAnsi" w:hAnsiTheme="minorHAnsi"/>
          <w:sz w:val="20"/>
          <w:szCs w:val="20"/>
        </w:rPr>
      </w:pPr>
    </w:p>
    <w:p w14:paraId="0DA05F22" w14:textId="394C48EA" w:rsidR="004E3374" w:rsidRPr="004E3374" w:rsidRDefault="00722E63" w:rsidP="00832518">
      <w:pPr>
        <w:spacing w:after="0" w:line="240" w:lineRule="auto"/>
        <w:ind w:left="142" w:hanging="142"/>
        <w:rPr>
          <w:rFonts w:asciiTheme="minorHAnsi" w:hAnsiTheme="minorHAnsi"/>
          <w:sz w:val="20"/>
          <w:szCs w:val="20"/>
        </w:rPr>
      </w:pPr>
      <w:proofErr w:type="spellStart"/>
      <w:r w:rsidRPr="00722E63">
        <w:rPr>
          <w:rFonts w:asciiTheme="minorHAnsi" w:hAnsiTheme="minorHAnsi" w:cs="Calibri"/>
          <w:bCs/>
          <w:sz w:val="20"/>
          <w:szCs w:val="20"/>
          <w:lang w:eastAsia="en-AU"/>
        </w:rPr>
        <w:t>Cattalini</w:t>
      </w:r>
      <w:proofErr w:type="spellEnd"/>
      <w:r w:rsidRPr="00722E63">
        <w:rPr>
          <w:rFonts w:asciiTheme="minorHAnsi" w:hAnsiTheme="minorHAnsi" w:cs="Calibri"/>
          <w:bCs/>
          <w:sz w:val="20"/>
          <w:szCs w:val="20"/>
          <w:lang w:eastAsia="en-AU"/>
        </w:rPr>
        <w:t xml:space="preserve">, H. (1993) </w:t>
      </w:r>
      <w:r w:rsidRPr="00722E63">
        <w:rPr>
          <w:rFonts w:asciiTheme="minorHAnsi" w:hAnsiTheme="minorHAnsi" w:cs="Calibri"/>
          <w:bCs/>
          <w:i/>
          <w:sz w:val="20"/>
          <w:szCs w:val="20"/>
          <w:lang w:eastAsia="en-AU"/>
        </w:rPr>
        <w:t>Access to services for women with disabilities who are subjected to violence</w:t>
      </w:r>
      <w:r w:rsidRPr="00722E63">
        <w:rPr>
          <w:rFonts w:asciiTheme="minorHAnsi" w:hAnsiTheme="minorHAnsi" w:cs="Calibri"/>
          <w:bCs/>
          <w:sz w:val="20"/>
          <w:szCs w:val="20"/>
          <w:lang w:eastAsia="en-AU"/>
        </w:rPr>
        <w:t>. Canberra: Australian Government Printing Service.</w:t>
      </w:r>
    </w:p>
    <w:p w14:paraId="3E9601C3" w14:textId="77777777" w:rsidR="00722E63" w:rsidRDefault="00722E63" w:rsidP="00832518">
      <w:pPr>
        <w:spacing w:after="0" w:line="240" w:lineRule="auto"/>
        <w:ind w:left="142" w:hanging="142"/>
        <w:rPr>
          <w:rFonts w:asciiTheme="minorHAnsi" w:hAnsiTheme="minorHAnsi" w:cs="Calibri"/>
          <w:bCs/>
          <w:sz w:val="20"/>
          <w:szCs w:val="20"/>
          <w:lang w:eastAsia="en-AU"/>
        </w:rPr>
      </w:pPr>
    </w:p>
    <w:p w14:paraId="11510FFB" w14:textId="0C0AECDE" w:rsidR="004E3374" w:rsidRPr="004E3374" w:rsidRDefault="00722E63" w:rsidP="00832518">
      <w:pPr>
        <w:spacing w:after="0" w:line="240" w:lineRule="auto"/>
        <w:ind w:left="142" w:hanging="142"/>
        <w:rPr>
          <w:rFonts w:asciiTheme="minorHAnsi" w:hAnsiTheme="minorHAnsi"/>
          <w:sz w:val="20"/>
          <w:szCs w:val="20"/>
        </w:rPr>
      </w:pPr>
      <w:r w:rsidRPr="00722E63">
        <w:rPr>
          <w:rFonts w:asciiTheme="minorHAnsi" w:hAnsiTheme="minorHAnsi" w:cs="Calibri"/>
          <w:bCs/>
          <w:sz w:val="20"/>
          <w:szCs w:val="20"/>
          <w:lang w:eastAsia="en-AU"/>
        </w:rPr>
        <w:t xml:space="preserve">Chenoweth, L. (1997) Violence and women with disabilities: silence and paradox in Cook, S. &amp; J. </w:t>
      </w:r>
      <w:proofErr w:type="spellStart"/>
      <w:r w:rsidRPr="00722E63">
        <w:rPr>
          <w:rFonts w:asciiTheme="minorHAnsi" w:hAnsiTheme="minorHAnsi" w:cs="Calibri"/>
          <w:bCs/>
          <w:sz w:val="20"/>
          <w:szCs w:val="20"/>
          <w:lang w:eastAsia="en-AU"/>
        </w:rPr>
        <w:t>Bessant</w:t>
      </w:r>
      <w:proofErr w:type="spellEnd"/>
      <w:r w:rsidRPr="00722E63">
        <w:rPr>
          <w:rFonts w:asciiTheme="minorHAnsi" w:hAnsiTheme="minorHAnsi" w:cs="Calibri"/>
          <w:bCs/>
          <w:sz w:val="20"/>
          <w:szCs w:val="20"/>
          <w:lang w:eastAsia="en-AU"/>
        </w:rPr>
        <w:t xml:space="preserve"> </w:t>
      </w:r>
      <w:r w:rsidRPr="00722E63">
        <w:rPr>
          <w:rFonts w:asciiTheme="minorHAnsi" w:hAnsiTheme="minorHAnsi" w:cs="Calibri"/>
          <w:bCs/>
          <w:i/>
          <w:sz w:val="20"/>
          <w:szCs w:val="20"/>
          <w:lang w:eastAsia="en-AU"/>
        </w:rPr>
        <w:t>Women’s Encounters: Australian Experiences</w:t>
      </w:r>
      <w:r w:rsidRPr="00722E63">
        <w:rPr>
          <w:rFonts w:asciiTheme="minorHAnsi" w:hAnsiTheme="minorHAnsi" w:cs="Calibri"/>
          <w:bCs/>
          <w:sz w:val="20"/>
          <w:szCs w:val="20"/>
          <w:lang w:eastAsia="en-AU"/>
        </w:rPr>
        <w:t>. Thousand Oaks, California: Sage Publications.</w:t>
      </w:r>
    </w:p>
    <w:p w14:paraId="6DDEC90D" w14:textId="77777777" w:rsidR="004E3374" w:rsidRPr="004E3374" w:rsidRDefault="004E3374" w:rsidP="00832518">
      <w:pPr>
        <w:spacing w:after="0" w:line="240" w:lineRule="auto"/>
        <w:ind w:left="142" w:hanging="142"/>
        <w:rPr>
          <w:rFonts w:asciiTheme="minorHAnsi" w:hAnsiTheme="minorHAnsi"/>
          <w:sz w:val="20"/>
          <w:szCs w:val="20"/>
        </w:rPr>
      </w:pPr>
    </w:p>
    <w:p w14:paraId="16D3F2C2" w14:textId="77777777" w:rsidR="004E3374" w:rsidRPr="004E3374" w:rsidRDefault="004E3374" w:rsidP="00832518">
      <w:pPr>
        <w:spacing w:after="0" w:line="240" w:lineRule="auto"/>
        <w:ind w:left="142" w:hanging="142"/>
        <w:rPr>
          <w:rFonts w:asciiTheme="minorHAnsi" w:hAnsiTheme="minorHAnsi"/>
          <w:sz w:val="20"/>
          <w:szCs w:val="20"/>
        </w:rPr>
      </w:pPr>
      <w:proofErr w:type="gramStart"/>
      <w:r w:rsidRPr="004E3374">
        <w:rPr>
          <w:rFonts w:asciiTheme="minorHAnsi" w:hAnsiTheme="minorHAnsi" w:cs="Arial"/>
          <w:sz w:val="20"/>
          <w:szCs w:val="20"/>
        </w:rPr>
        <w:t xml:space="preserve">Commonwealth of Australia (2010) </w:t>
      </w:r>
      <w:r w:rsidRPr="004E3374">
        <w:rPr>
          <w:rFonts w:asciiTheme="minorHAnsi" w:hAnsiTheme="minorHAnsi" w:cs="Arial"/>
          <w:i/>
          <w:sz w:val="20"/>
          <w:szCs w:val="20"/>
        </w:rPr>
        <w:t>National Plan to Reduce Violence against Women and their Children 2010-2022</w:t>
      </w:r>
      <w:r w:rsidRPr="004E3374">
        <w:rPr>
          <w:rFonts w:asciiTheme="minorHAnsi" w:hAnsiTheme="minorHAnsi" w:cs="Arial"/>
          <w:sz w:val="20"/>
          <w:szCs w:val="20"/>
        </w:rPr>
        <w:t>.</w:t>
      </w:r>
      <w:proofErr w:type="gramEnd"/>
      <w:r w:rsidRPr="004E3374">
        <w:rPr>
          <w:rFonts w:asciiTheme="minorHAnsi" w:hAnsiTheme="minorHAnsi" w:cs="Arial"/>
          <w:sz w:val="20"/>
          <w:szCs w:val="20"/>
        </w:rPr>
        <w:t xml:space="preserve"> </w:t>
      </w:r>
      <w:proofErr w:type="gramStart"/>
      <w:r w:rsidRPr="004E3374">
        <w:rPr>
          <w:rFonts w:asciiTheme="minorHAnsi" w:hAnsiTheme="minorHAnsi" w:cs="Arial"/>
          <w:sz w:val="20"/>
          <w:szCs w:val="20"/>
        </w:rPr>
        <w:t>Council of Australian Governments.</w:t>
      </w:r>
      <w:proofErr w:type="gramEnd"/>
    </w:p>
    <w:p w14:paraId="5C14B9D7" w14:textId="77777777" w:rsidR="004E3374" w:rsidRPr="004E3374" w:rsidRDefault="004E3374" w:rsidP="00832518">
      <w:pPr>
        <w:spacing w:after="0" w:line="240" w:lineRule="auto"/>
        <w:ind w:left="142" w:hanging="142"/>
        <w:rPr>
          <w:rFonts w:asciiTheme="minorHAnsi" w:hAnsiTheme="minorHAnsi"/>
          <w:sz w:val="20"/>
          <w:szCs w:val="20"/>
        </w:rPr>
      </w:pPr>
    </w:p>
    <w:p w14:paraId="2E4C899F" w14:textId="7FA25621"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cs="Calibri"/>
          <w:bCs/>
          <w:sz w:val="20"/>
          <w:szCs w:val="20"/>
          <w:lang w:eastAsia="en-AU"/>
        </w:rPr>
        <w:t xml:space="preserve">Council of Europe </w:t>
      </w:r>
      <w:r w:rsidR="00722E63">
        <w:rPr>
          <w:rFonts w:asciiTheme="minorHAnsi" w:hAnsiTheme="minorHAnsi" w:cs="Calibri"/>
          <w:bCs/>
          <w:sz w:val="20"/>
          <w:szCs w:val="20"/>
          <w:lang w:eastAsia="en-AU"/>
        </w:rPr>
        <w:t>(</w:t>
      </w:r>
      <w:r w:rsidRPr="004E3374">
        <w:rPr>
          <w:rFonts w:asciiTheme="minorHAnsi" w:hAnsiTheme="minorHAnsi" w:cs="Calibri"/>
          <w:bCs/>
          <w:sz w:val="20"/>
          <w:szCs w:val="20"/>
          <w:lang w:eastAsia="en-AU"/>
        </w:rPr>
        <w:t>201</w:t>
      </w:r>
      <w:r w:rsidR="002A4A2A">
        <w:rPr>
          <w:rFonts w:asciiTheme="minorHAnsi" w:hAnsiTheme="minorHAnsi" w:cs="Calibri"/>
          <w:bCs/>
          <w:sz w:val="20"/>
          <w:szCs w:val="20"/>
          <w:lang w:eastAsia="en-AU"/>
        </w:rPr>
        <w:t>3</w:t>
      </w:r>
      <w:r w:rsidR="00722E63">
        <w:rPr>
          <w:rFonts w:asciiTheme="minorHAnsi" w:hAnsiTheme="minorHAnsi" w:cs="Calibri"/>
          <w:bCs/>
          <w:sz w:val="20"/>
          <w:szCs w:val="20"/>
          <w:lang w:eastAsia="en-AU"/>
        </w:rPr>
        <w:t xml:space="preserve">) </w:t>
      </w:r>
      <w:r w:rsidR="00722E63" w:rsidRPr="00722E63">
        <w:rPr>
          <w:rFonts w:asciiTheme="minorHAnsi" w:hAnsiTheme="minorHAnsi" w:cs="Calibri"/>
          <w:bCs/>
          <w:i/>
          <w:sz w:val="20"/>
          <w:szCs w:val="20"/>
          <w:lang w:eastAsia="en-AU"/>
        </w:rPr>
        <w:t>Council of Europe Convention on preventing and combating violence against women and domestic violence: Explanatory report</w:t>
      </w:r>
      <w:r w:rsidR="00722E63">
        <w:rPr>
          <w:rFonts w:asciiTheme="minorHAnsi" w:hAnsiTheme="minorHAnsi" w:cs="Calibri"/>
          <w:bCs/>
          <w:sz w:val="20"/>
          <w:szCs w:val="20"/>
          <w:lang w:eastAsia="en-AU"/>
        </w:rPr>
        <w:t xml:space="preserve">. </w:t>
      </w:r>
    </w:p>
    <w:p w14:paraId="49486B55" w14:textId="77777777" w:rsidR="004E3374" w:rsidRPr="004E3374" w:rsidRDefault="004E3374" w:rsidP="00832518">
      <w:pPr>
        <w:spacing w:after="0" w:line="240" w:lineRule="auto"/>
        <w:ind w:left="142" w:hanging="142"/>
        <w:rPr>
          <w:rFonts w:asciiTheme="minorHAnsi" w:hAnsiTheme="minorHAnsi"/>
          <w:sz w:val="20"/>
          <w:szCs w:val="20"/>
        </w:rPr>
      </w:pPr>
    </w:p>
    <w:p w14:paraId="7A4A7C29" w14:textId="77777777"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cs="Arial"/>
          <w:sz w:val="20"/>
          <w:szCs w:val="20"/>
        </w:rPr>
        <w:t xml:space="preserve">Commonwealth of Australia (2014) </w:t>
      </w:r>
      <w:r w:rsidRPr="004E3374">
        <w:rPr>
          <w:rFonts w:asciiTheme="minorHAnsi" w:hAnsiTheme="minorHAnsi" w:cs="Arial"/>
          <w:i/>
          <w:sz w:val="20"/>
          <w:szCs w:val="20"/>
        </w:rPr>
        <w:t>Second Action Plan 2013-2016 – Moving Ahead</w:t>
      </w:r>
      <w:r w:rsidRPr="004E3374">
        <w:rPr>
          <w:rFonts w:asciiTheme="minorHAnsi" w:hAnsiTheme="minorHAnsi" w:cs="Arial"/>
          <w:sz w:val="20"/>
          <w:szCs w:val="20"/>
        </w:rPr>
        <w:t xml:space="preserve"> – of the National Plan to Reduce Violence against Women and their Children 2010-2022. Department of Social Services, Canberra.</w:t>
      </w:r>
    </w:p>
    <w:p w14:paraId="168A1A65" w14:textId="77777777" w:rsidR="004E3374" w:rsidRPr="004E3374" w:rsidRDefault="004E3374" w:rsidP="00832518">
      <w:pPr>
        <w:spacing w:after="0" w:line="240" w:lineRule="auto"/>
        <w:ind w:left="142" w:hanging="142"/>
        <w:rPr>
          <w:rFonts w:asciiTheme="minorHAnsi" w:hAnsiTheme="minorHAnsi"/>
          <w:sz w:val="20"/>
          <w:szCs w:val="20"/>
        </w:rPr>
      </w:pPr>
    </w:p>
    <w:p w14:paraId="27E439A2" w14:textId="77777777" w:rsidR="004E3374" w:rsidRPr="004E3374" w:rsidRDefault="004E3374" w:rsidP="00832518">
      <w:pPr>
        <w:pStyle w:val="NoSpacing"/>
        <w:ind w:left="142" w:hanging="142"/>
        <w:rPr>
          <w:rFonts w:asciiTheme="minorHAnsi" w:hAnsiTheme="minorHAnsi" w:cs="Arial"/>
          <w:sz w:val="20"/>
          <w:szCs w:val="20"/>
        </w:rPr>
      </w:pPr>
      <w:proofErr w:type="gramStart"/>
      <w:r w:rsidRPr="004E3374">
        <w:rPr>
          <w:rFonts w:asciiTheme="minorHAnsi" w:hAnsiTheme="minorHAnsi" w:cs="Arial"/>
          <w:sz w:val="20"/>
          <w:szCs w:val="20"/>
        </w:rPr>
        <w:t xml:space="preserve">Department of Families, Housing, Community Services and Indigenous Affairs (FaHCSIA)(2013) </w:t>
      </w:r>
      <w:r w:rsidRPr="004E3374">
        <w:rPr>
          <w:rFonts w:asciiTheme="minorHAnsi" w:hAnsiTheme="minorHAnsi" w:cs="Arial"/>
          <w:i/>
          <w:sz w:val="20"/>
          <w:szCs w:val="20"/>
        </w:rPr>
        <w:t>National Disability Strategy 2010 – 2020 Report to the Council of Australian Governments 2012</w:t>
      </w:r>
      <w:r w:rsidRPr="004E3374">
        <w:rPr>
          <w:rFonts w:asciiTheme="minorHAnsi" w:hAnsiTheme="minorHAnsi" w:cs="Arial"/>
          <w:sz w:val="20"/>
          <w:szCs w:val="20"/>
        </w:rPr>
        <w:t>.</w:t>
      </w:r>
      <w:proofErr w:type="gramEnd"/>
      <w:r w:rsidRPr="004E3374">
        <w:rPr>
          <w:rFonts w:asciiTheme="minorHAnsi" w:hAnsiTheme="minorHAnsi" w:cs="Arial"/>
          <w:sz w:val="20"/>
          <w:szCs w:val="20"/>
        </w:rPr>
        <w:t xml:space="preserve"> Accessed online at: </w:t>
      </w:r>
      <w:hyperlink r:id="rId22" w:history="1">
        <w:r w:rsidRPr="004E3374">
          <w:rPr>
            <w:rStyle w:val="Hyperlink"/>
            <w:rFonts w:asciiTheme="minorHAnsi" w:hAnsiTheme="minorHAnsi" w:cs="Arial"/>
            <w:sz w:val="20"/>
            <w:szCs w:val="20"/>
          </w:rPr>
          <w:t>http://www.dss.gov.au/our-responsibilities/disability-and-carers/program-services/government-international/national-disability-strategy-2010-2020-report-to-coag-2012</w:t>
        </w:r>
      </w:hyperlink>
      <w:r w:rsidRPr="004E3374">
        <w:rPr>
          <w:rFonts w:asciiTheme="minorHAnsi" w:hAnsiTheme="minorHAnsi" w:cs="Arial"/>
          <w:sz w:val="20"/>
          <w:szCs w:val="20"/>
        </w:rPr>
        <w:t xml:space="preserve">  </w:t>
      </w:r>
    </w:p>
    <w:p w14:paraId="7983CBA6" w14:textId="77777777" w:rsidR="004E3374" w:rsidRPr="004E3374" w:rsidRDefault="004E3374" w:rsidP="00832518">
      <w:pPr>
        <w:spacing w:after="0" w:line="240" w:lineRule="auto"/>
        <w:ind w:left="142" w:hanging="142"/>
        <w:rPr>
          <w:rFonts w:asciiTheme="minorHAnsi" w:hAnsiTheme="minorHAnsi"/>
          <w:sz w:val="20"/>
          <w:szCs w:val="20"/>
        </w:rPr>
      </w:pPr>
    </w:p>
    <w:p w14:paraId="50288A4D" w14:textId="77777777" w:rsidR="004E3374" w:rsidRPr="004E3374" w:rsidRDefault="004E3374" w:rsidP="00832518">
      <w:pPr>
        <w:pStyle w:val="FootnoteText"/>
        <w:ind w:left="142" w:hanging="142"/>
        <w:rPr>
          <w:rFonts w:cs="Arial"/>
          <w:sz w:val="20"/>
          <w:szCs w:val="20"/>
          <w:lang w:val="en-US"/>
        </w:rPr>
      </w:pPr>
      <w:r w:rsidRPr="004E3374">
        <w:rPr>
          <w:rFonts w:cs="Arial"/>
          <w:sz w:val="20"/>
          <w:szCs w:val="20"/>
        </w:rPr>
        <w:t xml:space="preserve">Domestic Violence NSW (2014) </w:t>
      </w:r>
      <w:r w:rsidRPr="004E3374">
        <w:rPr>
          <w:rFonts w:cs="Arial"/>
          <w:i/>
          <w:sz w:val="20"/>
          <w:szCs w:val="20"/>
        </w:rPr>
        <w:t>Tony Abbott: convene a national crisis summit on domestic and family violence – and film an ad denouncing the violence killing our women and children</w:t>
      </w:r>
      <w:r w:rsidRPr="004E3374">
        <w:rPr>
          <w:rFonts w:cs="Arial"/>
          <w:sz w:val="20"/>
          <w:szCs w:val="20"/>
        </w:rPr>
        <w:t xml:space="preserve">. Accessed online June 2014 at: </w:t>
      </w:r>
      <w:hyperlink r:id="rId23" w:history="1">
        <w:r w:rsidRPr="004E3374">
          <w:rPr>
            <w:rStyle w:val="Hyperlink"/>
            <w:rFonts w:cs="Arial"/>
            <w:sz w:val="20"/>
            <w:szCs w:val="20"/>
          </w:rPr>
          <w:t>https://www.change.org/en-AU/petitions/tony-abbott-there-s-noexcuse-for-domestic-violence-it-s-time-for-leadership-on-this-crisis?recruiter=90503088&amp;utm_campaign=mailto_link&amp;utm_medium=email&amp;utm_source=share_petition</w:t>
        </w:r>
      </w:hyperlink>
    </w:p>
    <w:p w14:paraId="3E4E9480" w14:textId="77777777" w:rsidR="004E3374" w:rsidRPr="004E3374" w:rsidRDefault="004E3374" w:rsidP="00832518">
      <w:pPr>
        <w:spacing w:after="0" w:line="240" w:lineRule="auto"/>
        <w:ind w:left="142" w:hanging="142"/>
        <w:rPr>
          <w:rFonts w:asciiTheme="minorHAnsi" w:hAnsiTheme="minorHAnsi"/>
          <w:sz w:val="20"/>
          <w:szCs w:val="20"/>
        </w:rPr>
      </w:pPr>
    </w:p>
    <w:p w14:paraId="0E5F3FC2" w14:textId="77777777"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cs="Arial"/>
          <w:sz w:val="20"/>
          <w:szCs w:val="20"/>
        </w:rPr>
        <w:t xml:space="preserve">Dowse, L., Soldatic, K., Didi, A., Frohmader, C. and van </w:t>
      </w:r>
      <w:proofErr w:type="spellStart"/>
      <w:r w:rsidRPr="004E3374">
        <w:rPr>
          <w:rFonts w:asciiTheme="minorHAnsi" w:hAnsiTheme="minorHAnsi" w:cs="Arial"/>
          <w:sz w:val="20"/>
          <w:szCs w:val="20"/>
        </w:rPr>
        <w:t>Toorn</w:t>
      </w:r>
      <w:proofErr w:type="spellEnd"/>
      <w:r w:rsidRPr="004E3374">
        <w:rPr>
          <w:rFonts w:asciiTheme="minorHAnsi" w:hAnsiTheme="minorHAnsi" w:cs="Arial"/>
          <w:sz w:val="20"/>
          <w:szCs w:val="20"/>
        </w:rPr>
        <w:t xml:space="preserve">, G. (2013) </w:t>
      </w:r>
      <w:r w:rsidRPr="004E3374">
        <w:rPr>
          <w:rFonts w:asciiTheme="minorHAnsi" w:hAnsiTheme="minorHAnsi" w:cs="Arial"/>
          <w:i/>
          <w:sz w:val="20"/>
          <w:szCs w:val="20"/>
        </w:rPr>
        <w:t>Stop the Violence: Addressing Violence Against Women and Girls with Disabilities in Australia</w:t>
      </w:r>
      <w:r w:rsidRPr="004E3374">
        <w:rPr>
          <w:rFonts w:asciiTheme="minorHAnsi" w:hAnsiTheme="minorHAnsi" w:cs="Arial"/>
          <w:sz w:val="20"/>
          <w:szCs w:val="20"/>
        </w:rPr>
        <w:t>. Background Paper. Hobart: Women with Disabilities Australia.</w:t>
      </w:r>
    </w:p>
    <w:p w14:paraId="771DC067" w14:textId="77777777" w:rsidR="004E3374" w:rsidRPr="004E3374" w:rsidRDefault="004E3374" w:rsidP="00832518">
      <w:pPr>
        <w:spacing w:after="0" w:line="240" w:lineRule="auto"/>
        <w:ind w:left="142" w:hanging="142"/>
        <w:rPr>
          <w:rFonts w:asciiTheme="minorHAnsi" w:hAnsiTheme="minorHAnsi"/>
          <w:sz w:val="20"/>
          <w:szCs w:val="20"/>
        </w:rPr>
      </w:pPr>
    </w:p>
    <w:p w14:paraId="4FF32649" w14:textId="77777777" w:rsidR="004E3374" w:rsidRPr="004E3374" w:rsidRDefault="004E3374" w:rsidP="00832518">
      <w:pPr>
        <w:pStyle w:val="FootnoteText"/>
        <w:ind w:left="142" w:hanging="142"/>
        <w:rPr>
          <w:rFonts w:cs="Arial"/>
          <w:sz w:val="20"/>
          <w:szCs w:val="20"/>
        </w:rPr>
      </w:pPr>
      <w:r w:rsidRPr="004E3374">
        <w:rPr>
          <w:rFonts w:cs="Arial"/>
          <w:sz w:val="20"/>
          <w:szCs w:val="20"/>
        </w:rPr>
        <w:lastRenderedPageBreak/>
        <w:t xml:space="preserve">French, P., et al (2010) </w:t>
      </w:r>
      <w:r w:rsidRPr="004E3374">
        <w:rPr>
          <w:rFonts w:cs="Arial"/>
          <w:i/>
          <w:sz w:val="20"/>
          <w:szCs w:val="20"/>
        </w:rPr>
        <w:t>Rights Denied: Towards a National Policy Agenda About Abuse, Neglect &amp; Exploitation of Persons with Cognitive Impairment.</w:t>
      </w:r>
      <w:r w:rsidRPr="004E3374">
        <w:rPr>
          <w:rFonts w:cs="Arial"/>
          <w:sz w:val="20"/>
          <w:szCs w:val="20"/>
        </w:rPr>
        <w:t xml:space="preserve"> PWD, NSW.</w:t>
      </w:r>
    </w:p>
    <w:p w14:paraId="3E10ACD0" w14:textId="77777777" w:rsidR="004E3374" w:rsidRPr="004E3374" w:rsidRDefault="004E3374" w:rsidP="00832518">
      <w:pPr>
        <w:spacing w:after="0" w:line="240" w:lineRule="auto"/>
        <w:ind w:left="142" w:hanging="142"/>
        <w:rPr>
          <w:rFonts w:asciiTheme="minorHAnsi" w:hAnsiTheme="minorHAnsi"/>
          <w:sz w:val="20"/>
          <w:szCs w:val="20"/>
        </w:rPr>
      </w:pPr>
    </w:p>
    <w:p w14:paraId="20C28FCA" w14:textId="77777777"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cs="Arial"/>
          <w:sz w:val="20"/>
          <w:szCs w:val="20"/>
        </w:rPr>
        <w:t xml:space="preserve">Frohmader, C. (2011) </w:t>
      </w:r>
      <w:r w:rsidRPr="004E3374">
        <w:rPr>
          <w:rFonts w:asciiTheme="minorHAnsi" w:hAnsiTheme="minorHAnsi" w:cs="Arial"/>
          <w:i/>
          <w:sz w:val="20"/>
          <w:szCs w:val="20"/>
        </w:rPr>
        <w:t>Submission to the Preparation Phase of the UN Analytical Study on Violence against Women and Girls with Disabilities,</w:t>
      </w:r>
      <w:r w:rsidRPr="004E3374">
        <w:rPr>
          <w:rFonts w:asciiTheme="minorHAnsi" w:hAnsiTheme="minorHAnsi" w:cs="Arial"/>
          <w:sz w:val="20"/>
          <w:szCs w:val="20"/>
        </w:rPr>
        <w:t xml:space="preserve"> (A/HRC/RES/17/11). Prepared for Women With Disabilities Australia (WWDA). Available online at: </w:t>
      </w:r>
      <w:hyperlink r:id="rId24" w:history="1">
        <w:r w:rsidRPr="004E3374">
          <w:rPr>
            <w:rStyle w:val="Hyperlink"/>
            <w:rFonts w:asciiTheme="minorHAnsi" w:hAnsiTheme="minorHAnsi" w:cs="Arial"/>
            <w:sz w:val="20"/>
            <w:szCs w:val="20"/>
          </w:rPr>
          <w:t>http://wwda.org.au/issues/viol/viol2011/</w:t>
        </w:r>
      </w:hyperlink>
      <w:r w:rsidRPr="004E3374">
        <w:rPr>
          <w:rFonts w:asciiTheme="minorHAnsi" w:hAnsiTheme="minorHAnsi" w:cs="Arial"/>
          <w:sz w:val="20"/>
          <w:szCs w:val="20"/>
        </w:rPr>
        <w:t>;</w:t>
      </w:r>
    </w:p>
    <w:p w14:paraId="63130542" w14:textId="77777777" w:rsidR="004E3374" w:rsidRPr="004E3374" w:rsidRDefault="004E3374" w:rsidP="00832518">
      <w:pPr>
        <w:spacing w:after="0" w:line="240" w:lineRule="auto"/>
        <w:ind w:left="142" w:hanging="142"/>
        <w:rPr>
          <w:rFonts w:asciiTheme="minorHAnsi" w:hAnsiTheme="minorHAnsi"/>
          <w:sz w:val="20"/>
          <w:szCs w:val="20"/>
        </w:rPr>
      </w:pPr>
    </w:p>
    <w:p w14:paraId="6BBD9CC0" w14:textId="77777777" w:rsidR="004E3374" w:rsidRPr="004E3374" w:rsidRDefault="004E3374" w:rsidP="00832518">
      <w:pPr>
        <w:spacing w:after="0" w:line="240" w:lineRule="auto"/>
        <w:ind w:left="142" w:hanging="142"/>
        <w:rPr>
          <w:rFonts w:asciiTheme="minorHAnsi" w:hAnsiTheme="minorHAnsi" w:cs="Arial"/>
          <w:sz w:val="20"/>
          <w:szCs w:val="20"/>
        </w:rPr>
      </w:pPr>
      <w:r w:rsidRPr="004E3374">
        <w:rPr>
          <w:rFonts w:asciiTheme="minorHAnsi" w:hAnsiTheme="minorHAnsi" w:cs="Arial"/>
          <w:sz w:val="20"/>
          <w:szCs w:val="20"/>
        </w:rPr>
        <w:t xml:space="preserve">Frohmader, C. (2014) </w:t>
      </w:r>
      <w:r w:rsidRPr="004E3374">
        <w:rPr>
          <w:rFonts w:asciiTheme="minorHAnsi" w:hAnsiTheme="minorHAnsi" w:cs="Arial"/>
          <w:i/>
          <w:sz w:val="20"/>
          <w:szCs w:val="20"/>
        </w:rPr>
        <w:t>‘Gender Blind, Gender Neutral’: The effectiveness of the National Disability Strategy in improving the lives of women and girls with disabilities.</w:t>
      </w:r>
      <w:r w:rsidRPr="004E3374">
        <w:rPr>
          <w:rFonts w:asciiTheme="minorHAnsi" w:hAnsiTheme="minorHAnsi" w:cs="Arial"/>
          <w:sz w:val="20"/>
          <w:szCs w:val="20"/>
        </w:rPr>
        <w:t xml:space="preserve"> Prepared for Women With Disabilities Australia (WWDA), Hobart, </w:t>
      </w:r>
      <w:proofErr w:type="gramStart"/>
      <w:r w:rsidRPr="004E3374">
        <w:rPr>
          <w:rFonts w:asciiTheme="minorHAnsi" w:hAnsiTheme="minorHAnsi" w:cs="Arial"/>
          <w:sz w:val="20"/>
          <w:szCs w:val="20"/>
        </w:rPr>
        <w:t>Tasmania</w:t>
      </w:r>
      <w:proofErr w:type="gramEnd"/>
      <w:r w:rsidRPr="004E3374">
        <w:rPr>
          <w:rFonts w:asciiTheme="minorHAnsi" w:hAnsiTheme="minorHAnsi" w:cs="Arial"/>
          <w:sz w:val="20"/>
          <w:szCs w:val="20"/>
        </w:rPr>
        <w:t>. ISBN: 978-0-9585268-2-1.</w:t>
      </w:r>
    </w:p>
    <w:p w14:paraId="6433618B" w14:textId="77777777" w:rsidR="004E3374" w:rsidRPr="004E3374" w:rsidRDefault="004E3374" w:rsidP="00832518">
      <w:pPr>
        <w:spacing w:after="0" w:line="240" w:lineRule="auto"/>
        <w:ind w:left="142" w:hanging="142"/>
        <w:rPr>
          <w:rFonts w:asciiTheme="minorHAnsi" w:hAnsiTheme="minorHAnsi"/>
          <w:sz w:val="20"/>
          <w:szCs w:val="20"/>
        </w:rPr>
      </w:pPr>
    </w:p>
    <w:p w14:paraId="70299365" w14:textId="77777777"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sz w:val="20"/>
          <w:szCs w:val="20"/>
        </w:rPr>
        <w:t xml:space="preserve">Frohmader, C. &amp; </w:t>
      </w:r>
      <w:proofErr w:type="spellStart"/>
      <w:r w:rsidRPr="004E3374">
        <w:rPr>
          <w:rFonts w:asciiTheme="minorHAnsi" w:hAnsiTheme="minorHAnsi"/>
          <w:sz w:val="20"/>
          <w:szCs w:val="20"/>
        </w:rPr>
        <w:t>Cadwallader</w:t>
      </w:r>
      <w:proofErr w:type="spellEnd"/>
      <w:r w:rsidRPr="004E3374">
        <w:rPr>
          <w:rFonts w:asciiTheme="minorHAnsi" w:hAnsiTheme="minorHAnsi"/>
          <w:sz w:val="20"/>
          <w:szCs w:val="20"/>
        </w:rPr>
        <w:t xml:space="preserve">, J. (2014) </w:t>
      </w:r>
      <w:r w:rsidRPr="00722E63">
        <w:rPr>
          <w:rFonts w:asciiTheme="minorHAnsi" w:hAnsiTheme="minorHAnsi"/>
          <w:i/>
          <w:sz w:val="20"/>
          <w:szCs w:val="20"/>
        </w:rPr>
        <w:t>Joint Submission from National Cross-Disability Disabled People’s Organisations (DPO’s) to the Senate Standing Committee on Finance and Public Administration ‘Inquiry into Domestic Violence in Australia’</w:t>
      </w:r>
      <w:r w:rsidRPr="004E3374">
        <w:rPr>
          <w:rFonts w:asciiTheme="minorHAnsi" w:hAnsiTheme="minorHAnsi"/>
          <w:sz w:val="20"/>
          <w:szCs w:val="20"/>
        </w:rPr>
        <w:t xml:space="preserve">. Available at: </w:t>
      </w:r>
      <w:hyperlink r:id="rId25" w:history="1">
        <w:r w:rsidRPr="004E3374">
          <w:rPr>
            <w:rStyle w:val="Hyperlink"/>
            <w:rFonts w:asciiTheme="minorHAnsi" w:hAnsiTheme="minorHAnsi"/>
            <w:sz w:val="20"/>
            <w:szCs w:val="20"/>
          </w:rPr>
          <w:t>http://wwda.org.au/wp-content/uploads/2013/12/Final_Draft_DPO_Sub_DV_Senate2014.pdf</w:t>
        </w:r>
      </w:hyperlink>
      <w:r w:rsidRPr="004E3374">
        <w:rPr>
          <w:rFonts w:asciiTheme="minorHAnsi" w:hAnsiTheme="minorHAnsi"/>
          <w:sz w:val="20"/>
          <w:szCs w:val="20"/>
        </w:rPr>
        <w:t xml:space="preserve"> </w:t>
      </w:r>
    </w:p>
    <w:p w14:paraId="060878F7" w14:textId="77777777" w:rsidR="004E3374" w:rsidRPr="004E3374" w:rsidRDefault="004E3374" w:rsidP="00832518">
      <w:pPr>
        <w:spacing w:after="0" w:line="240" w:lineRule="auto"/>
        <w:ind w:left="142" w:hanging="142"/>
        <w:rPr>
          <w:rFonts w:asciiTheme="minorHAnsi" w:hAnsiTheme="minorHAnsi"/>
          <w:sz w:val="20"/>
          <w:szCs w:val="20"/>
        </w:rPr>
      </w:pPr>
    </w:p>
    <w:p w14:paraId="0E15452B" w14:textId="77777777"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cs="Arial"/>
          <w:sz w:val="20"/>
          <w:szCs w:val="20"/>
          <w:lang w:val="en-US"/>
        </w:rPr>
        <w:t xml:space="preserve">Frohmader, C. &amp; Swift, K. (2012) Opening minds &amp; opening doors: Re- conceptualising ‘domestic violence’ to be inclusive of women with disabilities in institutions. </w:t>
      </w:r>
      <w:proofErr w:type="spellStart"/>
      <w:r w:rsidRPr="004E3374">
        <w:rPr>
          <w:rFonts w:asciiTheme="minorHAnsi" w:hAnsiTheme="minorHAnsi" w:cs="Arial"/>
          <w:i/>
          <w:sz w:val="20"/>
          <w:szCs w:val="20"/>
          <w:lang w:val="en-US"/>
        </w:rPr>
        <w:t>CDFVRe@der</w:t>
      </w:r>
      <w:proofErr w:type="spellEnd"/>
      <w:r w:rsidRPr="004E3374">
        <w:rPr>
          <w:rFonts w:asciiTheme="minorHAnsi" w:hAnsiTheme="minorHAnsi" w:cs="Arial"/>
          <w:sz w:val="20"/>
          <w:szCs w:val="20"/>
          <w:lang w:val="en-US"/>
        </w:rPr>
        <w:t>, Vol. 11, No. 2, pp. 7-8.</w:t>
      </w:r>
    </w:p>
    <w:p w14:paraId="610B4741" w14:textId="77777777" w:rsidR="004E3374" w:rsidRPr="004E3374" w:rsidRDefault="004E3374" w:rsidP="00832518">
      <w:pPr>
        <w:spacing w:after="0" w:line="240" w:lineRule="auto"/>
        <w:ind w:left="142" w:hanging="142"/>
        <w:rPr>
          <w:rFonts w:asciiTheme="minorHAnsi" w:hAnsiTheme="minorHAnsi"/>
          <w:sz w:val="20"/>
          <w:szCs w:val="20"/>
        </w:rPr>
      </w:pPr>
    </w:p>
    <w:p w14:paraId="08B97124" w14:textId="77777777" w:rsidR="004E3374" w:rsidRPr="004E3374" w:rsidRDefault="004E3374" w:rsidP="00832518">
      <w:pPr>
        <w:spacing w:after="0" w:line="240" w:lineRule="auto"/>
        <w:ind w:left="142" w:hanging="142"/>
        <w:rPr>
          <w:rFonts w:asciiTheme="minorHAnsi" w:hAnsiTheme="minorHAnsi"/>
          <w:sz w:val="20"/>
          <w:szCs w:val="20"/>
        </w:rPr>
      </w:pPr>
      <w:proofErr w:type="spellStart"/>
      <w:r w:rsidRPr="004E3374">
        <w:rPr>
          <w:rFonts w:asciiTheme="minorHAnsi" w:hAnsiTheme="minorHAnsi"/>
          <w:sz w:val="20"/>
          <w:szCs w:val="20"/>
        </w:rPr>
        <w:t>Heenan</w:t>
      </w:r>
      <w:proofErr w:type="spellEnd"/>
      <w:r w:rsidRPr="004E3374">
        <w:rPr>
          <w:rFonts w:asciiTheme="minorHAnsi" w:hAnsiTheme="minorHAnsi"/>
          <w:sz w:val="20"/>
          <w:szCs w:val="20"/>
        </w:rPr>
        <w:t xml:space="preserve">, M., &amp; Murray, S. (2006). </w:t>
      </w:r>
      <w:proofErr w:type="gramStart"/>
      <w:r w:rsidRPr="00722E63">
        <w:rPr>
          <w:rFonts w:asciiTheme="minorHAnsi" w:hAnsiTheme="minorHAnsi"/>
          <w:i/>
          <w:sz w:val="20"/>
          <w:szCs w:val="20"/>
        </w:rPr>
        <w:t>Study of reported rapes in Victoria 2000–2003.</w:t>
      </w:r>
      <w:proofErr w:type="gramEnd"/>
      <w:r w:rsidRPr="00722E63">
        <w:rPr>
          <w:rFonts w:asciiTheme="minorHAnsi" w:hAnsiTheme="minorHAnsi"/>
          <w:i/>
          <w:sz w:val="20"/>
          <w:szCs w:val="20"/>
        </w:rPr>
        <w:t xml:space="preserve"> </w:t>
      </w:r>
      <w:proofErr w:type="gramStart"/>
      <w:r w:rsidRPr="00722E63">
        <w:rPr>
          <w:rFonts w:asciiTheme="minorHAnsi" w:hAnsiTheme="minorHAnsi"/>
          <w:i/>
          <w:sz w:val="20"/>
          <w:szCs w:val="20"/>
        </w:rPr>
        <w:t>Summary research report.</w:t>
      </w:r>
      <w:proofErr w:type="gramEnd"/>
      <w:r w:rsidRPr="004E3374">
        <w:rPr>
          <w:rFonts w:asciiTheme="minorHAnsi" w:hAnsiTheme="minorHAnsi"/>
          <w:sz w:val="20"/>
          <w:szCs w:val="20"/>
        </w:rPr>
        <w:t xml:space="preserve"> Melbourne: </w:t>
      </w:r>
      <w:proofErr w:type="spellStart"/>
      <w:r w:rsidRPr="004E3374">
        <w:rPr>
          <w:rFonts w:asciiTheme="minorHAnsi" w:hAnsiTheme="minorHAnsi"/>
          <w:sz w:val="20"/>
          <w:szCs w:val="20"/>
        </w:rPr>
        <w:t>Statewide</w:t>
      </w:r>
      <w:proofErr w:type="spellEnd"/>
      <w:r w:rsidRPr="004E3374">
        <w:rPr>
          <w:rFonts w:asciiTheme="minorHAnsi" w:hAnsiTheme="minorHAnsi"/>
          <w:sz w:val="20"/>
          <w:szCs w:val="20"/>
        </w:rPr>
        <w:t xml:space="preserve"> Steering Committee to Reduce Sexual Assault. Published by the Office of Women’s Policy, Department for Victorian Communities.</w:t>
      </w:r>
    </w:p>
    <w:p w14:paraId="4D363477" w14:textId="77777777" w:rsidR="004E3374" w:rsidRPr="004E3374" w:rsidRDefault="004E3374" w:rsidP="00832518">
      <w:pPr>
        <w:spacing w:after="0" w:line="240" w:lineRule="auto"/>
        <w:ind w:left="142" w:hanging="142"/>
        <w:rPr>
          <w:rFonts w:asciiTheme="minorHAnsi" w:hAnsiTheme="minorHAnsi"/>
          <w:sz w:val="20"/>
          <w:szCs w:val="20"/>
        </w:rPr>
      </w:pPr>
    </w:p>
    <w:p w14:paraId="51EF3FB9" w14:textId="1C132D17" w:rsidR="004E3374" w:rsidRDefault="00722E63" w:rsidP="00832518">
      <w:pPr>
        <w:spacing w:after="0" w:line="240" w:lineRule="auto"/>
        <w:ind w:left="142" w:hanging="142"/>
        <w:rPr>
          <w:rFonts w:asciiTheme="minorHAnsi" w:hAnsiTheme="minorHAnsi" w:cs="Calibri"/>
          <w:bCs/>
          <w:sz w:val="20"/>
          <w:szCs w:val="20"/>
          <w:lang w:eastAsia="en-AU"/>
        </w:rPr>
      </w:pPr>
      <w:proofErr w:type="gramStart"/>
      <w:r w:rsidRPr="00722E63">
        <w:rPr>
          <w:rFonts w:asciiTheme="minorHAnsi" w:hAnsiTheme="minorHAnsi" w:cs="Calibri"/>
          <w:bCs/>
          <w:sz w:val="20"/>
          <w:szCs w:val="20"/>
          <w:lang w:eastAsia="en-AU"/>
        </w:rPr>
        <w:t xml:space="preserve">International Network of Women with Disabilities (INWWD) (2011) </w:t>
      </w:r>
      <w:r w:rsidRPr="00722E63">
        <w:rPr>
          <w:rFonts w:asciiTheme="minorHAnsi" w:hAnsiTheme="minorHAnsi" w:cs="Calibri"/>
          <w:bCs/>
          <w:i/>
          <w:sz w:val="20"/>
          <w:szCs w:val="20"/>
          <w:lang w:eastAsia="en-AU"/>
        </w:rPr>
        <w:t>Violence Against Women with Disabilities</w:t>
      </w:r>
      <w:r w:rsidRPr="00722E63">
        <w:rPr>
          <w:rFonts w:asciiTheme="minorHAnsi" w:hAnsiTheme="minorHAnsi" w:cs="Calibri"/>
          <w:bCs/>
          <w:sz w:val="20"/>
          <w:szCs w:val="20"/>
          <w:lang w:eastAsia="en-AU"/>
        </w:rPr>
        <w:t>.</w:t>
      </w:r>
      <w:proofErr w:type="gramEnd"/>
      <w:r w:rsidRPr="00722E63">
        <w:rPr>
          <w:rFonts w:asciiTheme="minorHAnsi" w:hAnsiTheme="minorHAnsi" w:cs="Calibri"/>
          <w:bCs/>
          <w:sz w:val="20"/>
          <w:szCs w:val="20"/>
          <w:lang w:eastAsia="en-AU"/>
        </w:rPr>
        <w:t xml:space="preserve"> Barbara Faye Waxman </w:t>
      </w:r>
      <w:proofErr w:type="spellStart"/>
      <w:r w:rsidRPr="00722E63">
        <w:rPr>
          <w:rFonts w:asciiTheme="minorHAnsi" w:hAnsiTheme="minorHAnsi" w:cs="Calibri"/>
          <w:bCs/>
          <w:sz w:val="20"/>
          <w:szCs w:val="20"/>
          <w:lang w:eastAsia="en-AU"/>
        </w:rPr>
        <w:t>Fiduccia</w:t>
      </w:r>
      <w:proofErr w:type="spellEnd"/>
      <w:r w:rsidRPr="00722E63">
        <w:rPr>
          <w:rFonts w:asciiTheme="minorHAnsi" w:hAnsiTheme="minorHAnsi" w:cs="Calibri"/>
          <w:bCs/>
          <w:sz w:val="20"/>
          <w:szCs w:val="20"/>
          <w:lang w:eastAsia="en-AU"/>
        </w:rPr>
        <w:t xml:space="preserve"> Papers on Women and Girls with Disabilities, </w:t>
      </w:r>
      <w:proofErr w:type="spellStart"/>
      <w:r w:rsidRPr="00722E63">
        <w:rPr>
          <w:rFonts w:asciiTheme="minorHAnsi" w:hAnsiTheme="minorHAnsi" w:cs="Calibri"/>
          <w:bCs/>
          <w:sz w:val="20"/>
          <w:szCs w:val="20"/>
          <w:lang w:eastAsia="en-AU"/>
        </w:rPr>
        <w:t>Center</w:t>
      </w:r>
      <w:proofErr w:type="spellEnd"/>
      <w:r w:rsidRPr="00722E63">
        <w:rPr>
          <w:rFonts w:asciiTheme="minorHAnsi" w:hAnsiTheme="minorHAnsi" w:cs="Calibri"/>
          <w:bCs/>
          <w:sz w:val="20"/>
          <w:szCs w:val="20"/>
          <w:lang w:eastAsia="en-AU"/>
        </w:rPr>
        <w:t xml:space="preserve"> for Women Policy Studies.</w:t>
      </w:r>
    </w:p>
    <w:p w14:paraId="20251122" w14:textId="77777777" w:rsidR="00722E63" w:rsidRPr="004E3374" w:rsidRDefault="00722E63" w:rsidP="00832518">
      <w:pPr>
        <w:spacing w:after="0" w:line="240" w:lineRule="auto"/>
        <w:ind w:left="142" w:hanging="142"/>
        <w:rPr>
          <w:rFonts w:asciiTheme="minorHAnsi" w:hAnsiTheme="minorHAnsi"/>
          <w:sz w:val="20"/>
          <w:szCs w:val="20"/>
        </w:rPr>
      </w:pPr>
    </w:p>
    <w:p w14:paraId="626C8421" w14:textId="77777777" w:rsidR="004E3374" w:rsidRPr="004E3374" w:rsidRDefault="004E3374" w:rsidP="00832518">
      <w:pPr>
        <w:pStyle w:val="FootnoteText"/>
        <w:ind w:left="142" w:hanging="142"/>
        <w:rPr>
          <w:rFonts w:cs="Arial"/>
          <w:sz w:val="20"/>
          <w:szCs w:val="20"/>
          <w:lang w:val="en-US"/>
        </w:rPr>
      </w:pPr>
      <w:proofErr w:type="gramStart"/>
      <w:r w:rsidRPr="004E3374">
        <w:rPr>
          <w:rFonts w:cs="Arial"/>
          <w:sz w:val="20"/>
          <w:szCs w:val="20"/>
        </w:rPr>
        <w:t xml:space="preserve">Jacques, O. (16th Jul 2014) </w:t>
      </w:r>
      <w:r w:rsidRPr="004E3374">
        <w:rPr>
          <w:rFonts w:cs="Arial"/>
          <w:i/>
          <w:sz w:val="20"/>
          <w:szCs w:val="20"/>
        </w:rPr>
        <w:t>Wicked Campers to remove 'insensitive slogans'</w:t>
      </w:r>
      <w:r w:rsidRPr="004E3374">
        <w:rPr>
          <w:rFonts w:cs="Arial"/>
          <w:sz w:val="20"/>
          <w:szCs w:val="20"/>
        </w:rPr>
        <w:t>.</w:t>
      </w:r>
      <w:proofErr w:type="gramEnd"/>
      <w:r w:rsidRPr="004E3374">
        <w:rPr>
          <w:rFonts w:cs="Arial"/>
          <w:sz w:val="20"/>
          <w:szCs w:val="20"/>
        </w:rPr>
        <w:t xml:space="preserve"> The Bulletin. Accessed online July 2014 at: </w:t>
      </w:r>
      <w:hyperlink r:id="rId26" w:history="1">
        <w:r w:rsidRPr="004E3374">
          <w:rPr>
            <w:rStyle w:val="Hyperlink"/>
            <w:rFonts w:cs="Arial"/>
            <w:sz w:val="20"/>
            <w:szCs w:val="20"/>
          </w:rPr>
          <w:t>http://www.themorningbulletin.com.au/news/greens-condemn-wicked-campers-senate/2320323/</w:t>
        </w:r>
      </w:hyperlink>
      <w:r w:rsidRPr="004E3374">
        <w:rPr>
          <w:rFonts w:cs="Arial"/>
          <w:sz w:val="20"/>
          <w:szCs w:val="20"/>
        </w:rPr>
        <w:t xml:space="preserve"> </w:t>
      </w:r>
    </w:p>
    <w:p w14:paraId="7815E3B7" w14:textId="77777777" w:rsidR="004E3374" w:rsidRPr="004E3374" w:rsidRDefault="004E3374" w:rsidP="00832518">
      <w:pPr>
        <w:spacing w:after="0" w:line="240" w:lineRule="auto"/>
        <w:ind w:left="142" w:hanging="142"/>
        <w:rPr>
          <w:rFonts w:asciiTheme="minorHAnsi" w:hAnsiTheme="minorHAnsi"/>
          <w:sz w:val="20"/>
          <w:szCs w:val="20"/>
        </w:rPr>
      </w:pPr>
    </w:p>
    <w:p w14:paraId="7ACDDBBD" w14:textId="69BFE90A" w:rsidR="004E3374" w:rsidRPr="004E3374" w:rsidRDefault="004E3374" w:rsidP="00832518">
      <w:pPr>
        <w:spacing w:after="0" w:line="240" w:lineRule="auto"/>
        <w:ind w:left="142" w:hanging="142"/>
        <w:rPr>
          <w:rFonts w:asciiTheme="minorHAnsi" w:hAnsiTheme="minorHAnsi"/>
          <w:sz w:val="20"/>
          <w:szCs w:val="20"/>
        </w:rPr>
      </w:pPr>
      <w:proofErr w:type="spellStart"/>
      <w:r w:rsidRPr="004E3374">
        <w:rPr>
          <w:rFonts w:asciiTheme="minorHAnsi" w:hAnsiTheme="minorHAnsi" w:cs="Calibri"/>
          <w:bCs/>
          <w:sz w:val="20"/>
          <w:szCs w:val="20"/>
          <w:lang w:eastAsia="en-AU"/>
        </w:rPr>
        <w:t>Manjoo</w:t>
      </w:r>
      <w:proofErr w:type="spellEnd"/>
      <w:r w:rsidR="00722E63">
        <w:rPr>
          <w:rFonts w:asciiTheme="minorHAnsi" w:hAnsiTheme="minorHAnsi" w:cs="Calibri"/>
          <w:bCs/>
          <w:sz w:val="20"/>
          <w:szCs w:val="20"/>
          <w:lang w:eastAsia="en-AU"/>
        </w:rPr>
        <w:t>, R. (</w:t>
      </w:r>
      <w:r w:rsidRPr="004E3374">
        <w:rPr>
          <w:rFonts w:asciiTheme="minorHAnsi" w:hAnsiTheme="minorHAnsi" w:cs="Calibri"/>
          <w:bCs/>
          <w:sz w:val="20"/>
          <w:szCs w:val="20"/>
          <w:lang w:eastAsia="en-AU"/>
        </w:rPr>
        <w:t>2011</w:t>
      </w:r>
      <w:r w:rsidR="00722E63">
        <w:rPr>
          <w:rFonts w:asciiTheme="minorHAnsi" w:hAnsiTheme="minorHAnsi" w:cs="Calibri"/>
          <w:bCs/>
          <w:sz w:val="20"/>
          <w:szCs w:val="20"/>
          <w:lang w:eastAsia="en-AU"/>
        </w:rPr>
        <w:t>)</w:t>
      </w:r>
      <w:r w:rsidRPr="004E3374">
        <w:rPr>
          <w:rFonts w:asciiTheme="minorHAnsi" w:hAnsiTheme="minorHAnsi" w:cs="Calibri"/>
          <w:bCs/>
          <w:sz w:val="20"/>
          <w:szCs w:val="20"/>
          <w:lang w:eastAsia="en-AU"/>
        </w:rPr>
        <w:t xml:space="preserve"> </w:t>
      </w:r>
      <w:r w:rsidR="00722E63" w:rsidRPr="00722E63">
        <w:rPr>
          <w:rFonts w:asciiTheme="minorHAnsi" w:hAnsiTheme="minorHAnsi" w:cs="Calibri"/>
          <w:bCs/>
          <w:i/>
          <w:sz w:val="20"/>
          <w:szCs w:val="20"/>
          <w:lang w:eastAsia="en-AU"/>
        </w:rPr>
        <w:t>Report of the Special Rapporteur on violence against women, its causes and consequences</w:t>
      </w:r>
      <w:r w:rsidR="00722E63">
        <w:rPr>
          <w:rFonts w:asciiTheme="minorHAnsi" w:hAnsiTheme="minorHAnsi" w:cs="Calibri"/>
          <w:bCs/>
          <w:sz w:val="20"/>
          <w:szCs w:val="20"/>
          <w:lang w:eastAsia="en-AU"/>
        </w:rPr>
        <w:t xml:space="preserve">. </w:t>
      </w:r>
      <w:proofErr w:type="gramStart"/>
      <w:r w:rsidR="00722E63">
        <w:rPr>
          <w:rFonts w:asciiTheme="minorHAnsi" w:hAnsiTheme="minorHAnsi" w:cs="Calibri"/>
          <w:bCs/>
          <w:sz w:val="20"/>
          <w:szCs w:val="20"/>
          <w:lang w:eastAsia="en-AU"/>
        </w:rPr>
        <w:t>United Nations General Assembly, UN Doc No.</w:t>
      </w:r>
      <w:proofErr w:type="gramEnd"/>
      <w:r w:rsidR="00722E63" w:rsidRPr="00722E63">
        <w:rPr>
          <w:rFonts w:asciiTheme="minorHAnsi" w:hAnsiTheme="minorHAnsi" w:cs="Calibri"/>
          <w:bCs/>
          <w:sz w:val="20"/>
          <w:szCs w:val="20"/>
          <w:lang w:eastAsia="en-AU"/>
        </w:rPr>
        <w:t xml:space="preserve"> </w:t>
      </w:r>
      <w:r w:rsidRPr="004E3374">
        <w:rPr>
          <w:rFonts w:asciiTheme="minorHAnsi" w:hAnsiTheme="minorHAnsi" w:cs="Calibri"/>
          <w:bCs/>
          <w:sz w:val="20"/>
          <w:szCs w:val="20"/>
          <w:lang w:eastAsia="en-AU"/>
        </w:rPr>
        <w:t>A/HRC/17/26</w:t>
      </w:r>
    </w:p>
    <w:p w14:paraId="4673D008" w14:textId="025C175A" w:rsidR="004E3374" w:rsidRPr="004E3374" w:rsidRDefault="004E3374" w:rsidP="00832518">
      <w:pPr>
        <w:spacing w:after="0" w:line="240" w:lineRule="auto"/>
        <w:ind w:left="142" w:hanging="142"/>
        <w:rPr>
          <w:rFonts w:asciiTheme="minorHAnsi" w:hAnsiTheme="minorHAnsi"/>
          <w:sz w:val="20"/>
          <w:szCs w:val="20"/>
        </w:rPr>
      </w:pPr>
    </w:p>
    <w:p w14:paraId="04007A4A" w14:textId="43FE5AB7" w:rsidR="004E3374" w:rsidRPr="004E3374" w:rsidRDefault="004E3374" w:rsidP="00832518">
      <w:pPr>
        <w:spacing w:after="0" w:line="240" w:lineRule="auto"/>
        <w:ind w:left="142" w:hanging="142"/>
        <w:rPr>
          <w:rFonts w:asciiTheme="minorHAnsi" w:hAnsiTheme="minorHAnsi"/>
          <w:sz w:val="20"/>
          <w:szCs w:val="20"/>
        </w:rPr>
      </w:pPr>
      <w:proofErr w:type="spellStart"/>
      <w:r w:rsidRPr="004E3374">
        <w:rPr>
          <w:rFonts w:asciiTheme="minorHAnsi" w:hAnsiTheme="minorHAnsi"/>
          <w:sz w:val="20"/>
          <w:szCs w:val="20"/>
        </w:rPr>
        <w:t>Manjoo</w:t>
      </w:r>
      <w:proofErr w:type="spellEnd"/>
      <w:r w:rsidR="00F85786">
        <w:rPr>
          <w:rFonts w:asciiTheme="minorHAnsi" w:hAnsiTheme="minorHAnsi"/>
          <w:sz w:val="20"/>
          <w:szCs w:val="20"/>
        </w:rPr>
        <w:t>, R. (</w:t>
      </w:r>
      <w:r w:rsidRPr="004E3374">
        <w:rPr>
          <w:rFonts w:asciiTheme="minorHAnsi" w:hAnsiTheme="minorHAnsi"/>
          <w:sz w:val="20"/>
          <w:szCs w:val="20"/>
        </w:rPr>
        <w:t>2012</w:t>
      </w:r>
      <w:r w:rsidR="00F85786">
        <w:rPr>
          <w:rFonts w:asciiTheme="minorHAnsi" w:hAnsiTheme="minorHAnsi"/>
          <w:sz w:val="20"/>
          <w:szCs w:val="20"/>
        </w:rPr>
        <w:t xml:space="preserve">) </w:t>
      </w:r>
      <w:r w:rsidR="00F85786" w:rsidRPr="00F85786">
        <w:rPr>
          <w:rFonts w:asciiTheme="minorHAnsi" w:hAnsiTheme="minorHAnsi"/>
          <w:i/>
          <w:sz w:val="20"/>
          <w:szCs w:val="20"/>
        </w:rPr>
        <w:t>Report of the Special Rapporteur on violence against women, its causes and consequences.</w:t>
      </w:r>
      <w:r w:rsidR="00F85786">
        <w:rPr>
          <w:rFonts w:asciiTheme="minorHAnsi" w:hAnsiTheme="minorHAnsi"/>
          <w:sz w:val="20"/>
          <w:szCs w:val="20"/>
        </w:rPr>
        <w:t xml:space="preserve"> </w:t>
      </w:r>
      <w:proofErr w:type="gramStart"/>
      <w:r w:rsidR="00F85786">
        <w:rPr>
          <w:rFonts w:asciiTheme="minorHAnsi" w:hAnsiTheme="minorHAnsi" w:cs="Calibri"/>
          <w:bCs/>
          <w:sz w:val="20"/>
          <w:szCs w:val="20"/>
          <w:lang w:eastAsia="en-AU"/>
        </w:rPr>
        <w:t>United Nations General Assembly, UN Doc No.</w:t>
      </w:r>
      <w:proofErr w:type="gramEnd"/>
      <w:r w:rsidR="00F85786">
        <w:rPr>
          <w:rFonts w:asciiTheme="minorHAnsi" w:hAnsiTheme="minorHAnsi" w:cs="Calibri"/>
          <w:bCs/>
          <w:sz w:val="20"/>
          <w:szCs w:val="20"/>
          <w:lang w:eastAsia="en-AU"/>
        </w:rPr>
        <w:t xml:space="preserve"> </w:t>
      </w:r>
      <w:r w:rsidR="00F85786" w:rsidRPr="00F85786">
        <w:rPr>
          <w:rFonts w:asciiTheme="minorHAnsi" w:hAnsiTheme="minorHAnsi" w:cs="Calibri"/>
          <w:bCs/>
          <w:sz w:val="20"/>
          <w:szCs w:val="20"/>
          <w:lang w:eastAsia="en-AU"/>
        </w:rPr>
        <w:t>A/67/227</w:t>
      </w:r>
      <w:r w:rsidR="00F85786">
        <w:rPr>
          <w:rFonts w:asciiTheme="minorHAnsi" w:hAnsiTheme="minorHAnsi" w:cs="Calibri"/>
          <w:bCs/>
          <w:sz w:val="20"/>
          <w:szCs w:val="20"/>
          <w:lang w:eastAsia="en-AU"/>
        </w:rPr>
        <w:t>.</w:t>
      </w:r>
    </w:p>
    <w:p w14:paraId="2160268D" w14:textId="77777777" w:rsidR="004E3374" w:rsidRPr="004E3374" w:rsidRDefault="004E3374" w:rsidP="00832518">
      <w:pPr>
        <w:spacing w:after="0" w:line="240" w:lineRule="auto"/>
        <w:ind w:left="142" w:hanging="142"/>
        <w:rPr>
          <w:rFonts w:asciiTheme="minorHAnsi" w:hAnsiTheme="minorHAnsi"/>
          <w:sz w:val="20"/>
          <w:szCs w:val="20"/>
        </w:rPr>
      </w:pPr>
    </w:p>
    <w:p w14:paraId="00B3B582" w14:textId="483D31FC"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cs="Calibri"/>
          <w:bCs/>
          <w:sz w:val="20"/>
          <w:szCs w:val="20"/>
          <w:lang w:eastAsia="en-AU"/>
        </w:rPr>
        <w:t xml:space="preserve">Meekosha &amp; Dowse 2007 </w:t>
      </w:r>
      <w:r w:rsidR="00F85786">
        <w:rPr>
          <w:rFonts w:asciiTheme="minorHAnsi" w:hAnsiTheme="minorHAnsi" w:cs="Calibri"/>
          <w:bCs/>
          <w:sz w:val="20"/>
          <w:szCs w:val="20"/>
          <w:lang w:eastAsia="en-AU"/>
        </w:rPr>
        <w:t xml:space="preserve">cited in </w:t>
      </w:r>
      <w:r w:rsidR="00F85786" w:rsidRPr="004E3374">
        <w:rPr>
          <w:rFonts w:asciiTheme="minorHAnsi" w:hAnsiTheme="minorHAnsi" w:cs="Calibri"/>
          <w:bCs/>
          <w:sz w:val="20"/>
          <w:szCs w:val="20"/>
          <w:lang w:eastAsia="en-AU"/>
        </w:rPr>
        <w:t xml:space="preserve">in </w:t>
      </w:r>
      <w:r w:rsidR="00F85786" w:rsidRPr="004E3374">
        <w:rPr>
          <w:rFonts w:asciiTheme="minorHAnsi" w:hAnsiTheme="minorHAnsi" w:cs="Arial"/>
          <w:sz w:val="20"/>
          <w:szCs w:val="20"/>
        </w:rPr>
        <w:t xml:space="preserve">Dowse, L., Soldatic, K., Didi, A., Frohmader, C. and van </w:t>
      </w:r>
      <w:proofErr w:type="spellStart"/>
      <w:r w:rsidR="00F85786" w:rsidRPr="004E3374">
        <w:rPr>
          <w:rFonts w:asciiTheme="minorHAnsi" w:hAnsiTheme="minorHAnsi" w:cs="Arial"/>
          <w:sz w:val="20"/>
          <w:szCs w:val="20"/>
        </w:rPr>
        <w:t>Toorn</w:t>
      </w:r>
      <w:proofErr w:type="spellEnd"/>
      <w:r w:rsidR="00F85786" w:rsidRPr="004E3374">
        <w:rPr>
          <w:rFonts w:asciiTheme="minorHAnsi" w:hAnsiTheme="minorHAnsi" w:cs="Arial"/>
          <w:sz w:val="20"/>
          <w:szCs w:val="20"/>
        </w:rPr>
        <w:t xml:space="preserve">, G. (2013) </w:t>
      </w:r>
      <w:r w:rsidR="00F85786" w:rsidRPr="004E3374">
        <w:rPr>
          <w:rFonts w:asciiTheme="minorHAnsi" w:hAnsiTheme="minorHAnsi" w:cs="Arial"/>
          <w:i/>
          <w:sz w:val="20"/>
          <w:szCs w:val="20"/>
        </w:rPr>
        <w:t>Stop the Violence: Addressing Violence Against Women and Girls with Disabilities in Australia</w:t>
      </w:r>
      <w:r w:rsidR="00F85786" w:rsidRPr="004E3374">
        <w:rPr>
          <w:rFonts w:asciiTheme="minorHAnsi" w:hAnsiTheme="minorHAnsi" w:cs="Arial"/>
          <w:sz w:val="20"/>
          <w:szCs w:val="20"/>
        </w:rPr>
        <w:t>. Background Paper. Hobart: Women with Disabilities Australia.</w:t>
      </w:r>
    </w:p>
    <w:p w14:paraId="0946FE3E" w14:textId="77777777" w:rsidR="004E3374" w:rsidRPr="004E3374" w:rsidRDefault="004E3374" w:rsidP="00832518">
      <w:pPr>
        <w:spacing w:after="0" w:line="240" w:lineRule="auto"/>
        <w:ind w:left="142" w:hanging="142"/>
        <w:rPr>
          <w:rFonts w:asciiTheme="minorHAnsi" w:hAnsiTheme="minorHAnsi"/>
          <w:sz w:val="20"/>
          <w:szCs w:val="20"/>
        </w:rPr>
      </w:pPr>
    </w:p>
    <w:p w14:paraId="0B21E1FB" w14:textId="77777777" w:rsidR="00F85786"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cs="Calibri"/>
          <w:bCs/>
          <w:sz w:val="20"/>
          <w:szCs w:val="20"/>
          <w:lang w:eastAsia="en-AU"/>
        </w:rPr>
        <w:t xml:space="preserve">Ortoleva &amp; Lewis 2012 </w:t>
      </w:r>
      <w:r w:rsidR="00F85786">
        <w:rPr>
          <w:rFonts w:asciiTheme="minorHAnsi" w:hAnsiTheme="minorHAnsi" w:cs="Calibri"/>
          <w:bCs/>
          <w:sz w:val="20"/>
          <w:szCs w:val="20"/>
          <w:lang w:eastAsia="en-AU"/>
        </w:rPr>
        <w:t xml:space="preserve">cited in </w:t>
      </w:r>
      <w:r w:rsidRPr="004E3374">
        <w:rPr>
          <w:rFonts w:asciiTheme="minorHAnsi" w:hAnsiTheme="minorHAnsi" w:cs="Calibri"/>
          <w:bCs/>
          <w:sz w:val="20"/>
          <w:szCs w:val="20"/>
          <w:lang w:eastAsia="en-AU"/>
        </w:rPr>
        <w:t xml:space="preserve">in </w:t>
      </w:r>
      <w:r w:rsidR="00F85786" w:rsidRPr="004E3374">
        <w:rPr>
          <w:rFonts w:asciiTheme="minorHAnsi" w:hAnsiTheme="minorHAnsi" w:cs="Arial"/>
          <w:sz w:val="20"/>
          <w:szCs w:val="20"/>
        </w:rPr>
        <w:t xml:space="preserve">Dowse, L., Soldatic, K., Didi, A., Frohmader, C. and van </w:t>
      </w:r>
      <w:proofErr w:type="spellStart"/>
      <w:r w:rsidR="00F85786" w:rsidRPr="004E3374">
        <w:rPr>
          <w:rFonts w:asciiTheme="minorHAnsi" w:hAnsiTheme="minorHAnsi" w:cs="Arial"/>
          <w:sz w:val="20"/>
          <w:szCs w:val="20"/>
        </w:rPr>
        <w:t>Toorn</w:t>
      </w:r>
      <w:proofErr w:type="spellEnd"/>
      <w:r w:rsidR="00F85786" w:rsidRPr="004E3374">
        <w:rPr>
          <w:rFonts w:asciiTheme="minorHAnsi" w:hAnsiTheme="minorHAnsi" w:cs="Arial"/>
          <w:sz w:val="20"/>
          <w:szCs w:val="20"/>
        </w:rPr>
        <w:t xml:space="preserve">, G. (2013) </w:t>
      </w:r>
      <w:r w:rsidR="00F85786" w:rsidRPr="004E3374">
        <w:rPr>
          <w:rFonts w:asciiTheme="minorHAnsi" w:hAnsiTheme="minorHAnsi" w:cs="Arial"/>
          <w:i/>
          <w:sz w:val="20"/>
          <w:szCs w:val="20"/>
        </w:rPr>
        <w:t>Stop the Violence: Addressing Violence Against Women and Girls with Disabilities in Australia</w:t>
      </w:r>
      <w:r w:rsidR="00F85786" w:rsidRPr="004E3374">
        <w:rPr>
          <w:rFonts w:asciiTheme="minorHAnsi" w:hAnsiTheme="minorHAnsi" w:cs="Arial"/>
          <w:sz w:val="20"/>
          <w:szCs w:val="20"/>
        </w:rPr>
        <w:t>. Background Paper. Hobart: Women with Disabilities Australia.</w:t>
      </w:r>
    </w:p>
    <w:p w14:paraId="039444FA" w14:textId="51281E5E" w:rsidR="004E3374" w:rsidRPr="004E3374" w:rsidRDefault="004E3374" w:rsidP="00832518">
      <w:pPr>
        <w:spacing w:after="0" w:line="240" w:lineRule="auto"/>
        <w:ind w:left="142" w:hanging="142"/>
        <w:rPr>
          <w:rFonts w:asciiTheme="minorHAnsi" w:hAnsiTheme="minorHAnsi"/>
          <w:sz w:val="20"/>
          <w:szCs w:val="20"/>
        </w:rPr>
      </w:pPr>
    </w:p>
    <w:p w14:paraId="134B206B" w14:textId="77777777" w:rsidR="004E3374" w:rsidRPr="004E3374" w:rsidRDefault="004E3374" w:rsidP="00832518">
      <w:pPr>
        <w:pStyle w:val="FootnoteText"/>
        <w:ind w:left="142" w:hanging="142"/>
        <w:rPr>
          <w:rFonts w:cs="Arial"/>
          <w:sz w:val="20"/>
          <w:szCs w:val="20"/>
          <w:lang w:val="en-US"/>
        </w:rPr>
      </w:pPr>
      <w:r w:rsidRPr="004E3374">
        <w:rPr>
          <w:rFonts w:cs="Arial"/>
          <w:sz w:val="20"/>
          <w:szCs w:val="20"/>
        </w:rPr>
        <w:t xml:space="preserve">Phillips, J. (2014) </w:t>
      </w:r>
      <w:r w:rsidRPr="004E3374">
        <w:rPr>
          <w:rFonts w:cs="Arial"/>
          <w:i/>
          <w:sz w:val="20"/>
          <w:szCs w:val="20"/>
        </w:rPr>
        <w:t>Domestic violence: Rachelle Yeo's father urges men to address 'national human rights disaster.</w:t>
      </w:r>
      <w:r w:rsidRPr="004E3374">
        <w:rPr>
          <w:rFonts w:cs="Arial"/>
          <w:sz w:val="20"/>
          <w:szCs w:val="20"/>
        </w:rPr>
        <w:t xml:space="preserve"> ABC News, 6 May 2014, accessed online at: </w:t>
      </w:r>
      <w:hyperlink r:id="rId27" w:history="1">
        <w:r w:rsidRPr="004E3374">
          <w:rPr>
            <w:rStyle w:val="Hyperlink"/>
            <w:rFonts w:cs="Arial"/>
            <w:sz w:val="20"/>
            <w:szCs w:val="20"/>
          </w:rPr>
          <w:t>http://www.abc.net.au/news/2014-05-06/rachelle-yeos-father-pleads-for-change/5427002</w:t>
        </w:r>
      </w:hyperlink>
      <w:proofErr w:type="gramStart"/>
      <w:r w:rsidRPr="004E3374">
        <w:rPr>
          <w:rFonts w:cs="Arial"/>
          <w:sz w:val="20"/>
          <w:szCs w:val="20"/>
        </w:rPr>
        <w:t xml:space="preserve"> ;</w:t>
      </w:r>
      <w:proofErr w:type="gramEnd"/>
      <w:r w:rsidRPr="004E3374">
        <w:rPr>
          <w:rFonts w:cs="Arial"/>
          <w:sz w:val="20"/>
          <w:szCs w:val="20"/>
        </w:rPr>
        <w:t xml:space="preserve"> See also: Australian Domestic and Family Violence Clearinghouse (2004) Amnesty International launches worldwide campaign to stop violence against women. </w:t>
      </w:r>
      <w:r w:rsidRPr="004E3374">
        <w:rPr>
          <w:rFonts w:cs="Arial"/>
          <w:i/>
          <w:sz w:val="20"/>
          <w:szCs w:val="20"/>
        </w:rPr>
        <w:t>ADFVC Newsletter</w:t>
      </w:r>
      <w:r w:rsidRPr="004E3374">
        <w:rPr>
          <w:rFonts w:cs="Arial"/>
          <w:sz w:val="20"/>
          <w:szCs w:val="20"/>
        </w:rPr>
        <w:t>, 18, May 2004.</w:t>
      </w:r>
    </w:p>
    <w:p w14:paraId="442769D6" w14:textId="77777777" w:rsidR="004E3374" w:rsidRPr="004E3374" w:rsidRDefault="004E3374" w:rsidP="00832518">
      <w:pPr>
        <w:spacing w:after="0" w:line="240" w:lineRule="auto"/>
        <w:ind w:left="142" w:hanging="142"/>
        <w:rPr>
          <w:rFonts w:asciiTheme="minorHAnsi" w:hAnsiTheme="minorHAnsi"/>
          <w:sz w:val="20"/>
          <w:szCs w:val="20"/>
        </w:rPr>
      </w:pPr>
    </w:p>
    <w:p w14:paraId="3713FCBA" w14:textId="77777777" w:rsidR="004E3374" w:rsidRPr="004E3374" w:rsidRDefault="004E3374" w:rsidP="00832518">
      <w:pPr>
        <w:spacing w:after="0" w:line="240" w:lineRule="auto"/>
        <w:ind w:left="142" w:hanging="142"/>
        <w:rPr>
          <w:rFonts w:asciiTheme="minorHAnsi" w:hAnsiTheme="minorHAnsi"/>
          <w:sz w:val="20"/>
          <w:szCs w:val="20"/>
        </w:rPr>
      </w:pPr>
      <w:proofErr w:type="spellStart"/>
      <w:r w:rsidRPr="004E3374">
        <w:rPr>
          <w:rFonts w:asciiTheme="minorHAnsi" w:hAnsiTheme="minorHAnsi" w:cs="Arial"/>
          <w:sz w:val="20"/>
          <w:szCs w:val="20"/>
        </w:rPr>
        <w:t>SafePlace</w:t>
      </w:r>
      <w:proofErr w:type="spellEnd"/>
      <w:r w:rsidRPr="004E3374">
        <w:rPr>
          <w:rFonts w:asciiTheme="minorHAnsi" w:hAnsiTheme="minorHAnsi" w:cs="Arial"/>
          <w:sz w:val="20"/>
          <w:szCs w:val="20"/>
        </w:rPr>
        <w:t xml:space="preserve"> Institute (2000) </w:t>
      </w:r>
      <w:r w:rsidRPr="004E3374">
        <w:rPr>
          <w:rFonts w:asciiTheme="minorHAnsi" w:hAnsiTheme="minorHAnsi" w:cs="Arial"/>
          <w:i/>
          <w:sz w:val="20"/>
          <w:szCs w:val="20"/>
        </w:rPr>
        <w:t>Stop the Violence, Break the Silence Training Guide &amp; Resource Kit.</w:t>
      </w:r>
      <w:r w:rsidRPr="004E3374">
        <w:rPr>
          <w:rFonts w:asciiTheme="minorHAnsi" w:hAnsiTheme="minorHAnsi" w:cs="Arial"/>
          <w:sz w:val="20"/>
          <w:szCs w:val="20"/>
        </w:rPr>
        <w:t xml:space="preserve"> Austin, Texas.</w:t>
      </w:r>
    </w:p>
    <w:p w14:paraId="14D33813" w14:textId="77777777" w:rsidR="004E3374" w:rsidRPr="004E3374" w:rsidRDefault="004E3374" w:rsidP="00832518">
      <w:pPr>
        <w:spacing w:after="0" w:line="240" w:lineRule="auto"/>
        <w:ind w:left="142" w:hanging="142"/>
        <w:rPr>
          <w:rFonts w:asciiTheme="minorHAnsi" w:hAnsiTheme="minorHAnsi"/>
          <w:sz w:val="20"/>
          <w:szCs w:val="20"/>
        </w:rPr>
      </w:pPr>
    </w:p>
    <w:p w14:paraId="5355F0C7" w14:textId="77777777" w:rsidR="004E3374" w:rsidRPr="004E3374" w:rsidRDefault="004E3374" w:rsidP="00832518">
      <w:pPr>
        <w:widowControl w:val="0"/>
        <w:autoSpaceDE w:val="0"/>
        <w:autoSpaceDN w:val="0"/>
        <w:adjustRightInd w:val="0"/>
        <w:spacing w:after="0" w:line="240" w:lineRule="auto"/>
        <w:ind w:left="142" w:hanging="142"/>
        <w:rPr>
          <w:rFonts w:asciiTheme="minorHAnsi" w:hAnsiTheme="minorHAnsi" w:cs="Times"/>
          <w:sz w:val="20"/>
          <w:szCs w:val="20"/>
          <w:lang w:val="en-US"/>
        </w:rPr>
      </w:pPr>
      <w:r w:rsidRPr="004E3374">
        <w:rPr>
          <w:rFonts w:asciiTheme="minorHAnsi" w:hAnsiTheme="minorHAnsi" w:cs="Times"/>
          <w:sz w:val="20"/>
          <w:szCs w:val="20"/>
          <w:lang w:val="en-US"/>
        </w:rPr>
        <w:t xml:space="preserve">Swift, K. (2013) </w:t>
      </w:r>
      <w:r w:rsidRPr="00F85786">
        <w:rPr>
          <w:rFonts w:asciiTheme="minorHAnsi" w:hAnsiTheme="minorHAnsi" w:cs="Times"/>
          <w:i/>
          <w:sz w:val="20"/>
          <w:szCs w:val="20"/>
          <w:lang w:val="en-US"/>
        </w:rPr>
        <w:t>Women with disabilities and violence: Challenges and visions in the Asia Pacific Region</w:t>
      </w:r>
      <w:r w:rsidRPr="004E3374">
        <w:rPr>
          <w:rFonts w:asciiTheme="minorHAnsi" w:hAnsiTheme="minorHAnsi" w:cs="Times"/>
          <w:sz w:val="20"/>
          <w:szCs w:val="20"/>
          <w:lang w:val="en-US"/>
        </w:rPr>
        <w:t>. Presentation at the CSW57 Side Event, 8 March 2013, United Nations.</w:t>
      </w:r>
    </w:p>
    <w:p w14:paraId="46EC6452" w14:textId="77777777" w:rsidR="004E3374" w:rsidRPr="004E3374" w:rsidRDefault="004E3374" w:rsidP="00832518">
      <w:pPr>
        <w:spacing w:after="0" w:line="240" w:lineRule="auto"/>
        <w:ind w:left="142" w:hanging="142"/>
        <w:rPr>
          <w:rFonts w:asciiTheme="minorHAnsi" w:hAnsiTheme="minorHAnsi"/>
          <w:sz w:val="20"/>
          <w:szCs w:val="20"/>
        </w:rPr>
      </w:pPr>
    </w:p>
    <w:p w14:paraId="3AC34D66" w14:textId="77777777" w:rsidR="004E3374" w:rsidRPr="004E3374" w:rsidRDefault="004E3374" w:rsidP="00832518">
      <w:pPr>
        <w:pStyle w:val="FootnoteText"/>
        <w:ind w:left="142" w:hanging="142"/>
        <w:rPr>
          <w:rFonts w:cs="Arial"/>
          <w:sz w:val="20"/>
          <w:szCs w:val="20"/>
        </w:rPr>
      </w:pPr>
      <w:r w:rsidRPr="004E3374">
        <w:rPr>
          <w:rFonts w:cs="Arial"/>
          <w:sz w:val="20"/>
          <w:szCs w:val="20"/>
        </w:rPr>
        <w:t xml:space="preserve">United Nations Committee on Economic, Social and Cultural Rights (2009) </w:t>
      </w:r>
      <w:r w:rsidRPr="004E3374">
        <w:rPr>
          <w:rFonts w:cs="Arial"/>
          <w:bCs/>
          <w:i/>
          <w:sz w:val="20"/>
          <w:szCs w:val="20"/>
        </w:rPr>
        <w:t>Concluding Observations of the Committee on Economic, Social and Cultural Rights: Australia</w:t>
      </w:r>
      <w:r w:rsidRPr="004E3374">
        <w:rPr>
          <w:rFonts w:cs="Arial"/>
          <w:bCs/>
          <w:sz w:val="20"/>
          <w:szCs w:val="20"/>
        </w:rPr>
        <w:t>; 12 June 2009; UN Doc.</w:t>
      </w:r>
      <w:r w:rsidRPr="004E3374">
        <w:rPr>
          <w:rFonts w:cs="Arial"/>
          <w:sz w:val="20"/>
          <w:szCs w:val="20"/>
        </w:rPr>
        <w:t xml:space="preserve"> E/C.12/AUS/CO/4</w:t>
      </w:r>
    </w:p>
    <w:p w14:paraId="717D0962" w14:textId="77777777" w:rsidR="004E3374" w:rsidRPr="004E3374" w:rsidRDefault="004E3374" w:rsidP="00832518">
      <w:pPr>
        <w:spacing w:after="0" w:line="240" w:lineRule="auto"/>
        <w:ind w:left="142" w:hanging="142"/>
        <w:rPr>
          <w:rFonts w:asciiTheme="minorHAnsi" w:hAnsiTheme="minorHAnsi"/>
          <w:sz w:val="20"/>
          <w:szCs w:val="20"/>
        </w:rPr>
      </w:pPr>
    </w:p>
    <w:p w14:paraId="319259C2" w14:textId="77777777" w:rsidR="004E3374" w:rsidRPr="004E3374" w:rsidRDefault="004E3374" w:rsidP="00832518">
      <w:pPr>
        <w:spacing w:after="0" w:line="240" w:lineRule="auto"/>
        <w:ind w:left="142" w:hanging="142"/>
        <w:rPr>
          <w:rFonts w:asciiTheme="minorHAnsi" w:hAnsiTheme="minorHAnsi"/>
          <w:sz w:val="20"/>
          <w:szCs w:val="20"/>
        </w:rPr>
      </w:pPr>
      <w:proofErr w:type="gramStart"/>
      <w:r w:rsidRPr="004E3374">
        <w:rPr>
          <w:rFonts w:asciiTheme="minorHAnsi" w:hAnsiTheme="minorHAnsi" w:cs="Arial"/>
          <w:sz w:val="20"/>
          <w:szCs w:val="20"/>
        </w:rPr>
        <w:t xml:space="preserve">United Nations General Assembly (2006) </w:t>
      </w:r>
      <w:r w:rsidRPr="004E3374">
        <w:rPr>
          <w:rFonts w:asciiTheme="minorHAnsi" w:hAnsiTheme="minorHAnsi" w:cs="Arial"/>
          <w:i/>
          <w:sz w:val="20"/>
          <w:szCs w:val="20"/>
        </w:rPr>
        <w:t>In-depth study on all forms of violence against women</w:t>
      </w:r>
      <w:r w:rsidRPr="004E3374">
        <w:rPr>
          <w:rFonts w:asciiTheme="minorHAnsi" w:hAnsiTheme="minorHAnsi" w:cs="Arial"/>
          <w:sz w:val="20"/>
          <w:szCs w:val="20"/>
        </w:rPr>
        <w:t>.</w:t>
      </w:r>
      <w:proofErr w:type="gramEnd"/>
      <w:r w:rsidRPr="004E3374">
        <w:rPr>
          <w:rFonts w:asciiTheme="minorHAnsi" w:hAnsiTheme="minorHAnsi" w:cs="Arial"/>
          <w:sz w:val="20"/>
          <w:szCs w:val="20"/>
        </w:rPr>
        <w:t xml:space="preserve"> </w:t>
      </w:r>
      <w:proofErr w:type="gramStart"/>
      <w:r w:rsidRPr="004E3374">
        <w:rPr>
          <w:rFonts w:asciiTheme="minorHAnsi" w:hAnsiTheme="minorHAnsi" w:cs="Arial"/>
          <w:sz w:val="20"/>
          <w:szCs w:val="20"/>
        </w:rPr>
        <w:t>Report of the Secretary-General.</w:t>
      </w:r>
      <w:proofErr w:type="gramEnd"/>
      <w:r w:rsidRPr="004E3374">
        <w:rPr>
          <w:rFonts w:asciiTheme="minorHAnsi" w:hAnsiTheme="minorHAnsi" w:cs="Arial"/>
          <w:sz w:val="20"/>
          <w:szCs w:val="20"/>
        </w:rPr>
        <w:t xml:space="preserve"> </w:t>
      </w:r>
      <w:proofErr w:type="gramStart"/>
      <w:r w:rsidRPr="004E3374">
        <w:rPr>
          <w:rFonts w:asciiTheme="minorHAnsi" w:hAnsiTheme="minorHAnsi"/>
          <w:sz w:val="20"/>
          <w:szCs w:val="20"/>
        </w:rPr>
        <w:t>UN Doc. No.</w:t>
      </w:r>
      <w:proofErr w:type="gramEnd"/>
      <w:r w:rsidRPr="004E3374">
        <w:rPr>
          <w:rFonts w:asciiTheme="minorHAnsi" w:hAnsiTheme="minorHAnsi"/>
          <w:sz w:val="20"/>
          <w:szCs w:val="20"/>
        </w:rPr>
        <w:t xml:space="preserve"> </w:t>
      </w:r>
      <w:r w:rsidRPr="004E3374">
        <w:rPr>
          <w:rFonts w:asciiTheme="minorHAnsi" w:hAnsiTheme="minorHAnsi" w:cs="Arial"/>
          <w:sz w:val="20"/>
          <w:szCs w:val="20"/>
        </w:rPr>
        <w:t>A/61/122/Add.1.New York.</w:t>
      </w:r>
    </w:p>
    <w:p w14:paraId="568A2CDC" w14:textId="77777777" w:rsidR="004E3374" w:rsidRPr="004E3374" w:rsidRDefault="004E3374" w:rsidP="00832518">
      <w:pPr>
        <w:spacing w:after="0" w:line="240" w:lineRule="auto"/>
        <w:ind w:left="142" w:hanging="142"/>
        <w:rPr>
          <w:rFonts w:asciiTheme="minorHAnsi" w:hAnsiTheme="minorHAnsi"/>
          <w:sz w:val="20"/>
          <w:szCs w:val="20"/>
        </w:rPr>
      </w:pPr>
    </w:p>
    <w:p w14:paraId="11F2B653" w14:textId="77777777" w:rsidR="004E3374" w:rsidRPr="004E3374" w:rsidRDefault="004E3374" w:rsidP="00832518">
      <w:pPr>
        <w:pStyle w:val="NoSpacing"/>
        <w:ind w:left="142" w:hanging="142"/>
        <w:rPr>
          <w:rFonts w:asciiTheme="minorHAnsi" w:hAnsiTheme="minorHAnsi" w:cs="Arial"/>
          <w:sz w:val="20"/>
          <w:szCs w:val="20"/>
        </w:rPr>
      </w:pPr>
      <w:r w:rsidRPr="004E3374">
        <w:rPr>
          <w:rFonts w:asciiTheme="minorHAnsi" w:hAnsiTheme="minorHAnsi"/>
          <w:sz w:val="20"/>
          <w:szCs w:val="20"/>
        </w:rPr>
        <w:t>United Nations General Assembly</w:t>
      </w:r>
      <w:r w:rsidRPr="004E3374">
        <w:rPr>
          <w:rFonts w:asciiTheme="minorHAnsi" w:hAnsiTheme="minorHAnsi" w:cs="Arial"/>
          <w:sz w:val="20"/>
          <w:szCs w:val="20"/>
        </w:rPr>
        <w:t xml:space="preserve"> (2011) Resolution adopted by the Human Rights Council, (2011) </w:t>
      </w:r>
      <w:r w:rsidRPr="004E3374">
        <w:rPr>
          <w:rFonts w:asciiTheme="minorHAnsi" w:hAnsiTheme="minorHAnsi" w:cs="Arial"/>
          <w:i/>
          <w:sz w:val="20"/>
          <w:szCs w:val="20"/>
        </w:rPr>
        <w:t xml:space="preserve">Accelerating efforts to eliminate all forms of violence against women: ensuring due diligence in protection. </w:t>
      </w:r>
      <w:proofErr w:type="gramStart"/>
      <w:r w:rsidRPr="004E3374">
        <w:rPr>
          <w:rFonts w:asciiTheme="minorHAnsi" w:hAnsiTheme="minorHAnsi"/>
          <w:sz w:val="20"/>
          <w:szCs w:val="20"/>
        </w:rPr>
        <w:t>UN Doc. No.</w:t>
      </w:r>
      <w:proofErr w:type="gramEnd"/>
      <w:r w:rsidRPr="004E3374">
        <w:rPr>
          <w:rFonts w:asciiTheme="minorHAnsi" w:hAnsiTheme="minorHAnsi" w:cs="Arial"/>
          <w:sz w:val="20"/>
          <w:szCs w:val="20"/>
        </w:rPr>
        <w:t xml:space="preserve"> A/HRC/RES/17/11.</w:t>
      </w:r>
    </w:p>
    <w:p w14:paraId="274942D4" w14:textId="77777777" w:rsidR="004E3374" w:rsidRPr="004E3374" w:rsidRDefault="004E3374" w:rsidP="00832518">
      <w:pPr>
        <w:spacing w:after="0" w:line="240" w:lineRule="auto"/>
        <w:ind w:left="142" w:hanging="142"/>
        <w:rPr>
          <w:rFonts w:asciiTheme="minorHAnsi" w:hAnsiTheme="minorHAnsi"/>
          <w:sz w:val="20"/>
          <w:szCs w:val="20"/>
        </w:rPr>
      </w:pPr>
    </w:p>
    <w:p w14:paraId="40958D17" w14:textId="77777777" w:rsidR="004E3374" w:rsidRPr="004E3374" w:rsidRDefault="004E3374" w:rsidP="00832518">
      <w:pPr>
        <w:spacing w:after="0" w:line="240" w:lineRule="auto"/>
        <w:ind w:left="142" w:hanging="142"/>
        <w:rPr>
          <w:rFonts w:asciiTheme="minorHAnsi" w:hAnsiTheme="minorHAnsi" w:cs="Arial"/>
          <w:sz w:val="20"/>
          <w:szCs w:val="20"/>
          <w:lang w:val="en-US"/>
        </w:rPr>
      </w:pPr>
      <w:r w:rsidRPr="004E3374">
        <w:rPr>
          <w:rFonts w:asciiTheme="minorHAnsi" w:hAnsiTheme="minorHAnsi" w:cs="Arial"/>
          <w:sz w:val="20"/>
          <w:szCs w:val="20"/>
        </w:rPr>
        <w:lastRenderedPageBreak/>
        <w:t xml:space="preserve">UN Women, </w:t>
      </w:r>
      <w:r w:rsidRPr="004E3374">
        <w:rPr>
          <w:rFonts w:asciiTheme="minorHAnsi" w:hAnsiTheme="minorHAnsi" w:cs="Arial"/>
          <w:i/>
          <w:sz w:val="20"/>
          <w:szCs w:val="20"/>
        </w:rPr>
        <w:t>Speech by UN Secretary-General Ban Ki-moon for UN commemoration of International Women's Day 2014</w:t>
      </w:r>
      <w:r w:rsidRPr="004E3374">
        <w:rPr>
          <w:rFonts w:asciiTheme="minorHAnsi" w:hAnsiTheme="minorHAnsi" w:cs="Arial"/>
          <w:sz w:val="20"/>
          <w:szCs w:val="20"/>
        </w:rPr>
        <w:t xml:space="preserve">. Accessed on line April 2014 at: </w:t>
      </w:r>
      <w:hyperlink r:id="rId28" w:history="1">
        <w:r w:rsidRPr="004E3374">
          <w:rPr>
            <w:rStyle w:val="Hyperlink"/>
            <w:rFonts w:asciiTheme="minorHAnsi" w:hAnsiTheme="minorHAnsi" w:cs="Arial"/>
            <w:sz w:val="20"/>
            <w:szCs w:val="20"/>
          </w:rPr>
          <w:t>http://www.unwomen.org/ru/news/stories/2014/3/secretary-general-iwd-speech</w:t>
        </w:r>
      </w:hyperlink>
    </w:p>
    <w:p w14:paraId="44528F89" w14:textId="77777777" w:rsidR="004E3374" w:rsidRPr="004E3374" w:rsidRDefault="004E3374" w:rsidP="00832518">
      <w:pPr>
        <w:spacing w:after="0" w:line="240" w:lineRule="auto"/>
        <w:ind w:left="142" w:hanging="142"/>
        <w:rPr>
          <w:rFonts w:asciiTheme="minorHAnsi" w:hAnsiTheme="minorHAnsi"/>
          <w:sz w:val="20"/>
          <w:szCs w:val="20"/>
        </w:rPr>
      </w:pPr>
    </w:p>
    <w:p w14:paraId="2E594EFE" w14:textId="77777777"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sz w:val="20"/>
          <w:szCs w:val="20"/>
        </w:rPr>
        <w:t xml:space="preserve">UN Women in cooperation with ESCAP, UNDP, UNFPA, UNICEF and WHO (2012) </w:t>
      </w:r>
      <w:r w:rsidRPr="004E3374">
        <w:rPr>
          <w:rFonts w:asciiTheme="minorHAnsi" w:hAnsiTheme="minorHAnsi"/>
          <w:i/>
          <w:sz w:val="20"/>
          <w:szCs w:val="20"/>
        </w:rPr>
        <w:t>Report of the Expert Group Meeting on Prevention of Violence against Women and Girls</w:t>
      </w:r>
      <w:r w:rsidRPr="004E3374">
        <w:rPr>
          <w:rFonts w:asciiTheme="minorHAnsi" w:hAnsiTheme="minorHAnsi"/>
          <w:sz w:val="20"/>
          <w:szCs w:val="20"/>
        </w:rPr>
        <w:t xml:space="preserve">. Bangkok, Thailand 17-20 September 2012, UN Doc. No. EGM/PP/2012/Report. </w:t>
      </w:r>
    </w:p>
    <w:p w14:paraId="3338200B" w14:textId="77777777" w:rsidR="004E3374" w:rsidRPr="004E3374" w:rsidRDefault="004E3374" w:rsidP="00832518">
      <w:pPr>
        <w:spacing w:after="0" w:line="240" w:lineRule="auto"/>
        <w:ind w:left="142" w:hanging="142"/>
        <w:rPr>
          <w:rFonts w:asciiTheme="minorHAnsi" w:hAnsiTheme="minorHAnsi"/>
          <w:sz w:val="20"/>
          <w:szCs w:val="20"/>
        </w:rPr>
      </w:pPr>
    </w:p>
    <w:p w14:paraId="0B322190" w14:textId="77777777"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sz w:val="20"/>
          <w:szCs w:val="20"/>
        </w:rPr>
        <w:t xml:space="preserve">United Nations General Assembly (UNGA) (2012) </w:t>
      </w:r>
      <w:r w:rsidRPr="004E3374">
        <w:rPr>
          <w:rFonts w:asciiTheme="minorHAnsi" w:hAnsiTheme="minorHAnsi"/>
          <w:i/>
          <w:sz w:val="20"/>
          <w:szCs w:val="20"/>
        </w:rPr>
        <w:t>Accelerating Progress towards the Millennium Development Goals: Options for Sustained and Inclusive Growth and Issues for Advancing the United Nations Development Agenda beyond 2015</w:t>
      </w:r>
      <w:r w:rsidRPr="004E3374">
        <w:rPr>
          <w:rFonts w:asciiTheme="minorHAnsi" w:hAnsiTheme="minorHAnsi"/>
          <w:sz w:val="20"/>
          <w:szCs w:val="20"/>
        </w:rPr>
        <w:t xml:space="preserve">. </w:t>
      </w:r>
      <w:proofErr w:type="gramStart"/>
      <w:r w:rsidRPr="004E3374">
        <w:rPr>
          <w:rFonts w:asciiTheme="minorHAnsi" w:hAnsiTheme="minorHAnsi"/>
          <w:sz w:val="20"/>
          <w:szCs w:val="20"/>
        </w:rPr>
        <w:t>Annual Report of the Secretary- General.</w:t>
      </w:r>
      <w:proofErr w:type="gramEnd"/>
      <w:r w:rsidRPr="004E3374">
        <w:rPr>
          <w:rFonts w:asciiTheme="minorHAnsi" w:hAnsiTheme="minorHAnsi"/>
          <w:sz w:val="20"/>
          <w:szCs w:val="20"/>
        </w:rPr>
        <w:t xml:space="preserve"> </w:t>
      </w:r>
      <w:proofErr w:type="gramStart"/>
      <w:r w:rsidRPr="004E3374">
        <w:rPr>
          <w:rFonts w:asciiTheme="minorHAnsi" w:hAnsiTheme="minorHAnsi"/>
          <w:sz w:val="20"/>
          <w:szCs w:val="20"/>
        </w:rPr>
        <w:t>UN Doc. No.</w:t>
      </w:r>
      <w:proofErr w:type="gramEnd"/>
      <w:r w:rsidRPr="004E3374">
        <w:rPr>
          <w:rFonts w:asciiTheme="minorHAnsi" w:hAnsiTheme="minorHAnsi"/>
          <w:sz w:val="20"/>
          <w:szCs w:val="20"/>
        </w:rPr>
        <w:t xml:space="preserve"> A/67/257. </w:t>
      </w:r>
    </w:p>
    <w:p w14:paraId="1D3E4371" w14:textId="77777777" w:rsidR="004E3374" w:rsidRPr="004E3374" w:rsidRDefault="004E3374" w:rsidP="00832518">
      <w:pPr>
        <w:spacing w:after="0" w:line="240" w:lineRule="auto"/>
        <w:ind w:left="142" w:hanging="142"/>
        <w:rPr>
          <w:rFonts w:asciiTheme="minorHAnsi" w:hAnsiTheme="minorHAnsi"/>
          <w:sz w:val="20"/>
          <w:szCs w:val="20"/>
        </w:rPr>
      </w:pPr>
    </w:p>
    <w:p w14:paraId="78AE0D61" w14:textId="77777777"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cs="Arial"/>
          <w:sz w:val="20"/>
          <w:szCs w:val="20"/>
          <w:lang w:val="en-US"/>
        </w:rPr>
        <w:t xml:space="preserve">Victorian Equal Opportunity and Human Rights Commission (2014) </w:t>
      </w:r>
      <w:r w:rsidRPr="004E3374">
        <w:rPr>
          <w:rFonts w:asciiTheme="minorHAnsi" w:hAnsiTheme="minorHAnsi" w:cs="Arial"/>
          <w:i/>
          <w:sz w:val="20"/>
          <w:szCs w:val="20"/>
          <w:lang w:val="en-US"/>
        </w:rPr>
        <w:t>Beyond doubt: The experiences of people with disabilities reporting crime – Research findings</w:t>
      </w:r>
      <w:r w:rsidRPr="004E3374">
        <w:rPr>
          <w:rFonts w:asciiTheme="minorHAnsi" w:hAnsiTheme="minorHAnsi" w:cs="Arial"/>
          <w:sz w:val="20"/>
          <w:szCs w:val="20"/>
          <w:lang w:val="en-US"/>
        </w:rPr>
        <w:t>. ISBN 978-0-9875444-9-3; Melbourne, Victoria;</w:t>
      </w:r>
    </w:p>
    <w:p w14:paraId="48443F71" w14:textId="77777777" w:rsidR="004E3374" w:rsidRPr="004E3374" w:rsidRDefault="004E3374" w:rsidP="00832518">
      <w:pPr>
        <w:spacing w:after="0" w:line="240" w:lineRule="auto"/>
        <w:ind w:left="142" w:hanging="142"/>
        <w:rPr>
          <w:rFonts w:asciiTheme="minorHAnsi" w:hAnsiTheme="minorHAnsi"/>
          <w:sz w:val="20"/>
          <w:szCs w:val="20"/>
        </w:rPr>
      </w:pPr>
    </w:p>
    <w:p w14:paraId="7D42BFF8" w14:textId="77777777" w:rsidR="004E3374" w:rsidRPr="004E3374" w:rsidRDefault="004E3374" w:rsidP="00832518">
      <w:pPr>
        <w:spacing w:after="0" w:line="240" w:lineRule="auto"/>
        <w:ind w:left="142" w:hanging="142"/>
        <w:rPr>
          <w:rFonts w:asciiTheme="minorHAnsi" w:hAnsiTheme="minorHAnsi" w:cs="Arial"/>
          <w:sz w:val="20"/>
          <w:szCs w:val="20"/>
        </w:rPr>
      </w:pPr>
      <w:r w:rsidRPr="004E3374">
        <w:rPr>
          <w:rFonts w:asciiTheme="minorHAnsi" w:hAnsiTheme="minorHAnsi" w:cs="Arial"/>
          <w:sz w:val="20"/>
          <w:szCs w:val="20"/>
        </w:rPr>
        <w:t xml:space="preserve">VicHealth (2007) </w:t>
      </w:r>
      <w:r w:rsidRPr="004E3374">
        <w:rPr>
          <w:rFonts w:asciiTheme="minorHAnsi" w:hAnsiTheme="minorHAnsi" w:cs="Arial"/>
          <w:i/>
          <w:sz w:val="20"/>
          <w:szCs w:val="20"/>
        </w:rPr>
        <w:t>Preventing violence before it occurs: A framework and background paper to guide the primary prevention of violence against women in Victoria</w:t>
      </w:r>
      <w:r w:rsidRPr="004E3374">
        <w:rPr>
          <w:rFonts w:asciiTheme="minorHAnsi" w:hAnsiTheme="minorHAnsi" w:cs="Arial"/>
          <w:sz w:val="20"/>
          <w:szCs w:val="20"/>
        </w:rPr>
        <w:t xml:space="preserve">, Victorian Health Promotion Foundation, Carlton. </w:t>
      </w:r>
    </w:p>
    <w:p w14:paraId="04CB78D8" w14:textId="77777777" w:rsidR="004E3374" w:rsidRPr="004E3374" w:rsidRDefault="004E3374" w:rsidP="00832518">
      <w:pPr>
        <w:spacing w:after="0" w:line="240" w:lineRule="auto"/>
        <w:ind w:left="142" w:hanging="142"/>
        <w:rPr>
          <w:rFonts w:asciiTheme="minorHAnsi" w:hAnsiTheme="minorHAnsi"/>
          <w:sz w:val="20"/>
          <w:szCs w:val="20"/>
        </w:rPr>
      </w:pPr>
    </w:p>
    <w:p w14:paraId="0CE7B1BE" w14:textId="77777777" w:rsidR="004E3374" w:rsidRPr="004E3374" w:rsidRDefault="004E3374" w:rsidP="00832518">
      <w:pPr>
        <w:spacing w:after="0" w:line="240" w:lineRule="auto"/>
        <w:ind w:left="142" w:hanging="142"/>
        <w:rPr>
          <w:rFonts w:asciiTheme="minorHAnsi" w:hAnsiTheme="minorHAnsi"/>
          <w:sz w:val="20"/>
          <w:szCs w:val="20"/>
        </w:rPr>
      </w:pPr>
      <w:r w:rsidRPr="004E3374">
        <w:rPr>
          <w:rFonts w:asciiTheme="minorHAnsi" w:hAnsiTheme="minorHAnsi" w:cs="Arial"/>
          <w:sz w:val="20"/>
          <w:szCs w:val="20"/>
        </w:rPr>
        <w:t xml:space="preserve">Women With Disabilities Australia (WWDA), People with Disabilities Australia (PWDA) and the University of New South Wales (2013) </w:t>
      </w:r>
      <w:r w:rsidRPr="004E3374">
        <w:rPr>
          <w:rFonts w:asciiTheme="minorHAnsi" w:hAnsiTheme="minorHAnsi" w:cs="Arial"/>
          <w:i/>
          <w:sz w:val="20"/>
          <w:szCs w:val="20"/>
        </w:rPr>
        <w:t>'Stop the Violence: Addressing Violence Against Women and Girls with Disabilities in Australia’</w:t>
      </w:r>
      <w:r w:rsidRPr="004E3374">
        <w:rPr>
          <w:rFonts w:asciiTheme="minorHAnsi" w:hAnsiTheme="minorHAnsi" w:cs="Arial"/>
          <w:sz w:val="20"/>
          <w:szCs w:val="20"/>
        </w:rPr>
        <w:t>; Report of the Proceedings and Outcomes of the National Symposium on Violence against Women and Girls with Disabilities; Sydney, 25 October 2013. WWDA, Hobart, Tasmania;</w:t>
      </w:r>
    </w:p>
    <w:p w14:paraId="2F9A6D23" w14:textId="77777777" w:rsidR="004E3374" w:rsidRDefault="004E3374" w:rsidP="00832518">
      <w:pPr>
        <w:spacing w:after="0" w:line="240" w:lineRule="auto"/>
        <w:ind w:left="142" w:hanging="142"/>
        <w:rPr>
          <w:rFonts w:asciiTheme="minorHAnsi" w:hAnsiTheme="minorHAnsi"/>
          <w:sz w:val="20"/>
          <w:szCs w:val="20"/>
        </w:rPr>
      </w:pPr>
    </w:p>
    <w:p w14:paraId="2AB0763D" w14:textId="77777777" w:rsidR="00F85786" w:rsidRDefault="00F85786" w:rsidP="00832518">
      <w:pPr>
        <w:spacing w:after="0" w:line="240" w:lineRule="auto"/>
        <w:ind w:left="142" w:hanging="142"/>
        <w:rPr>
          <w:rFonts w:asciiTheme="minorHAnsi" w:hAnsiTheme="minorHAnsi"/>
          <w:sz w:val="20"/>
          <w:szCs w:val="20"/>
        </w:rPr>
      </w:pPr>
    </w:p>
    <w:p w14:paraId="4EB4CBBD" w14:textId="77777777" w:rsidR="00F85786" w:rsidRDefault="00F85786" w:rsidP="00832518">
      <w:pPr>
        <w:spacing w:after="0" w:line="240" w:lineRule="auto"/>
        <w:ind w:left="142" w:hanging="142"/>
        <w:rPr>
          <w:rFonts w:asciiTheme="minorHAnsi" w:hAnsiTheme="minorHAnsi"/>
          <w:sz w:val="20"/>
          <w:szCs w:val="20"/>
        </w:rPr>
      </w:pPr>
      <w:r w:rsidRPr="00F85786">
        <w:rPr>
          <w:rFonts w:asciiTheme="minorHAnsi" w:hAnsiTheme="minorHAnsi"/>
          <w:sz w:val="20"/>
          <w:szCs w:val="20"/>
        </w:rPr>
        <w:t xml:space="preserve">Women With Disabilities Australia (WWDA) (2004) </w:t>
      </w:r>
      <w:r w:rsidRPr="00F85786">
        <w:rPr>
          <w:rFonts w:asciiTheme="minorHAnsi" w:hAnsiTheme="minorHAnsi"/>
          <w:i/>
          <w:sz w:val="20"/>
          <w:szCs w:val="20"/>
        </w:rPr>
        <w:t>Submission to the South Australian Government’s Discussion Paper: “Valuing South Australia’s Women: Towards A Women’s Safety Strategy For South Australia”</w:t>
      </w:r>
      <w:r w:rsidRPr="00F85786">
        <w:rPr>
          <w:rFonts w:asciiTheme="minorHAnsi" w:hAnsiTheme="minorHAnsi"/>
          <w:sz w:val="20"/>
          <w:szCs w:val="20"/>
        </w:rPr>
        <w:t>. Rosny Park, Tasmania: Women With Disabilities Australia.</w:t>
      </w:r>
    </w:p>
    <w:p w14:paraId="08F8F9BD" w14:textId="77777777" w:rsidR="00F85786" w:rsidRPr="004E3374" w:rsidRDefault="00F85786" w:rsidP="00832518">
      <w:pPr>
        <w:spacing w:after="0" w:line="240" w:lineRule="auto"/>
        <w:ind w:left="142" w:hanging="142"/>
        <w:rPr>
          <w:rFonts w:asciiTheme="minorHAnsi" w:hAnsiTheme="minorHAnsi"/>
          <w:sz w:val="20"/>
          <w:szCs w:val="20"/>
        </w:rPr>
      </w:pPr>
    </w:p>
    <w:p w14:paraId="52918699" w14:textId="77777777" w:rsidR="00F85786" w:rsidRPr="004E3374" w:rsidRDefault="00F85786" w:rsidP="00832518">
      <w:pPr>
        <w:spacing w:after="0" w:line="240" w:lineRule="auto"/>
        <w:ind w:left="142" w:hanging="142"/>
        <w:rPr>
          <w:rFonts w:asciiTheme="minorHAnsi" w:hAnsiTheme="minorHAnsi"/>
          <w:sz w:val="20"/>
          <w:szCs w:val="20"/>
        </w:rPr>
      </w:pPr>
      <w:r w:rsidRPr="00F85786">
        <w:rPr>
          <w:rFonts w:asciiTheme="minorHAnsi" w:hAnsiTheme="minorHAnsi"/>
          <w:sz w:val="20"/>
          <w:szCs w:val="20"/>
        </w:rPr>
        <w:t xml:space="preserve">Women With Disabilities Australia (WWDA)(2010) </w:t>
      </w:r>
      <w:r w:rsidRPr="00F85786">
        <w:rPr>
          <w:rFonts w:asciiTheme="minorHAnsi" w:hAnsiTheme="minorHAnsi"/>
          <w:i/>
          <w:sz w:val="20"/>
          <w:szCs w:val="20"/>
        </w:rPr>
        <w:t>Assessing the Situation of Women with Disabilities in Australia: A Human Rights Approach</w:t>
      </w:r>
      <w:r w:rsidRPr="00F85786">
        <w:rPr>
          <w:rFonts w:asciiTheme="minorHAnsi" w:hAnsiTheme="minorHAnsi"/>
          <w:sz w:val="20"/>
          <w:szCs w:val="20"/>
        </w:rPr>
        <w:t xml:space="preserve">. </w:t>
      </w:r>
      <w:proofErr w:type="gramStart"/>
      <w:r w:rsidRPr="00F85786">
        <w:rPr>
          <w:rFonts w:asciiTheme="minorHAnsi" w:hAnsiTheme="minorHAnsi"/>
          <w:sz w:val="20"/>
          <w:szCs w:val="20"/>
        </w:rPr>
        <w:t>Women With Disabilities Australia, Rosny Park, Tasmania.</w:t>
      </w:r>
      <w:proofErr w:type="gramEnd"/>
      <w:r w:rsidRPr="00F85786">
        <w:rPr>
          <w:rFonts w:asciiTheme="minorHAnsi" w:hAnsiTheme="minorHAnsi"/>
          <w:sz w:val="20"/>
          <w:szCs w:val="20"/>
        </w:rPr>
        <w:t xml:space="preserve"> </w:t>
      </w:r>
    </w:p>
    <w:p w14:paraId="33E58B9A" w14:textId="77777777" w:rsidR="00F85786" w:rsidRPr="004E3374" w:rsidRDefault="00F85786" w:rsidP="00832518">
      <w:pPr>
        <w:spacing w:after="0" w:line="240" w:lineRule="auto"/>
        <w:ind w:left="142" w:hanging="142"/>
        <w:rPr>
          <w:rFonts w:asciiTheme="minorHAnsi" w:hAnsiTheme="minorHAnsi"/>
          <w:sz w:val="20"/>
          <w:szCs w:val="20"/>
        </w:rPr>
      </w:pPr>
    </w:p>
    <w:p w14:paraId="5259AA83" w14:textId="77777777" w:rsidR="004E3374" w:rsidRPr="004E3374" w:rsidRDefault="004E3374" w:rsidP="00832518">
      <w:pPr>
        <w:pStyle w:val="FootnoteText"/>
        <w:ind w:left="142" w:hanging="142"/>
        <w:rPr>
          <w:rFonts w:cs="Arial"/>
          <w:sz w:val="20"/>
          <w:szCs w:val="20"/>
        </w:rPr>
      </w:pPr>
      <w:proofErr w:type="gramStart"/>
      <w:r w:rsidRPr="004E3374">
        <w:rPr>
          <w:rFonts w:cs="Arial"/>
          <w:sz w:val="20"/>
          <w:szCs w:val="20"/>
        </w:rPr>
        <w:t xml:space="preserve">Women With Disabilities Australia (WWDA) (2007) </w:t>
      </w:r>
      <w:r w:rsidRPr="004E3374">
        <w:rPr>
          <w:rFonts w:cs="Arial"/>
          <w:i/>
          <w:sz w:val="20"/>
          <w:szCs w:val="20"/>
        </w:rPr>
        <w:t>'Forgotten Sisters - A global review of violence against women with disabilities'</w:t>
      </w:r>
      <w:r w:rsidRPr="004E3374">
        <w:rPr>
          <w:rFonts w:cs="Arial"/>
          <w:sz w:val="20"/>
          <w:szCs w:val="20"/>
        </w:rPr>
        <w:t>.</w:t>
      </w:r>
      <w:proofErr w:type="gramEnd"/>
      <w:r w:rsidRPr="004E3374">
        <w:rPr>
          <w:rFonts w:cs="Arial"/>
          <w:sz w:val="20"/>
          <w:szCs w:val="20"/>
        </w:rPr>
        <w:t xml:space="preserve"> </w:t>
      </w:r>
      <w:proofErr w:type="gramStart"/>
      <w:r w:rsidRPr="004E3374">
        <w:rPr>
          <w:rFonts w:cs="Arial"/>
          <w:sz w:val="20"/>
          <w:szCs w:val="20"/>
        </w:rPr>
        <w:t>WWDA Resource Manual on Violence Against Women With Disabilities.</w:t>
      </w:r>
      <w:proofErr w:type="gramEnd"/>
      <w:r w:rsidRPr="004E3374">
        <w:rPr>
          <w:rFonts w:cs="Arial"/>
          <w:sz w:val="20"/>
          <w:szCs w:val="20"/>
        </w:rPr>
        <w:t xml:space="preserve"> Published by WWDA, Tasmania, Australia.</w:t>
      </w:r>
    </w:p>
    <w:p w14:paraId="54EF326A" w14:textId="77777777" w:rsidR="004E3374" w:rsidRPr="004E3374" w:rsidRDefault="004E3374" w:rsidP="00832518">
      <w:pPr>
        <w:spacing w:after="0" w:line="240" w:lineRule="auto"/>
        <w:ind w:left="142" w:hanging="142"/>
        <w:rPr>
          <w:rFonts w:asciiTheme="minorHAnsi" w:hAnsiTheme="minorHAnsi"/>
          <w:sz w:val="20"/>
          <w:szCs w:val="20"/>
        </w:rPr>
      </w:pPr>
    </w:p>
    <w:p w14:paraId="776DE9A4" w14:textId="77777777" w:rsidR="004E3374" w:rsidRPr="004E3374" w:rsidRDefault="004E3374" w:rsidP="00832518">
      <w:pPr>
        <w:pStyle w:val="NoSpacing"/>
        <w:ind w:left="142" w:hanging="142"/>
        <w:rPr>
          <w:rFonts w:asciiTheme="minorHAnsi" w:hAnsiTheme="minorHAnsi" w:cs="Arial"/>
          <w:sz w:val="20"/>
          <w:szCs w:val="20"/>
        </w:rPr>
      </w:pPr>
      <w:r w:rsidRPr="004E3374">
        <w:rPr>
          <w:rFonts w:asciiTheme="minorHAnsi" w:hAnsiTheme="minorHAnsi" w:cs="Arial"/>
          <w:sz w:val="20"/>
          <w:szCs w:val="20"/>
        </w:rPr>
        <w:t xml:space="preserve">Women With Disabilities Australia (WWDA)(2010) </w:t>
      </w:r>
      <w:r w:rsidRPr="004E3374">
        <w:rPr>
          <w:rFonts w:asciiTheme="minorHAnsi" w:hAnsiTheme="minorHAnsi" w:cs="Arial"/>
          <w:i/>
          <w:sz w:val="20"/>
          <w:szCs w:val="20"/>
        </w:rPr>
        <w:t>Gendering the National Disability Care and Support Scheme: WWDA Submission to Stage One of the Productivity Commission National Disability Care and Support Inquiry</w:t>
      </w:r>
      <w:r w:rsidRPr="004E3374">
        <w:rPr>
          <w:rFonts w:asciiTheme="minorHAnsi" w:hAnsiTheme="minorHAnsi" w:cs="Arial"/>
          <w:sz w:val="20"/>
          <w:szCs w:val="20"/>
        </w:rPr>
        <w:t xml:space="preserve">. Available online at: </w:t>
      </w:r>
      <w:hyperlink r:id="rId29" w:history="1">
        <w:r w:rsidRPr="004E3374">
          <w:rPr>
            <w:rStyle w:val="Hyperlink"/>
            <w:rFonts w:asciiTheme="minorHAnsi" w:hAnsiTheme="minorHAnsi" w:cs="Arial"/>
            <w:sz w:val="20"/>
            <w:szCs w:val="20"/>
          </w:rPr>
          <w:t>http://wwda.org.au/wp-content/uploads/2013/12/WWDASubPCInquiry2010.pdf</w:t>
        </w:r>
      </w:hyperlink>
    </w:p>
    <w:p w14:paraId="4EA93050" w14:textId="77777777" w:rsidR="004E3374" w:rsidRPr="004E3374" w:rsidRDefault="004E3374" w:rsidP="00832518">
      <w:pPr>
        <w:spacing w:after="0" w:line="240" w:lineRule="auto"/>
        <w:ind w:left="142" w:hanging="142"/>
        <w:rPr>
          <w:rFonts w:asciiTheme="minorHAnsi" w:hAnsiTheme="minorHAnsi"/>
          <w:sz w:val="20"/>
          <w:szCs w:val="20"/>
        </w:rPr>
      </w:pPr>
    </w:p>
    <w:p w14:paraId="4BAF5117" w14:textId="77777777" w:rsidR="004E3374" w:rsidRPr="004E3374" w:rsidRDefault="004E3374" w:rsidP="00832518">
      <w:pPr>
        <w:spacing w:after="0" w:line="240" w:lineRule="auto"/>
        <w:ind w:left="142" w:hanging="142"/>
        <w:rPr>
          <w:rFonts w:asciiTheme="minorHAnsi" w:hAnsiTheme="minorHAnsi"/>
          <w:sz w:val="20"/>
          <w:szCs w:val="20"/>
        </w:rPr>
      </w:pPr>
    </w:p>
    <w:p w14:paraId="1FC6CC01" w14:textId="77777777" w:rsidR="004E3374" w:rsidRPr="004E3374" w:rsidRDefault="004E3374" w:rsidP="004E3374">
      <w:pPr>
        <w:spacing w:after="0" w:line="240" w:lineRule="auto"/>
        <w:rPr>
          <w:rFonts w:asciiTheme="minorHAnsi" w:hAnsiTheme="minorHAnsi"/>
          <w:sz w:val="20"/>
          <w:szCs w:val="20"/>
        </w:rPr>
      </w:pPr>
    </w:p>
    <w:p w14:paraId="288D0460" w14:textId="77777777" w:rsidR="004E3374" w:rsidRPr="004E3374" w:rsidRDefault="004E3374" w:rsidP="004E3374">
      <w:pPr>
        <w:spacing w:after="0" w:line="240" w:lineRule="auto"/>
        <w:rPr>
          <w:rFonts w:asciiTheme="minorHAnsi" w:hAnsiTheme="minorHAnsi"/>
          <w:sz w:val="20"/>
          <w:szCs w:val="20"/>
        </w:rPr>
      </w:pPr>
    </w:p>
    <w:p w14:paraId="423DF647" w14:textId="77777777" w:rsidR="0030041F" w:rsidRPr="004E3374" w:rsidRDefault="0030041F" w:rsidP="004E3374">
      <w:pPr>
        <w:spacing w:after="0" w:line="240" w:lineRule="auto"/>
        <w:rPr>
          <w:rFonts w:asciiTheme="minorHAnsi" w:hAnsiTheme="minorHAnsi"/>
          <w:sz w:val="20"/>
          <w:szCs w:val="20"/>
        </w:rPr>
      </w:pPr>
    </w:p>
    <w:p w14:paraId="624530A4" w14:textId="77777777" w:rsidR="00676CAD" w:rsidRPr="004E3374" w:rsidRDefault="00676CAD" w:rsidP="004E3374">
      <w:pPr>
        <w:spacing w:after="0" w:line="240" w:lineRule="auto"/>
        <w:rPr>
          <w:rFonts w:asciiTheme="minorHAnsi" w:hAnsiTheme="minorHAnsi"/>
          <w:sz w:val="20"/>
          <w:szCs w:val="20"/>
        </w:rPr>
      </w:pPr>
    </w:p>
    <w:p w14:paraId="6B140D81" w14:textId="77777777" w:rsidR="00903F5B" w:rsidRPr="004E3374" w:rsidRDefault="00903F5B" w:rsidP="004E3374">
      <w:pPr>
        <w:spacing w:after="0" w:line="240" w:lineRule="auto"/>
        <w:rPr>
          <w:rFonts w:asciiTheme="minorHAnsi" w:hAnsiTheme="minorHAnsi"/>
          <w:sz w:val="20"/>
          <w:szCs w:val="20"/>
        </w:rPr>
      </w:pPr>
    </w:p>
    <w:p w14:paraId="7B57036C" w14:textId="77777777" w:rsidR="00903F5B" w:rsidRPr="004E3374" w:rsidRDefault="00903F5B" w:rsidP="004E3374">
      <w:pPr>
        <w:spacing w:after="0" w:line="240" w:lineRule="auto"/>
        <w:rPr>
          <w:rFonts w:asciiTheme="minorHAnsi" w:hAnsiTheme="minorHAnsi"/>
          <w:sz w:val="20"/>
          <w:szCs w:val="20"/>
        </w:rPr>
      </w:pPr>
    </w:p>
    <w:sectPr w:rsidR="00903F5B" w:rsidRPr="004E3374" w:rsidSect="00356E84">
      <w:footerReference w:type="even" r:id="rId30"/>
      <w:footerReference w:type="default" r:id="rId31"/>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7E6B6" w14:textId="77777777" w:rsidR="00466BE7" w:rsidRDefault="00466BE7" w:rsidP="007C3F60">
      <w:pPr>
        <w:spacing w:after="0" w:line="240" w:lineRule="auto"/>
      </w:pPr>
      <w:r>
        <w:separator/>
      </w:r>
    </w:p>
  </w:endnote>
  <w:endnote w:type="continuationSeparator" w:id="0">
    <w:p w14:paraId="096B4877" w14:textId="77777777" w:rsidR="00466BE7" w:rsidRDefault="00466BE7" w:rsidP="007C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E00002FF" w:usb1="5200205F" w:usb2="00A0C000" w:usb3="00000000" w:csb0="0000019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2B537" w14:textId="77777777" w:rsidR="00466BE7" w:rsidRDefault="00466BE7" w:rsidP="005250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C9592" w14:textId="77777777" w:rsidR="00466BE7" w:rsidRDefault="00466BE7" w:rsidP="000544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4A65E" w14:textId="77777777" w:rsidR="00466BE7" w:rsidRPr="005B7D0D" w:rsidRDefault="00466BE7" w:rsidP="005250BC">
    <w:pPr>
      <w:pStyle w:val="Footer"/>
      <w:framePr w:wrap="around" w:vAnchor="text" w:hAnchor="margin" w:xAlign="right" w:y="1"/>
      <w:rPr>
        <w:rStyle w:val="PageNumber"/>
        <w:rFonts w:asciiTheme="minorHAnsi" w:hAnsiTheme="minorHAnsi"/>
        <w:sz w:val="18"/>
        <w:szCs w:val="18"/>
      </w:rPr>
    </w:pPr>
    <w:r w:rsidRPr="005B7D0D">
      <w:rPr>
        <w:rStyle w:val="PageNumber"/>
        <w:rFonts w:asciiTheme="minorHAnsi" w:hAnsiTheme="minorHAnsi"/>
        <w:sz w:val="18"/>
        <w:szCs w:val="18"/>
      </w:rPr>
      <w:fldChar w:fldCharType="begin"/>
    </w:r>
    <w:r w:rsidRPr="005B7D0D">
      <w:rPr>
        <w:rStyle w:val="PageNumber"/>
        <w:rFonts w:asciiTheme="minorHAnsi" w:hAnsiTheme="minorHAnsi"/>
        <w:sz w:val="18"/>
        <w:szCs w:val="18"/>
      </w:rPr>
      <w:instrText xml:space="preserve">PAGE  </w:instrText>
    </w:r>
    <w:r w:rsidRPr="005B7D0D">
      <w:rPr>
        <w:rStyle w:val="PageNumber"/>
        <w:rFonts w:asciiTheme="minorHAnsi" w:hAnsiTheme="minorHAnsi"/>
        <w:sz w:val="18"/>
        <w:szCs w:val="18"/>
      </w:rPr>
      <w:fldChar w:fldCharType="separate"/>
    </w:r>
    <w:r w:rsidR="008700D0">
      <w:rPr>
        <w:rStyle w:val="PageNumber"/>
        <w:rFonts w:asciiTheme="minorHAnsi" w:hAnsiTheme="minorHAnsi"/>
        <w:noProof/>
        <w:sz w:val="18"/>
        <w:szCs w:val="18"/>
      </w:rPr>
      <w:t>2</w:t>
    </w:r>
    <w:r w:rsidRPr="005B7D0D">
      <w:rPr>
        <w:rStyle w:val="PageNumber"/>
        <w:rFonts w:asciiTheme="minorHAnsi" w:hAnsiTheme="minorHAnsi"/>
        <w:sz w:val="18"/>
        <w:szCs w:val="18"/>
      </w:rPr>
      <w:fldChar w:fldCharType="end"/>
    </w:r>
  </w:p>
  <w:p w14:paraId="1C49DDF4" w14:textId="77777777" w:rsidR="00466BE7" w:rsidRDefault="00466BE7" w:rsidP="000544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DE2FC" w14:textId="77777777" w:rsidR="00466BE7" w:rsidRDefault="00466BE7" w:rsidP="007C3F60">
      <w:pPr>
        <w:spacing w:after="0" w:line="240" w:lineRule="auto"/>
      </w:pPr>
      <w:r>
        <w:separator/>
      </w:r>
    </w:p>
  </w:footnote>
  <w:footnote w:type="continuationSeparator" w:id="0">
    <w:p w14:paraId="2A7DA59D" w14:textId="77777777" w:rsidR="00466BE7" w:rsidRDefault="00466BE7" w:rsidP="007C3F60">
      <w:pPr>
        <w:spacing w:after="0" w:line="240" w:lineRule="auto"/>
      </w:pPr>
      <w:r>
        <w:continuationSeparator/>
      </w:r>
    </w:p>
  </w:footnote>
  <w:footnote w:id="1">
    <w:p w14:paraId="26C7EB9A" w14:textId="51A86826" w:rsidR="00466BE7" w:rsidRPr="00715553" w:rsidRDefault="00466BE7">
      <w:pPr>
        <w:pStyle w:val="FootnoteText"/>
        <w:rPr>
          <w:rFonts w:ascii="Arial" w:hAnsi="Arial" w:cs="Arial"/>
          <w:sz w:val="14"/>
          <w:szCs w:val="14"/>
          <w:lang w:val="en-US"/>
        </w:rPr>
      </w:pPr>
      <w:r w:rsidRPr="00715553">
        <w:rPr>
          <w:rStyle w:val="FootnoteReference"/>
          <w:rFonts w:ascii="Arial" w:hAnsi="Arial" w:cs="Arial"/>
          <w:sz w:val="14"/>
          <w:szCs w:val="14"/>
        </w:rPr>
        <w:footnoteRef/>
      </w:r>
      <w:r w:rsidRPr="00715553">
        <w:rPr>
          <w:rFonts w:ascii="Arial" w:hAnsi="Arial" w:cs="Arial"/>
          <w:sz w:val="14"/>
          <w:szCs w:val="14"/>
        </w:rPr>
        <w:t xml:space="preserve"> The </w:t>
      </w:r>
      <w:r w:rsidRPr="00715553">
        <w:rPr>
          <w:rFonts w:ascii="Arial" w:hAnsi="Arial" w:cs="Arial"/>
          <w:i/>
          <w:sz w:val="14"/>
          <w:szCs w:val="14"/>
        </w:rPr>
        <w:t xml:space="preserve">National Plan to Reduce Violence Against Women and their Children 2010-2022 </w:t>
      </w:r>
      <w:r w:rsidRPr="00715553">
        <w:rPr>
          <w:rFonts w:ascii="Arial" w:hAnsi="Arial" w:cs="Arial"/>
          <w:sz w:val="14"/>
          <w:szCs w:val="14"/>
        </w:rPr>
        <w:t xml:space="preserve">[The National Plan], Australia’s primary response to addressing violence against women in Australia, conceptualises ‘domestic violence’ as acts of violence that occur between people who have, or have had, an intimate relationship, with the central element of domestic violence being an ongoing pattern of behaviour aimed at controlling a partner through fear, for example by using behaviour which is violent and threatening. The National Plan refers to ‘family violence’ as violence between family members, as well as violence between intimate partners. It involves the same sorts of behaviours as domestic violence, and as with domestic violence, only some aspects of family violence are criminal offences. </w:t>
      </w:r>
    </w:p>
  </w:footnote>
  <w:footnote w:id="2">
    <w:p w14:paraId="02F92454" w14:textId="47BA5A2D" w:rsidR="00466BE7" w:rsidRPr="00374398" w:rsidRDefault="00466BE7" w:rsidP="007A1821">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The ‘Stop the Violence Project’ (STVP) emerged from WWDA’s long standing commitment to addressing one of the most pressing issues for its membership: violence against women and girls with disabilities in Australia. Managed and implemented by WWDA, in conjunction with the University of New South Wales (UNSW) and People with Disabilities Australia (PWDA), the project was national in scope and its intent was to lay the groundwork for improved service provision by building the evidence-base for future reforms so that the service system is more responsive to the needs of women and girls with disabilities. </w:t>
      </w:r>
    </w:p>
  </w:footnote>
  <w:footnote w:id="3">
    <w:p w14:paraId="2AF34F9B" w14:textId="77777777" w:rsidR="00466BE7" w:rsidRPr="00374398" w:rsidRDefault="00466BE7" w:rsidP="007A1821">
      <w:pPr>
        <w:pStyle w:val="FootnoteText"/>
        <w:rPr>
          <w:rFonts w:ascii="Arial" w:hAnsi="Arial" w:cs="Arial"/>
          <w:sz w:val="14"/>
          <w:szCs w:val="14"/>
          <w:lang w:val="en-US"/>
        </w:rPr>
      </w:pPr>
      <w:r w:rsidRPr="00374398">
        <w:rPr>
          <w:rStyle w:val="FootnoteReference"/>
          <w:rFonts w:ascii="Arial" w:hAnsi="Arial" w:cs="Arial"/>
          <w:sz w:val="14"/>
          <w:szCs w:val="14"/>
        </w:rPr>
        <w:footnoteRef/>
      </w:r>
      <w:r w:rsidRPr="00374398">
        <w:rPr>
          <w:rFonts w:ascii="Arial" w:hAnsi="Arial" w:cs="Arial"/>
          <w:sz w:val="14"/>
          <w:szCs w:val="14"/>
        </w:rPr>
        <w:t xml:space="preserve"> </w:t>
      </w:r>
      <w:r w:rsidRPr="00374398">
        <w:rPr>
          <w:rFonts w:ascii="Arial" w:hAnsi="Arial" w:cs="Arial"/>
          <w:sz w:val="14"/>
          <w:szCs w:val="14"/>
          <w:lang w:val="en-US"/>
        </w:rPr>
        <w:t xml:space="preserve">Services included those in the disability, family violence and sexual assault sectors, housing/ homelessness sector, the youth services sector, child welfare, employment and training, health, aged care and the justice sector. </w:t>
      </w:r>
    </w:p>
  </w:footnote>
  <w:footnote w:id="4">
    <w:p w14:paraId="020740E1" w14:textId="056B2C2E" w:rsidR="00466BE7" w:rsidRPr="003F5DAC" w:rsidRDefault="00466BE7">
      <w:pPr>
        <w:pStyle w:val="FootnoteText"/>
        <w:rPr>
          <w:rFonts w:ascii="Arial" w:hAnsi="Arial" w:cs="Arial"/>
          <w:sz w:val="14"/>
          <w:szCs w:val="14"/>
          <w:lang w:val="en-US"/>
        </w:rPr>
      </w:pPr>
      <w:r w:rsidRPr="003F5DAC">
        <w:rPr>
          <w:rStyle w:val="FootnoteReference"/>
          <w:rFonts w:ascii="Arial" w:hAnsi="Arial" w:cs="Arial"/>
          <w:sz w:val="14"/>
          <w:szCs w:val="14"/>
        </w:rPr>
        <w:footnoteRef/>
      </w:r>
      <w:r w:rsidRPr="003F5DAC">
        <w:rPr>
          <w:rFonts w:ascii="Arial" w:hAnsi="Arial" w:cs="Arial"/>
          <w:sz w:val="14"/>
          <w:szCs w:val="14"/>
        </w:rPr>
        <w:t xml:space="preserve"> </w:t>
      </w:r>
      <w:r w:rsidRPr="003F5DAC">
        <w:rPr>
          <w:rFonts w:ascii="Arial" w:hAnsi="Arial" w:cs="Arial"/>
          <w:bCs/>
          <w:sz w:val="14"/>
          <w:szCs w:val="14"/>
          <w:lang w:eastAsia="en-AU"/>
        </w:rPr>
        <w:t xml:space="preserve">For a more detailed discussion of these factors, see Frohmader, C. &amp; </w:t>
      </w:r>
      <w:proofErr w:type="spellStart"/>
      <w:r w:rsidRPr="003F5DAC">
        <w:rPr>
          <w:rFonts w:ascii="Arial" w:hAnsi="Arial" w:cs="Arial"/>
          <w:bCs/>
          <w:sz w:val="14"/>
          <w:szCs w:val="14"/>
          <w:lang w:eastAsia="en-AU"/>
        </w:rPr>
        <w:t>Cadwallader</w:t>
      </w:r>
      <w:proofErr w:type="spellEnd"/>
      <w:r w:rsidRPr="003F5DAC">
        <w:rPr>
          <w:rFonts w:ascii="Arial" w:hAnsi="Arial" w:cs="Arial"/>
          <w:bCs/>
          <w:sz w:val="14"/>
          <w:szCs w:val="14"/>
          <w:lang w:eastAsia="en-AU"/>
        </w:rPr>
        <w:t xml:space="preserve">, J. (2014) Joint Submission from National Cross-Disability Disabled People’s Organisations (DPO’s) to the Senate Standing Committee on Finance and Public Administration ‘Inquiry into Domestic Violence in Australia’. Available at: </w:t>
      </w:r>
      <w:hyperlink r:id="rId1" w:history="1">
        <w:r w:rsidRPr="003F5DAC">
          <w:rPr>
            <w:rStyle w:val="Hyperlink"/>
            <w:rFonts w:ascii="Arial" w:hAnsi="Arial" w:cs="Arial"/>
            <w:bCs/>
            <w:sz w:val="14"/>
            <w:szCs w:val="14"/>
            <w:lang w:eastAsia="en-AU"/>
          </w:rPr>
          <w:t>http://wwda.org.au/wp-content/uploads/2013/12/Final_Draft_DPO_Sub_DV_Senate2014.pdf</w:t>
        </w:r>
      </w:hyperlink>
      <w:r w:rsidRPr="003F5DAC">
        <w:rPr>
          <w:rFonts w:ascii="Arial" w:hAnsi="Arial" w:cs="Arial"/>
          <w:bCs/>
          <w:sz w:val="14"/>
          <w:szCs w:val="14"/>
          <w:lang w:eastAsia="en-AU"/>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802"/>
    <w:multiLevelType w:val="hybridMultilevel"/>
    <w:tmpl w:val="AA36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87F00"/>
    <w:multiLevelType w:val="hybridMultilevel"/>
    <w:tmpl w:val="092A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F2FDA"/>
    <w:multiLevelType w:val="hybridMultilevel"/>
    <w:tmpl w:val="03FE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AA2B3D"/>
    <w:multiLevelType w:val="hybridMultilevel"/>
    <w:tmpl w:val="338C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B7409"/>
    <w:multiLevelType w:val="hybridMultilevel"/>
    <w:tmpl w:val="7782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42F45"/>
    <w:multiLevelType w:val="hybridMultilevel"/>
    <w:tmpl w:val="2A1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827151"/>
    <w:multiLevelType w:val="hybridMultilevel"/>
    <w:tmpl w:val="E25A2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BE69F9"/>
    <w:multiLevelType w:val="hybridMultilevel"/>
    <w:tmpl w:val="7D14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A70FF9"/>
    <w:multiLevelType w:val="hybridMultilevel"/>
    <w:tmpl w:val="A502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B43338"/>
    <w:multiLevelType w:val="hybridMultilevel"/>
    <w:tmpl w:val="6EB4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1E5E89"/>
    <w:multiLevelType w:val="hybridMultilevel"/>
    <w:tmpl w:val="0D9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7C0A80"/>
    <w:multiLevelType w:val="hybridMultilevel"/>
    <w:tmpl w:val="F3F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26E86"/>
    <w:multiLevelType w:val="hybridMultilevel"/>
    <w:tmpl w:val="B9C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12"/>
  </w:num>
  <w:num w:numId="6">
    <w:abstractNumId w:val="11"/>
  </w:num>
  <w:num w:numId="7">
    <w:abstractNumId w:val="10"/>
  </w:num>
  <w:num w:numId="8">
    <w:abstractNumId w:val="6"/>
  </w:num>
  <w:num w:numId="9">
    <w:abstractNumId w:val="0"/>
  </w:num>
  <w:num w:numId="10">
    <w:abstractNumId w:val="8"/>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E84"/>
    <w:rsid w:val="00001FF9"/>
    <w:rsid w:val="00006054"/>
    <w:rsid w:val="00011D10"/>
    <w:rsid w:val="000121D2"/>
    <w:rsid w:val="000233D7"/>
    <w:rsid w:val="00031137"/>
    <w:rsid w:val="00045134"/>
    <w:rsid w:val="00051BCB"/>
    <w:rsid w:val="000544A7"/>
    <w:rsid w:val="00055E97"/>
    <w:rsid w:val="00073410"/>
    <w:rsid w:val="00082FA1"/>
    <w:rsid w:val="000873A5"/>
    <w:rsid w:val="000C6F5B"/>
    <w:rsid w:val="000D415E"/>
    <w:rsid w:val="000D689C"/>
    <w:rsid w:val="000E1365"/>
    <w:rsid w:val="000E2FB4"/>
    <w:rsid w:val="00115AB4"/>
    <w:rsid w:val="00117090"/>
    <w:rsid w:val="001200F3"/>
    <w:rsid w:val="00121A99"/>
    <w:rsid w:val="00123DD6"/>
    <w:rsid w:val="0013661A"/>
    <w:rsid w:val="00143980"/>
    <w:rsid w:val="00152314"/>
    <w:rsid w:val="00156CAE"/>
    <w:rsid w:val="001628E1"/>
    <w:rsid w:val="00181298"/>
    <w:rsid w:val="0018384D"/>
    <w:rsid w:val="001B01AD"/>
    <w:rsid w:val="001B5BA3"/>
    <w:rsid w:val="001C6503"/>
    <w:rsid w:val="001D3C79"/>
    <w:rsid w:val="001D58B5"/>
    <w:rsid w:val="001E4161"/>
    <w:rsid w:val="001F19A3"/>
    <w:rsid w:val="001F6081"/>
    <w:rsid w:val="002014C9"/>
    <w:rsid w:val="002017E8"/>
    <w:rsid w:val="00205A31"/>
    <w:rsid w:val="00214E96"/>
    <w:rsid w:val="00227BF3"/>
    <w:rsid w:val="00227EB6"/>
    <w:rsid w:val="00231851"/>
    <w:rsid w:val="0025183A"/>
    <w:rsid w:val="0027417E"/>
    <w:rsid w:val="00285A83"/>
    <w:rsid w:val="00287764"/>
    <w:rsid w:val="0029346F"/>
    <w:rsid w:val="00296A72"/>
    <w:rsid w:val="002A1B34"/>
    <w:rsid w:val="002A4535"/>
    <w:rsid w:val="002A4A2A"/>
    <w:rsid w:val="002C33CE"/>
    <w:rsid w:val="002C4667"/>
    <w:rsid w:val="002D0E34"/>
    <w:rsid w:val="002D4721"/>
    <w:rsid w:val="002D5133"/>
    <w:rsid w:val="002E4BA2"/>
    <w:rsid w:val="002E71FC"/>
    <w:rsid w:val="002E7914"/>
    <w:rsid w:val="002F6C96"/>
    <w:rsid w:val="0030041F"/>
    <w:rsid w:val="00306B8F"/>
    <w:rsid w:val="0031215A"/>
    <w:rsid w:val="0033524A"/>
    <w:rsid w:val="003357BA"/>
    <w:rsid w:val="00356E84"/>
    <w:rsid w:val="00357FB0"/>
    <w:rsid w:val="00362162"/>
    <w:rsid w:val="00364F21"/>
    <w:rsid w:val="0036779F"/>
    <w:rsid w:val="00376E0F"/>
    <w:rsid w:val="00387240"/>
    <w:rsid w:val="00393AA2"/>
    <w:rsid w:val="003A2803"/>
    <w:rsid w:val="003A39BF"/>
    <w:rsid w:val="003A3A5D"/>
    <w:rsid w:val="003B5CA3"/>
    <w:rsid w:val="003B7957"/>
    <w:rsid w:val="003C45A7"/>
    <w:rsid w:val="003F3A8C"/>
    <w:rsid w:val="003F5DAC"/>
    <w:rsid w:val="004075FC"/>
    <w:rsid w:val="00407B8C"/>
    <w:rsid w:val="004113BC"/>
    <w:rsid w:val="0041406F"/>
    <w:rsid w:val="00425B82"/>
    <w:rsid w:val="0042748A"/>
    <w:rsid w:val="00454760"/>
    <w:rsid w:val="00455A24"/>
    <w:rsid w:val="00466BE7"/>
    <w:rsid w:val="00474A67"/>
    <w:rsid w:val="00477666"/>
    <w:rsid w:val="00492225"/>
    <w:rsid w:val="004933BD"/>
    <w:rsid w:val="00496F95"/>
    <w:rsid w:val="00497606"/>
    <w:rsid w:val="004C2550"/>
    <w:rsid w:val="004C54EF"/>
    <w:rsid w:val="004C56E1"/>
    <w:rsid w:val="004D5739"/>
    <w:rsid w:val="004D7C23"/>
    <w:rsid w:val="004E3374"/>
    <w:rsid w:val="004E4773"/>
    <w:rsid w:val="004F7F76"/>
    <w:rsid w:val="00512C11"/>
    <w:rsid w:val="00521465"/>
    <w:rsid w:val="005250BC"/>
    <w:rsid w:val="0053166E"/>
    <w:rsid w:val="00540910"/>
    <w:rsid w:val="00547E33"/>
    <w:rsid w:val="00556EAB"/>
    <w:rsid w:val="0057090E"/>
    <w:rsid w:val="0057562A"/>
    <w:rsid w:val="00580936"/>
    <w:rsid w:val="00582B5A"/>
    <w:rsid w:val="00593B2B"/>
    <w:rsid w:val="005A566C"/>
    <w:rsid w:val="005A627A"/>
    <w:rsid w:val="005B1072"/>
    <w:rsid w:val="005B651A"/>
    <w:rsid w:val="005B7D0D"/>
    <w:rsid w:val="005C2DAA"/>
    <w:rsid w:val="005D0B5B"/>
    <w:rsid w:val="005E210A"/>
    <w:rsid w:val="005E5C90"/>
    <w:rsid w:val="00601911"/>
    <w:rsid w:val="006052CD"/>
    <w:rsid w:val="0061088C"/>
    <w:rsid w:val="00612E5C"/>
    <w:rsid w:val="00625C5B"/>
    <w:rsid w:val="00626163"/>
    <w:rsid w:val="00632BAC"/>
    <w:rsid w:val="00652EAE"/>
    <w:rsid w:val="00665138"/>
    <w:rsid w:val="00671D87"/>
    <w:rsid w:val="00676CAD"/>
    <w:rsid w:val="00680E1C"/>
    <w:rsid w:val="006A3502"/>
    <w:rsid w:val="006B24E5"/>
    <w:rsid w:val="006B2676"/>
    <w:rsid w:val="006B272B"/>
    <w:rsid w:val="006B4132"/>
    <w:rsid w:val="006C39A0"/>
    <w:rsid w:val="006D70D8"/>
    <w:rsid w:val="00703A8E"/>
    <w:rsid w:val="00715553"/>
    <w:rsid w:val="00716A68"/>
    <w:rsid w:val="00722E63"/>
    <w:rsid w:val="007268F2"/>
    <w:rsid w:val="0072713D"/>
    <w:rsid w:val="00731C8F"/>
    <w:rsid w:val="00751123"/>
    <w:rsid w:val="0076655A"/>
    <w:rsid w:val="00770E88"/>
    <w:rsid w:val="00777629"/>
    <w:rsid w:val="0078390E"/>
    <w:rsid w:val="00786632"/>
    <w:rsid w:val="007909EB"/>
    <w:rsid w:val="007917F3"/>
    <w:rsid w:val="00793FE5"/>
    <w:rsid w:val="00797D16"/>
    <w:rsid w:val="007A1821"/>
    <w:rsid w:val="007C3F60"/>
    <w:rsid w:val="007C6A9B"/>
    <w:rsid w:val="007E79AD"/>
    <w:rsid w:val="007F3191"/>
    <w:rsid w:val="007F74FC"/>
    <w:rsid w:val="00815DBD"/>
    <w:rsid w:val="00827F4B"/>
    <w:rsid w:val="00832518"/>
    <w:rsid w:val="00842F7C"/>
    <w:rsid w:val="0085077A"/>
    <w:rsid w:val="008555AA"/>
    <w:rsid w:val="0085646A"/>
    <w:rsid w:val="00862494"/>
    <w:rsid w:val="008639ED"/>
    <w:rsid w:val="008700D0"/>
    <w:rsid w:val="00882359"/>
    <w:rsid w:val="00892206"/>
    <w:rsid w:val="00893A57"/>
    <w:rsid w:val="008A0745"/>
    <w:rsid w:val="008A0C39"/>
    <w:rsid w:val="008E6F5B"/>
    <w:rsid w:val="0090054C"/>
    <w:rsid w:val="00903B8A"/>
    <w:rsid w:val="00903F5B"/>
    <w:rsid w:val="0090674C"/>
    <w:rsid w:val="00907FDF"/>
    <w:rsid w:val="00911584"/>
    <w:rsid w:val="00914136"/>
    <w:rsid w:val="00914B73"/>
    <w:rsid w:val="00932506"/>
    <w:rsid w:val="0093430E"/>
    <w:rsid w:val="00935CE5"/>
    <w:rsid w:val="00943E45"/>
    <w:rsid w:val="00950E4C"/>
    <w:rsid w:val="00952925"/>
    <w:rsid w:val="00960069"/>
    <w:rsid w:val="009608FD"/>
    <w:rsid w:val="0096561A"/>
    <w:rsid w:val="009678C7"/>
    <w:rsid w:val="00980C22"/>
    <w:rsid w:val="00982C11"/>
    <w:rsid w:val="009859E4"/>
    <w:rsid w:val="009B7737"/>
    <w:rsid w:val="009D00CD"/>
    <w:rsid w:val="009D3570"/>
    <w:rsid w:val="009D6F4B"/>
    <w:rsid w:val="009F3EC5"/>
    <w:rsid w:val="009F4B65"/>
    <w:rsid w:val="00A0569C"/>
    <w:rsid w:val="00A33B72"/>
    <w:rsid w:val="00A36143"/>
    <w:rsid w:val="00A42EAF"/>
    <w:rsid w:val="00A43407"/>
    <w:rsid w:val="00A4604B"/>
    <w:rsid w:val="00A5082C"/>
    <w:rsid w:val="00A54B0D"/>
    <w:rsid w:val="00A561B8"/>
    <w:rsid w:val="00A82A20"/>
    <w:rsid w:val="00A94FE3"/>
    <w:rsid w:val="00AA66C3"/>
    <w:rsid w:val="00AB1B5D"/>
    <w:rsid w:val="00AC14E4"/>
    <w:rsid w:val="00AC267E"/>
    <w:rsid w:val="00AD2BE0"/>
    <w:rsid w:val="00AD79A9"/>
    <w:rsid w:val="00AD7F0F"/>
    <w:rsid w:val="00AF3732"/>
    <w:rsid w:val="00AF7B0C"/>
    <w:rsid w:val="00B132C6"/>
    <w:rsid w:val="00B13AFD"/>
    <w:rsid w:val="00B4334A"/>
    <w:rsid w:val="00B6558E"/>
    <w:rsid w:val="00B72900"/>
    <w:rsid w:val="00BA1140"/>
    <w:rsid w:val="00BA572F"/>
    <w:rsid w:val="00BB6612"/>
    <w:rsid w:val="00BC39F6"/>
    <w:rsid w:val="00BD6469"/>
    <w:rsid w:val="00BE2632"/>
    <w:rsid w:val="00BE2CF5"/>
    <w:rsid w:val="00C16801"/>
    <w:rsid w:val="00C248B6"/>
    <w:rsid w:val="00C26B5B"/>
    <w:rsid w:val="00C30324"/>
    <w:rsid w:val="00C501CA"/>
    <w:rsid w:val="00C74C6C"/>
    <w:rsid w:val="00C83DA2"/>
    <w:rsid w:val="00C95E9A"/>
    <w:rsid w:val="00CB0A39"/>
    <w:rsid w:val="00CC089E"/>
    <w:rsid w:val="00CD1259"/>
    <w:rsid w:val="00CD46F3"/>
    <w:rsid w:val="00CE1471"/>
    <w:rsid w:val="00CE2187"/>
    <w:rsid w:val="00CE3DD7"/>
    <w:rsid w:val="00CF3641"/>
    <w:rsid w:val="00D02AAB"/>
    <w:rsid w:val="00D15498"/>
    <w:rsid w:val="00D17ED1"/>
    <w:rsid w:val="00D21D62"/>
    <w:rsid w:val="00D36E10"/>
    <w:rsid w:val="00D54386"/>
    <w:rsid w:val="00D61DF1"/>
    <w:rsid w:val="00D761E4"/>
    <w:rsid w:val="00D86EAB"/>
    <w:rsid w:val="00D90911"/>
    <w:rsid w:val="00DB0054"/>
    <w:rsid w:val="00DB678D"/>
    <w:rsid w:val="00DB7610"/>
    <w:rsid w:val="00DE1C75"/>
    <w:rsid w:val="00DE69A8"/>
    <w:rsid w:val="00DF152E"/>
    <w:rsid w:val="00DF1B57"/>
    <w:rsid w:val="00E27ED7"/>
    <w:rsid w:val="00E327A8"/>
    <w:rsid w:val="00E32F5D"/>
    <w:rsid w:val="00E343CB"/>
    <w:rsid w:val="00E35198"/>
    <w:rsid w:val="00E35499"/>
    <w:rsid w:val="00E3569F"/>
    <w:rsid w:val="00E36C58"/>
    <w:rsid w:val="00E422B8"/>
    <w:rsid w:val="00E51721"/>
    <w:rsid w:val="00E54727"/>
    <w:rsid w:val="00E55E32"/>
    <w:rsid w:val="00E65A0A"/>
    <w:rsid w:val="00E82180"/>
    <w:rsid w:val="00E82A71"/>
    <w:rsid w:val="00EA2E13"/>
    <w:rsid w:val="00EB2401"/>
    <w:rsid w:val="00EF3387"/>
    <w:rsid w:val="00EF5F33"/>
    <w:rsid w:val="00EF6475"/>
    <w:rsid w:val="00EF6882"/>
    <w:rsid w:val="00F00598"/>
    <w:rsid w:val="00F439D4"/>
    <w:rsid w:val="00F47FC5"/>
    <w:rsid w:val="00F5004E"/>
    <w:rsid w:val="00F507AD"/>
    <w:rsid w:val="00F72273"/>
    <w:rsid w:val="00F778D4"/>
    <w:rsid w:val="00F85786"/>
    <w:rsid w:val="00FA4660"/>
    <w:rsid w:val="00FA7B5D"/>
    <w:rsid w:val="00FB27EE"/>
    <w:rsid w:val="00FB4003"/>
    <w:rsid w:val="00FE1A9D"/>
    <w:rsid w:val="00FF0FF7"/>
    <w:rsid w:val="00FF60A2"/>
    <w:rsid w:val="00FF76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E95B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79"/>
    <w:pPr>
      <w:spacing w:after="200" w:line="276" w:lineRule="auto"/>
    </w:pPr>
    <w:rPr>
      <w:rFonts w:ascii="Arial" w:eastAsiaTheme="minorHAnsi" w:hAnsi="Arial"/>
      <w:sz w:val="22"/>
      <w:szCs w:val="22"/>
    </w:rPr>
  </w:style>
  <w:style w:type="paragraph" w:styleId="Heading1">
    <w:name w:val="heading 1"/>
    <w:basedOn w:val="Normal"/>
    <w:next w:val="Normal"/>
    <w:link w:val="Heading1Char"/>
    <w:uiPriority w:val="9"/>
    <w:qFormat/>
    <w:rsid w:val="001D3C79"/>
    <w:pPr>
      <w:keepNext/>
      <w:keepLines/>
      <w:spacing w:before="480" w:after="0"/>
      <w:outlineLvl w:val="0"/>
    </w:pPr>
    <w:rPr>
      <w:rFonts w:ascii="Cambria" w:eastAsiaTheme="majorEastAsia" w:hAnsi="Cambr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665138"/>
    <w:pPr>
      <w:keepNext/>
      <w:keepLines/>
      <w:spacing w:before="200" w:after="0"/>
      <w:outlineLvl w:val="1"/>
    </w:pPr>
    <w:rPr>
      <w:rFonts w:ascii="Cambria" w:eastAsiaTheme="majorEastAsia" w:hAnsi="Cambria" w:cstheme="majorBidi"/>
      <w:b/>
      <w:bCs/>
      <w:color w:val="4F81BD" w:themeColor="accent1"/>
      <w:sz w:val="28"/>
      <w:szCs w:val="26"/>
    </w:rPr>
  </w:style>
  <w:style w:type="paragraph" w:styleId="Heading3">
    <w:name w:val="heading 3"/>
    <w:basedOn w:val="Normal"/>
    <w:next w:val="Normal"/>
    <w:link w:val="Heading3Char"/>
    <w:uiPriority w:val="9"/>
    <w:unhideWhenUsed/>
    <w:qFormat/>
    <w:rsid w:val="00907FDF"/>
    <w:pPr>
      <w:keepNext/>
      <w:keepLines/>
      <w:spacing w:before="200" w:after="0"/>
      <w:outlineLvl w:val="2"/>
    </w:pPr>
    <w:rPr>
      <w:rFonts w:ascii="Cambria" w:eastAsiaTheme="majorEastAsia" w:hAnsi="Cambria"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356E84"/>
    <w:pPr>
      <w:spacing w:after="0" w:line="240" w:lineRule="auto"/>
    </w:pPr>
  </w:style>
  <w:style w:type="paragraph" w:styleId="Title">
    <w:name w:val="Title"/>
    <w:basedOn w:val="Normal"/>
    <w:next w:val="Normal"/>
    <w:link w:val="TitleChar"/>
    <w:uiPriority w:val="10"/>
    <w:qFormat/>
    <w:rsid w:val="00356E84"/>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56E84"/>
    <w:rPr>
      <w:rFonts w:ascii="Arial" w:eastAsiaTheme="majorEastAsia" w:hAnsi="Arial" w:cstheme="majorBidi"/>
      <w:spacing w:val="5"/>
      <w:sz w:val="52"/>
      <w:szCs w:val="52"/>
    </w:rPr>
  </w:style>
  <w:style w:type="character" w:styleId="BookTitle">
    <w:name w:val="Book Title"/>
    <w:uiPriority w:val="33"/>
    <w:qFormat/>
    <w:rsid w:val="00356E84"/>
    <w:rPr>
      <w:i/>
      <w:iCs/>
      <w:smallCaps/>
      <w:spacing w:val="5"/>
    </w:rPr>
  </w:style>
  <w:style w:type="character" w:customStyle="1" w:styleId="NoSpacingChar">
    <w:name w:val="No Spacing Char"/>
    <w:basedOn w:val="DefaultParagraphFont"/>
    <w:link w:val="NoSpacing"/>
    <w:rsid w:val="00356E84"/>
    <w:rPr>
      <w:rFonts w:ascii="Arial" w:eastAsiaTheme="minorHAnsi" w:hAnsi="Arial"/>
      <w:sz w:val="22"/>
      <w:szCs w:val="22"/>
    </w:rPr>
  </w:style>
  <w:style w:type="table" w:styleId="TableGrid">
    <w:name w:val="Table Grid"/>
    <w:basedOn w:val="TableNormal"/>
    <w:uiPriority w:val="59"/>
    <w:rsid w:val="00356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6E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6E84"/>
    <w:rPr>
      <w:rFonts w:ascii="Lucida Grande" w:eastAsiaTheme="minorHAnsi" w:hAnsi="Lucida Grande" w:cs="Lucida Grande"/>
      <w:sz w:val="18"/>
      <w:szCs w:val="18"/>
    </w:rPr>
  </w:style>
  <w:style w:type="character" w:styleId="Hyperlink">
    <w:name w:val="Hyperlink"/>
    <w:unhideWhenUsed/>
    <w:rsid w:val="007C3F60"/>
    <w:rPr>
      <w:color w:val="0000FF"/>
      <w:u w:val="single"/>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7C3F60"/>
    <w:pPr>
      <w:spacing w:after="0" w:line="240" w:lineRule="auto"/>
    </w:pPr>
    <w:rPr>
      <w:rFonts w:asciiTheme="minorHAnsi" w:eastAsiaTheme="minorEastAsia" w:hAnsiTheme="minorHAnsi"/>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7C3F60"/>
  </w:style>
  <w:style w:type="character" w:styleId="FootnoteReference">
    <w:name w:val="footnote reference"/>
    <w:aliases w:val="NO,Footnotes refss,Footnote number,Footnote"/>
    <w:basedOn w:val="DefaultParagraphFont"/>
    <w:unhideWhenUsed/>
    <w:rsid w:val="007C3F60"/>
    <w:rPr>
      <w:vertAlign w:val="superscript"/>
    </w:rPr>
  </w:style>
  <w:style w:type="paragraph" w:styleId="ListParagraph">
    <w:name w:val="List Paragraph"/>
    <w:basedOn w:val="Normal"/>
    <w:uiPriority w:val="34"/>
    <w:qFormat/>
    <w:rsid w:val="007C3F60"/>
    <w:pPr>
      <w:spacing w:after="0" w:line="240" w:lineRule="auto"/>
      <w:ind w:left="720"/>
      <w:contextualSpacing/>
    </w:pPr>
    <w:rPr>
      <w:rFonts w:asciiTheme="minorHAnsi" w:eastAsiaTheme="minorEastAsia" w:hAnsiTheme="minorHAnsi"/>
      <w:sz w:val="24"/>
      <w:szCs w:val="24"/>
    </w:rPr>
  </w:style>
  <w:style w:type="paragraph" w:styleId="EndnoteText">
    <w:name w:val="endnote text"/>
    <w:basedOn w:val="Normal"/>
    <w:link w:val="EndnoteTextChar"/>
    <w:unhideWhenUsed/>
    <w:rsid w:val="004C56E1"/>
    <w:pPr>
      <w:spacing w:after="0" w:line="240" w:lineRule="auto"/>
    </w:pPr>
    <w:rPr>
      <w:rFonts w:asciiTheme="minorHAnsi" w:eastAsiaTheme="minorEastAsia" w:hAnsiTheme="minorHAnsi"/>
      <w:sz w:val="24"/>
      <w:szCs w:val="24"/>
    </w:rPr>
  </w:style>
  <w:style w:type="character" w:customStyle="1" w:styleId="EndnoteTextChar">
    <w:name w:val="Endnote Text Char"/>
    <w:basedOn w:val="DefaultParagraphFont"/>
    <w:link w:val="EndnoteText"/>
    <w:rsid w:val="004C56E1"/>
  </w:style>
  <w:style w:type="character" w:styleId="EndnoteReference">
    <w:name w:val="endnote reference"/>
    <w:basedOn w:val="DefaultParagraphFont"/>
    <w:unhideWhenUsed/>
    <w:rsid w:val="004C56E1"/>
    <w:rPr>
      <w:vertAlign w:val="superscript"/>
    </w:rPr>
  </w:style>
  <w:style w:type="paragraph" w:styleId="Footer">
    <w:name w:val="footer"/>
    <w:basedOn w:val="Normal"/>
    <w:link w:val="FooterChar"/>
    <w:uiPriority w:val="99"/>
    <w:unhideWhenUsed/>
    <w:rsid w:val="000544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44A7"/>
    <w:rPr>
      <w:rFonts w:ascii="Arial" w:eastAsiaTheme="minorHAnsi" w:hAnsi="Arial"/>
      <w:sz w:val="22"/>
      <w:szCs w:val="22"/>
    </w:rPr>
  </w:style>
  <w:style w:type="character" w:styleId="PageNumber">
    <w:name w:val="page number"/>
    <w:basedOn w:val="DefaultParagraphFont"/>
    <w:uiPriority w:val="99"/>
    <w:semiHidden/>
    <w:unhideWhenUsed/>
    <w:rsid w:val="000544A7"/>
  </w:style>
  <w:style w:type="character" w:customStyle="1" w:styleId="Heading1Char">
    <w:name w:val="Heading 1 Char"/>
    <w:basedOn w:val="DefaultParagraphFont"/>
    <w:link w:val="Heading1"/>
    <w:uiPriority w:val="9"/>
    <w:rsid w:val="001D3C79"/>
    <w:rPr>
      <w:rFonts w:ascii="Cambria" w:eastAsiaTheme="majorEastAsia" w:hAnsi="Cambr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665138"/>
    <w:rPr>
      <w:rFonts w:ascii="Cambria" w:eastAsiaTheme="majorEastAsia" w:hAnsi="Cambria" w:cstheme="majorBidi"/>
      <w:b/>
      <w:bCs/>
      <w:color w:val="4F81BD" w:themeColor="accent1"/>
      <w:sz w:val="28"/>
      <w:szCs w:val="26"/>
    </w:rPr>
  </w:style>
  <w:style w:type="paragraph" w:styleId="Header">
    <w:name w:val="header"/>
    <w:basedOn w:val="Normal"/>
    <w:link w:val="HeaderChar"/>
    <w:uiPriority w:val="99"/>
    <w:unhideWhenUsed/>
    <w:rsid w:val="005B7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D0D"/>
    <w:rPr>
      <w:rFonts w:ascii="Arial" w:eastAsiaTheme="minorHAnsi" w:hAnsi="Arial"/>
      <w:sz w:val="22"/>
      <w:szCs w:val="22"/>
    </w:rPr>
  </w:style>
  <w:style w:type="character" w:customStyle="1" w:styleId="Heading3Char">
    <w:name w:val="Heading 3 Char"/>
    <w:basedOn w:val="DefaultParagraphFont"/>
    <w:link w:val="Heading3"/>
    <w:uiPriority w:val="9"/>
    <w:rsid w:val="00907FDF"/>
    <w:rPr>
      <w:rFonts w:ascii="Cambria" w:eastAsiaTheme="majorEastAsia" w:hAnsi="Cambria" w:cstheme="majorBidi"/>
      <w:bCs/>
      <w:color w:val="4F81BD" w:themeColor="accent1"/>
      <w:sz w:val="22"/>
      <w:szCs w:val="22"/>
    </w:rPr>
  </w:style>
  <w:style w:type="paragraph" w:styleId="TOC1">
    <w:name w:val="toc 1"/>
    <w:basedOn w:val="Normal"/>
    <w:next w:val="Normal"/>
    <w:autoRedefine/>
    <w:uiPriority w:val="39"/>
    <w:unhideWhenUsed/>
    <w:rsid w:val="00425B82"/>
    <w:pPr>
      <w:spacing w:after="100"/>
    </w:pPr>
  </w:style>
  <w:style w:type="paragraph" w:styleId="TOC2">
    <w:name w:val="toc 2"/>
    <w:basedOn w:val="Normal"/>
    <w:next w:val="Normal"/>
    <w:autoRedefine/>
    <w:uiPriority w:val="39"/>
    <w:unhideWhenUsed/>
    <w:rsid w:val="00CE1471"/>
    <w:pPr>
      <w:tabs>
        <w:tab w:val="left" w:pos="851"/>
        <w:tab w:val="right" w:leader="dot" w:pos="9622"/>
      </w:tabs>
      <w:spacing w:after="100"/>
      <w:ind w:left="142"/>
    </w:pPr>
    <w:rPr>
      <w:rFonts w:asciiTheme="minorHAnsi" w:hAnsiTheme="minorHAnsi"/>
      <w:noProof/>
      <w:sz w:val="20"/>
      <w:szCs w:val="20"/>
    </w:rPr>
  </w:style>
  <w:style w:type="paragraph" w:styleId="TOC3">
    <w:name w:val="toc 3"/>
    <w:basedOn w:val="Normal"/>
    <w:next w:val="Normal"/>
    <w:autoRedefine/>
    <w:uiPriority w:val="39"/>
    <w:unhideWhenUsed/>
    <w:rsid w:val="00CE1471"/>
    <w:pPr>
      <w:tabs>
        <w:tab w:val="left" w:pos="1134"/>
        <w:tab w:val="right" w:leader="dot" w:pos="9622"/>
      </w:tabs>
      <w:spacing w:after="100"/>
      <w:ind w:left="284"/>
    </w:pPr>
    <w:rPr>
      <w:rFonts w:asciiTheme="minorHAnsi" w:hAnsiTheme="minorHAnsi"/>
      <w:noProof/>
      <w:sz w:val="20"/>
      <w:szCs w:val="20"/>
      <w:lang w:val="en-US"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79"/>
    <w:pPr>
      <w:spacing w:after="200" w:line="276" w:lineRule="auto"/>
    </w:pPr>
    <w:rPr>
      <w:rFonts w:ascii="Arial" w:eastAsiaTheme="minorHAnsi" w:hAnsi="Arial"/>
      <w:sz w:val="22"/>
      <w:szCs w:val="22"/>
    </w:rPr>
  </w:style>
  <w:style w:type="paragraph" w:styleId="Heading1">
    <w:name w:val="heading 1"/>
    <w:basedOn w:val="Normal"/>
    <w:next w:val="Normal"/>
    <w:link w:val="Heading1Char"/>
    <w:uiPriority w:val="9"/>
    <w:qFormat/>
    <w:rsid w:val="001D3C79"/>
    <w:pPr>
      <w:keepNext/>
      <w:keepLines/>
      <w:spacing w:before="480" w:after="0"/>
      <w:outlineLvl w:val="0"/>
    </w:pPr>
    <w:rPr>
      <w:rFonts w:ascii="Cambria" w:eastAsiaTheme="majorEastAsia" w:hAnsi="Cambr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665138"/>
    <w:pPr>
      <w:keepNext/>
      <w:keepLines/>
      <w:spacing w:before="200" w:after="0"/>
      <w:outlineLvl w:val="1"/>
    </w:pPr>
    <w:rPr>
      <w:rFonts w:ascii="Cambria" w:eastAsiaTheme="majorEastAsia" w:hAnsi="Cambria" w:cstheme="majorBidi"/>
      <w:b/>
      <w:bCs/>
      <w:color w:val="4F81BD" w:themeColor="accent1"/>
      <w:sz w:val="28"/>
      <w:szCs w:val="26"/>
    </w:rPr>
  </w:style>
  <w:style w:type="paragraph" w:styleId="Heading3">
    <w:name w:val="heading 3"/>
    <w:basedOn w:val="Normal"/>
    <w:next w:val="Normal"/>
    <w:link w:val="Heading3Char"/>
    <w:uiPriority w:val="9"/>
    <w:unhideWhenUsed/>
    <w:qFormat/>
    <w:rsid w:val="00907FDF"/>
    <w:pPr>
      <w:keepNext/>
      <w:keepLines/>
      <w:spacing w:before="200" w:after="0"/>
      <w:outlineLvl w:val="2"/>
    </w:pPr>
    <w:rPr>
      <w:rFonts w:ascii="Cambria" w:eastAsiaTheme="majorEastAsia" w:hAnsi="Cambria"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356E84"/>
    <w:pPr>
      <w:spacing w:after="0" w:line="240" w:lineRule="auto"/>
    </w:pPr>
  </w:style>
  <w:style w:type="paragraph" w:styleId="Title">
    <w:name w:val="Title"/>
    <w:basedOn w:val="Normal"/>
    <w:next w:val="Normal"/>
    <w:link w:val="TitleChar"/>
    <w:uiPriority w:val="10"/>
    <w:qFormat/>
    <w:rsid w:val="00356E84"/>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56E84"/>
    <w:rPr>
      <w:rFonts w:ascii="Arial" w:eastAsiaTheme="majorEastAsia" w:hAnsi="Arial" w:cstheme="majorBidi"/>
      <w:spacing w:val="5"/>
      <w:sz w:val="52"/>
      <w:szCs w:val="52"/>
    </w:rPr>
  </w:style>
  <w:style w:type="character" w:styleId="BookTitle">
    <w:name w:val="Book Title"/>
    <w:uiPriority w:val="33"/>
    <w:qFormat/>
    <w:rsid w:val="00356E84"/>
    <w:rPr>
      <w:i/>
      <w:iCs/>
      <w:smallCaps/>
      <w:spacing w:val="5"/>
    </w:rPr>
  </w:style>
  <w:style w:type="character" w:customStyle="1" w:styleId="NoSpacingChar">
    <w:name w:val="No Spacing Char"/>
    <w:basedOn w:val="DefaultParagraphFont"/>
    <w:link w:val="NoSpacing"/>
    <w:rsid w:val="00356E84"/>
    <w:rPr>
      <w:rFonts w:ascii="Arial" w:eastAsiaTheme="minorHAnsi" w:hAnsi="Arial"/>
      <w:sz w:val="22"/>
      <w:szCs w:val="22"/>
    </w:rPr>
  </w:style>
  <w:style w:type="table" w:styleId="TableGrid">
    <w:name w:val="Table Grid"/>
    <w:basedOn w:val="TableNormal"/>
    <w:uiPriority w:val="59"/>
    <w:rsid w:val="00356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6E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6E84"/>
    <w:rPr>
      <w:rFonts w:ascii="Lucida Grande" w:eastAsiaTheme="minorHAnsi" w:hAnsi="Lucida Grande" w:cs="Lucida Grande"/>
      <w:sz w:val="18"/>
      <w:szCs w:val="18"/>
    </w:rPr>
  </w:style>
  <w:style w:type="character" w:styleId="Hyperlink">
    <w:name w:val="Hyperlink"/>
    <w:unhideWhenUsed/>
    <w:rsid w:val="007C3F60"/>
    <w:rPr>
      <w:color w:val="0000FF"/>
      <w:u w:val="single"/>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7C3F60"/>
    <w:pPr>
      <w:spacing w:after="0" w:line="240" w:lineRule="auto"/>
    </w:pPr>
    <w:rPr>
      <w:rFonts w:asciiTheme="minorHAnsi" w:eastAsiaTheme="minorEastAsia" w:hAnsiTheme="minorHAnsi"/>
      <w:sz w:val="24"/>
      <w:szCs w:val="24"/>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7C3F60"/>
  </w:style>
  <w:style w:type="character" w:styleId="FootnoteReference">
    <w:name w:val="footnote reference"/>
    <w:aliases w:val="NO,Footnotes refss,Footnote number,Footnote"/>
    <w:basedOn w:val="DefaultParagraphFont"/>
    <w:unhideWhenUsed/>
    <w:rsid w:val="007C3F60"/>
    <w:rPr>
      <w:vertAlign w:val="superscript"/>
    </w:rPr>
  </w:style>
  <w:style w:type="paragraph" w:styleId="ListParagraph">
    <w:name w:val="List Paragraph"/>
    <w:basedOn w:val="Normal"/>
    <w:uiPriority w:val="34"/>
    <w:qFormat/>
    <w:rsid w:val="007C3F60"/>
    <w:pPr>
      <w:spacing w:after="0" w:line="240" w:lineRule="auto"/>
      <w:ind w:left="720"/>
      <w:contextualSpacing/>
    </w:pPr>
    <w:rPr>
      <w:rFonts w:asciiTheme="minorHAnsi" w:eastAsiaTheme="minorEastAsia" w:hAnsiTheme="minorHAnsi"/>
      <w:sz w:val="24"/>
      <w:szCs w:val="24"/>
    </w:rPr>
  </w:style>
  <w:style w:type="paragraph" w:styleId="EndnoteText">
    <w:name w:val="endnote text"/>
    <w:basedOn w:val="Normal"/>
    <w:link w:val="EndnoteTextChar"/>
    <w:unhideWhenUsed/>
    <w:rsid w:val="004C56E1"/>
    <w:pPr>
      <w:spacing w:after="0" w:line="240" w:lineRule="auto"/>
    </w:pPr>
    <w:rPr>
      <w:rFonts w:asciiTheme="minorHAnsi" w:eastAsiaTheme="minorEastAsia" w:hAnsiTheme="minorHAnsi"/>
      <w:sz w:val="24"/>
      <w:szCs w:val="24"/>
    </w:rPr>
  </w:style>
  <w:style w:type="character" w:customStyle="1" w:styleId="EndnoteTextChar">
    <w:name w:val="Endnote Text Char"/>
    <w:basedOn w:val="DefaultParagraphFont"/>
    <w:link w:val="EndnoteText"/>
    <w:rsid w:val="004C56E1"/>
  </w:style>
  <w:style w:type="character" w:styleId="EndnoteReference">
    <w:name w:val="endnote reference"/>
    <w:basedOn w:val="DefaultParagraphFont"/>
    <w:unhideWhenUsed/>
    <w:rsid w:val="004C56E1"/>
    <w:rPr>
      <w:vertAlign w:val="superscript"/>
    </w:rPr>
  </w:style>
  <w:style w:type="paragraph" w:styleId="Footer">
    <w:name w:val="footer"/>
    <w:basedOn w:val="Normal"/>
    <w:link w:val="FooterChar"/>
    <w:uiPriority w:val="99"/>
    <w:unhideWhenUsed/>
    <w:rsid w:val="000544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44A7"/>
    <w:rPr>
      <w:rFonts w:ascii="Arial" w:eastAsiaTheme="minorHAnsi" w:hAnsi="Arial"/>
      <w:sz w:val="22"/>
      <w:szCs w:val="22"/>
    </w:rPr>
  </w:style>
  <w:style w:type="character" w:styleId="PageNumber">
    <w:name w:val="page number"/>
    <w:basedOn w:val="DefaultParagraphFont"/>
    <w:uiPriority w:val="99"/>
    <w:semiHidden/>
    <w:unhideWhenUsed/>
    <w:rsid w:val="000544A7"/>
  </w:style>
  <w:style w:type="character" w:customStyle="1" w:styleId="Heading1Char">
    <w:name w:val="Heading 1 Char"/>
    <w:basedOn w:val="DefaultParagraphFont"/>
    <w:link w:val="Heading1"/>
    <w:uiPriority w:val="9"/>
    <w:rsid w:val="001D3C79"/>
    <w:rPr>
      <w:rFonts w:ascii="Cambria" w:eastAsiaTheme="majorEastAsia" w:hAnsi="Cambr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665138"/>
    <w:rPr>
      <w:rFonts w:ascii="Cambria" w:eastAsiaTheme="majorEastAsia" w:hAnsi="Cambria" w:cstheme="majorBidi"/>
      <w:b/>
      <w:bCs/>
      <w:color w:val="4F81BD" w:themeColor="accent1"/>
      <w:sz w:val="28"/>
      <w:szCs w:val="26"/>
    </w:rPr>
  </w:style>
  <w:style w:type="paragraph" w:styleId="Header">
    <w:name w:val="header"/>
    <w:basedOn w:val="Normal"/>
    <w:link w:val="HeaderChar"/>
    <w:uiPriority w:val="99"/>
    <w:unhideWhenUsed/>
    <w:rsid w:val="005B7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D0D"/>
    <w:rPr>
      <w:rFonts w:ascii="Arial" w:eastAsiaTheme="minorHAnsi" w:hAnsi="Arial"/>
      <w:sz w:val="22"/>
      <w:szCs w:val="22"/>
    </w:rPr>
  </w:style>
  <w:style w:type="character" w:customStyle="1" w:styleId="Heading3Char">
    <w:name w:val="Heading 3 Char"/>
    <w:basedOn w:val="DefaultParagraphFont"/>
    <w:link w:val="Heading3"/>
    <w:uiPriority w:val="9"/>
    <w:rsid w:val="00907FDF"/>
    <w:rPr>
      <w:rFonts w:ascii="Cambria" w:eastAsiaTheme="majorEastAsia" w:hAnsi="Cambria" w:cstheme="majorBidi"/>
      <w:bCs/>
      <w:color w:val="4F81BD" w:themeColor="accent1"/>
      <w:sz w:val="22"/>
      <w:szCs w:val="22"/>
    </w:rPr>
  </w:style>
  <w:style w:type="paragraph" w:styleId="TOC1">
    <w:name w:val="toc 1"/>
    <w:basedOn w:val="Normal"/>
    <w:next w:val="Normal"/>
    <w:autoRedefine/>
    <w:uiPriority w:val="39"/>
    <w:unhideWhenUsed/>
    <w:rsid w:val="00425B82"/>
    <w:pPr>
      <w:spacing w:after="100"/>
    </w:pPr>
  </w:style>
  <w:style w:type="paragraph" w:styleId="TOC2">
    <w:name w:val="toc 2"/>
    <w:basedOn w:val="Normal"/>
    <w:next w:val="Normal"/>
    <w:autoRedefine/>
    <w:uiPriority w:val="39"/>
    <w:unhideWhenUsed/>
    <w:rsid w:val="00CE1471"/>
    <w:pPr>
      <w:tabs>
        <w:tab w:val="left" w:pos="851"/>
        <w:tab w:val="right" w:leader="dot" w:pos="9622"/>
      </w:tabs>
      <w:spacing w:after="100"/>
      <w:ind w:left="142"/>
    </w:pPr>
    <w:rPr>
      <w:rFonts w:asciiTheme="minorHAnsi" w:hAnsiTheme="minorHAnsi"/>
      <w:noProof/>
      <w:sz w:val="20"/>
      <w:szCs w:val="20"/>
    </w:rPr>
  </w:style>
  <w:style w:type="paragraph" w:styleId="TOC3">
    <w:name w:val="toc 3"/>
    <w:basedOn w:val="Normal"/>
    <w:next w:val="Normal"/>
    <w:autoRedefine/>
    <w:uiPriority w:val="39"/>
    <w:unhideWhenUsed/>
    <w:rsid w:val="00CE1471"/>
    <w:pPr>
      <w:tabs>
        <w:tab w:val="left" w:pos="1134"/>
        <w:tab w:val="right" w:leader="dot" w:pos="9622"/>
      </w:tabs>
      <w:spacing w:after="100"/>
      <w:ind w:left="284"/>
    </w:pPr>
    <w:rPr>
      <w:rFonts w:asciiTheme="minorHAnsi" w:hAnsiTheme="minorHAnsi"/>
      <w:noProof/>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lrc.gov.au/publications/family-violence-and-commonwealth-laws-improving-legal-frameworks-alrc-report-117" TargetMode="External"/><Relationship Id="rId21" Type="http://schemas.openxmlformats.org/officeDocument/2006/relationships/hyperlink" Target="http://www.alrc.gov.au/CFV-disability" TargetMode="External"/><Relationship Id="rId22" Type="http://schemas.openxmlformats.org/officeDocument/2006/relationships/hyperlink" Target="http://www.dss.gov.au/our-responsibilities/disability-and-carers/program-services/government-international/national-disability-strategy-2010-2020-report-to-coag-2012" TargetMode="External"/><Relationship Id="rId23" Type="http://schemas.openxmlformats.org/officeDocument/2006/relationships/hyperlink" Target="https://www.change.org/en-AU/petitions/tony-abbott-there-s-noexcuse-for-domestic-violence-it-s-time-for-leadership-on-this-crisis?recruiter=90503088&amp;utm_campaign=mailto_link&amp;utm_medium=email&amp;utm_source=share_petition" TargetMode="External"/><Relationship Id="rId24" Type="http://schemas.openxmlformats.org/officeDocument/2006/relationships/hyperlink" Target="http://wwda.org.au/issues/viol/viol2011/" TargetMode="External"/><Relationship Id="rId25" Type="http://schemas.openxmlformats.org/officeDocument/2006/relationships/hyperlink" Target="http://wwda.org.au/wp-content/uploads/2013/12/Final_Draft_DPO_Sub_DV_Senate2014.pdf" TargetMode="External"/><Relationship Id="rId26" Type="http://schemas.openxmlformats.org/officeDocument/2006/relationships/hyperlink" Target="http://www.themorningbulletin.com.au/news/greens-condemn-wicked-campers-senate/2320323/" TargetMode="External"/><Relationship Id="rId27" Type="http://schemas.openxmlformats.org/officeDocument/2006/relationships/hyperlink" Target="http://www.abc.net.au/news/2014-05-06/rachelle-yeos-father-pleads-for-change/5427002" TargetMode="External"/><Relationship Id="rId28" Type="http://schemas.openxmlformats.org/officeDocument/2006/relationships/hyperlink" Target="http://www.unwomen.org/ru/news/stories/2014/3/secretary-general-iwd-speech" TargetMode="External"/><Relationship Id="rId29" Type="http://schemas.openxmlformats.org/officeDocument/2006/relationships/hyperlink" Target="http://wwda.org.au/wp-content/uploads/2013/12/WWDASubPCInquiry2010.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image" Target="media/image1.jp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hyperlink" Target="mailto:wwda@wwda.org.au" TargetMode="External"/><Relationship Id="rId13" Type="http://schemas.openxmlformats.org/officeDocument/2006/relationships/hyperlink" Target="mailto:wwda@wwda.org.au" TargetMode="External"/><Relationship Id="rId14" Type="http://schemas.openxmlformats.org/officeDocument/2006/relationships/hyperlink" Target="http://www.wwda.org.au" TargetMode="External"/><Relationship Id="rId15" Type="http://schemas.openxmlformats.org/officeDocument/2006/relationships/hyperlink" Target="http://www.facebook.com/WWDA.Australia" TargetMode="External"/><Relationship Id="rId16" Type="http://schemas.openxmlformats.org/officeDocument/2006/relationships/hyperlink" Target="https://twitter.com/WWDA_AU" TargetMode="External"/><Relationship Id="rId17" Type="http://schemas.openxmlformats.org/officeDocument/2006/relationships/hyperlink" Target="http://www.gadnetwork.org/storage/csw/Violence%20Against%20Women%20and%20Girls%20-%20Gender%20Equality.pdf" TargetMode="External"/><Relationship Id="rId18" Type="http://schemas.openxmlformats.org/officeDocument/2006/relationships/hyperlink" Target="http://www2.ohchr.org/english/bodies/cedaw/docs/CEDAW.C.AUL.CO.7.Add.1.pdf" TargetMode="External"/><Relationship Id="rId19" Type="http://schemas.openxmlformats.org/officeDocument/2006/relationships/hyperlink" Target="http://www.alrc.gov.au/publications/family-violence-national-legal-response-alrc-report-11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da.org.au/wp-content/uploads/2013/12/Final_Draft_DPO_Sub_DV_Senate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04A0-F193-D24F-A3F8-D7B5ABDD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10306</Words>
  <Characters>58750</Characters>
  <Application>Microsoft Macintosh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68919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Frohmader</dc:creator>
  <cp:lastModifiedBy>Carolyn Frohmader</cp:lastModifiedBy>
  <cp:revision>2</cp:revision>
  <cp:lastPrinted>2015-02-02T05:37:00Z</cp:lastPrinted>
  <dcterms:created xsi:type="dcterms:W3CDTF">2015-04-22T00:09:00Z</dcterms:created>
  <dcterms:modified xsi:type="dcterms:W3CDTF">2015-04-22T00:09:00Z</dcterms:modified>
</cp:coreProperties>
</file>